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EEC6" w14:textId="77777777" w:rsidR="008E25B2" w:rsidRDefault="000D2B2D" w:rsidP="00AA150F">
      <w:pPr>
        <w:pStyle w:val="Title"/>
      </w:pPr>
      <w:r>
        <w:t>Safeguarding Vulnerable Adults Policy</w:t>
      </w:r>
    </w:p>
    <w:p w14:paraId="0C041E50" w14:textId="77777777" w:rsidR="00AA150F" w:rsidRDefault="00AA150F" w:rsidP="00AA150F"/>
    <w:p w14:paraId="150BAA9F" w14:textId="77777777" w:rsidR="00AA150F" w:rsidRPr="008E25B2" w:rsidRDefault="00AA150F" w:rsidP="00AA150F">
      <w:pPr>
        <w:pStyle w:val="Heading1"/>
        <w:numPr>
          <w:ilvl w:val="0"/>
          <w:numId w:val="1"/>
        </w:numPr>
      </w:pPr>
      <w:r w:rsidRPr="008E25B2">
        <w:t>Introduction</w:t>
      </w:r>
    </w:p>
    <w:p w14:paraId="7B9D5B24" w14:textId="05BB1D61" w:rsidR="00AA150F" w:rsidRPr="008E25B2" w:rsidRDefault="000D2B2D" w:rsidP="000D2B2D">
      <w:pPr>
        <w:pStyle w:val="BodyTextIndent"/>
        <w:numPr>
          <w:ilvl w:val="1"/>
          <w:numId w:val="1"/>
        </w:numPr>
        <w:spacing w:after="0" w:line="240" w:lineRule="auto"/>
        <w:rPr>
          <w:szCs w:val="24"/>
        </w:rPr>
      </w:pPr>
      <w:r w:rsidRPr="008E25B2">
        <w:rPr>
          <w:szCs w:val="24"/>
        </w:rPr>
        <w:t xml:space="preserve">This Policy outlines </w:t>
      </w:r>
      <w:r w:rsidR="001B7A8C" w:rsidRPr="008E25B2">
        <w:rPr>
          <w:szCs w:val="24"/>
        </w:rPr>
        <w:t>Housing</w:t>
      </w:r>
      <w:r w:rsidRPr="008E25B2">
        <w:rPr>
          <w:szCs w:val="24"/>
        </w:rPr>
        <w:t xml:space="preserve"> Services approach to safeguarding vulnerable adults.  It is every adult’s right to live free from abuse and other types of exploitation.  Staff may become aware of/or suspect situations where abuse of a vulnerable person is taking place. This policy identifies how </w:t>
      </w:r>
      <w:r w:rsidR="00857088" w:rsidRPr="008E25B2">
        <w:rPr>
          <w:szCs w:val="24"/>
        </w:rPr>
        <w:t>Housing</w:t>
      </w:r>
      <w:r w:rsidRPr="008E25B2">
        <w:rPr>
          <w:szCs w:val="24"/>
        </w:rPr>
        <w:t xml:space="preserve"> Services work with vulnerable service users and their advocates to ensure their well-being and safety, whilst allowing them to remain living independently.</w:t>
      </w:r>
    </w:p>
    <w:p w14:paraId="5EBE7BEC" w14:textId="77777777" w:rsidR="00AA150F" w:rsidRPr="008E25B2" w:rsidRDefault="00AA150F" w:rsidP="00AA150F">
      <w:pPr>
        <w:pStyle w:val="Heading1"/>
        <w:numPr>
          <w:ilvl w:val="0"/>
          <w:numId w:val="1"/>
        </w:numPr>
      </w:pPr>
      <w:r w:rsidRPr="008E25B2">
        <w:t>Purpose</w:t>
      </w:r>
    </w:p>
    <w:p w14:paraId="4CA4F2B6" w14:textId="3C039384" w:rsidR="000D2B2D" w:rsidRPr="008E25B2" w:rsidRDefault="000D2B2D" w:rsidP="000D2B2D">
      <w:pPr>
        <w:pStyle w:val="BodyTextIndent"/>
        <w:numPr>
          <w:ilvl w:val="1"/>
          <w:numId w:val="1"/>
        </w:numPr>
        <w:spacing w:after="0" w:line="240" w:lineRule="auto"/>
        <w:rPr>
          <w:szCs w:val="24"/>
        </w:rPr>
      </w:pPr>
      <w:r w:rsidRPr="008E25B2">
        <w:rPr>
          <w:szCs w:val="24"/>
        </w:rPr>
        <w:t xml:space="preserve">The purpose of this policy is to identify how </w:t>
      </w:r>
      <w:r w:rsidR="00461357" w:rsidRPr="008E25B2">
        <w:rPr>
          <w:szCs w:val="24"/>
        </w:rPr>
        <w:t>Housing</w:t>
      </w:r>
      <w:r w:rsidRPr="008E25B2">
        <w:rPr>
          <w:szCs w:val="24"/>
        </w:rPr>
        <w:t xml:space="preserve"> Services will:</w:t>
      </w:r>
    </w:p>
    <w:p w14:paraId="6F00121F" w14:textId="77777777" w:rsidR="000D2B2D" w:rsidRPr="008E25B2" w:rsidRDefault="000D2B2D" w:rsidP="000D2B2D">
      <w:pPr>
        <w:pStyle w:val="BodyTextIndent"/>
        <w:numPr>
          <w:ilvl w:val="2"/>
          <w:numId w:val="1"/>
        </w:numPr>
        <w:spacing w:after="0" w:line="240" w:lineRule="auto"/>
        <w:rPr>
          <w:szCs w:val="24"/>
        </w:rPr>
      </w:pPr>
      <w:r w:rsidRPr="008E25B2">
        <w:rPr>
          <w:szCs w:val="24"/>
        </w:rPr>
        <w:t>Provide staff and residents at Homes for Independent Living (</w:t>
      </w:r>
      <w:proofErr w:type="spellStart"/>
      <w:r w:rsidRPr="008E25B2">
        <w:rPr>
          <w:szCs w:val="24"/>
        </w:rPr>
        <w:t>HfIL</w:t>
      </w:r>
      <w:proofErr w:type="spellEnd"/>
      <w:r w:rsidRPr="008E25B2">
        <w:rPr>
          <w:szCs w:val="24"/>
        </w:rPr>
        <w:t>) schemes ways to report safeguarding issues to the appropriate authorities in line with the Confidentiality and Data Protection policy and The Care Act 2014.</w:t>
      </w:r>
    </w:p>
    <w:p w14:paraId="70C41F94" w14:textId="77777777" w:rsidR="000D2B2D" w:rsidRPr="008E25B2" w:rsidRDefault="000D2B2D" w:rsidP="000D2B2D">
      <w:pPr>
        <w:pStyle w:val="BodyTextIndent"/>
        <w:numPr>
          <w:ilvl w:val="2"/>
          <w:numId w:val="1"/>
        </w:numPr>
        <w:spacing w:after="0" w:line="240" w:lineRule="auto"/>
        <w:rPr>
          <w:szCs w:val="24"/>
        </w:rPr>
      </w:pPr>
      <w:r w:rsidRPr="008E25B2">
        <w:rPr>
          <w:szCs w:val="24"/>
        </w:rPr>
        <w:t xml:space="preserve">Work jointly with partners to ensure the appropriate recording of vulnerability, possible </w:t>
      </w:r>
      <w:proofErr w:type="gramStart"/>
      <w:r w:rsidRPr="008E25B2">
        <w:rPr>
          <w:szCs w:val="24"/>
        </w:rPr>
        <w:t>abusers</w:t>
      </w:r>
      <w:proofErr w:type="gramEnd"/>
      <w:r w:rsidRPr="008E25B2">
        <w:rPr>
          <w:szCs w:val="24"/>
        </w:rPr>
        <w:t xml:space="preserve"> and risk.</w:t>
      </w:r>
    </w:p>
    <w:p w14:paraId="2EFC5565" w14:textId="77777777" w:rsidR="00AA150F" w:rsidRPr="008E25B2" w:rsidRDefault="000D2B2D" w:rsidP="000D2B2D">
      <w:pPr>
        <w:pStyle w:val="BodyTextIndent"/>
        <w:numPr>
          <w:ilvl w:val="2"/>
          <w:numId w:val="1"/>
        </w:numPr>
        <w:spacing w:after="0" w:line="240" w:lineRule="auto"/>
        <w:rPr>
          <w:lang w:eastAsia="en-GB"/>
        </w:rPr>
      </w:pPr>
      <w:r w:rsidRPr="008E25B2">
        <w:rPr>
          <w:szCs w:val="24"/>
        </w:rPr>
        <w:t xml:space="preserve">Train staff on safeguarding vulnerable adults and the procedure for recording, </w:t>
      </w:r>
      <w:proofErr w:type="gramStart"/>
      <w:r w:rsidRPr="008E25B2">
        <w:rPr>
          <w:szCs w:val="24"/>
        </w:rPr>
        <w:t>reporting</w:t>
      </w:r>
      <w:proofErr w:type="gramEnd"/>
      <w:r w:rsidRPr="008E25B2">
        <w:rPr>
          <w:szCs w:val="24"/>
        </w:rPr>
        <w:t xml:space="preserve"> and sharing information.</w:t>
      </w:r>
    </w:p>
    <w:p w14:paraId="2164DB6F" w14:textId="77777777" w:rsidR="00AA150F" w:rsidRPr="008E25B2" w:rsidRDefault="00AA150F" w:rsidP="00AA150F">
      <w:pPr>
        <w:pStyle w:val="Heading1"/>
        <w:numPr>
          <w:ilvl w:val="0"/>
          <w:numId w:val="1"/>
        </w:numPr>
      </w:pPr>
      <w:r w:rsidRPr="008E25B2">
        <w:t>Scope</w:t>
      </w:r>
    </w:p>
    <w:p w14:paraId="3542FFB3" w14:textId="5983D96D" w:rsidR="000D2B2D" w:rsidRPr="008E25B2" w:rsidRDefault="000D2B2D" w:rsidP="000D2B2D">
      <w:pPr>
        <w:pStyle w:val="BodyTextIndent"/>
        <w:numPr>
          <w:ilvl w:val="1"/>
          <w:numId w:val="1"/>
        </w:numPr>
        <w:spacing w:after="0" w:line="240" w:lineRule="auto"/>
        <w:rPr>
          <w:szCs w:val="24"/>
        </w:rPr>
      </w:pPr>
      <w:r w:rsidRPr="008E25B2">
        <w:rPr>
          <w:szCs w:val="24"/>
        </w:rPr>
        <w:t xml:space="preserve">The Safeguarding Vulnerable Adults Policy applies to all residents, </w:t>
      </w:r>
      <w:r w:rsidR="00461357" w:rsidRPr="008E25B2">
        <w:rPr>
          <w:szCs w:val="24"/>
        </w:rPr>
        <w:t>Housing</w:t>
      </w:r>
      <w:r w:rsidRPr="008E25B2">
        <w:rPr>
          <w:szCs w:val="24"/>
        </w:rPr>
        <w:t xml:space="preserve"> Services </w:t>
      </w:r>
      <w:proofErr w:type="gramStart"/>
      <w:r w:rsidRPr="008E25B2">
        <w:rPr>
          <w:szCs w:val="24"/>
        </w:rPr>
        <w:t>staff</w:t>
      </w:r>
      <w:proofErr w:type="gramEnd"/>
      <w:r w:rsidRPr="008E25B2">
        <w:rPr>
          <w:szCs w:val="24"/>
        </w:rPr>
        <w:t xml:space="preserve"> and contractors at </w:t>
      </w:r>
      <w:proofErr w:type="spellStart"/>
      <w:r w:rsidRPr="008E25B2">
        <w:rPr>
          <w:szCs w:val="24"/>
        </w:rPr>
        <w:t>HfIL</w:t>
      </w:r>
      <w:proofErr w:type="spellEnd"/>
      <w:r w:rsidRPr="008E25B2">
        <w:rPr>
          <w:szCs w:val="24"/>
        </w:rPr>
        <w:t xml:space="preserve"> Schemes.</w:t>
      </w:r>
    </w:p>
    <w:p w14:paraId="66584FB7" w14:textId="77777777" w:rsidR="000D2B2D" w:rsidRPr="008E25B2" w:rsidRDefault="000D2B2D" w:rsidP="000D2B2D">
      <w:pPr>
        <w:pStyle w:val="BodyTextIndent"/>
        <w:ind w:left="502"/>
        <w:rPr>
          <w:sz w:val="16"/>
          <w:szCs w:val="24"/>
        </w:rPr>
      </w:pPr>
    </w:p>
    <w:p w14:paraId="64F70994" w14:textId="77777777" w:rsidR="000D2B2D" w:rsidRPr="008E25B2" w:rsidRDefault="000D2B2D" w:rsidP="000D2B2D">
      <w:pPr>
        <w:pStyle w:val="BodyTextIndent"/>
        <w:numPr>
          <w:ilvl w:val="1"/>
          <w:numId w:val="1"/>
        </w:numPr>
        <w:spacing w:after="0" w:line="240" w:lineRule="auto"/>
        <w:rPr>
          <w:szCs w:val="24"/>
        </w:rPr>
      </w:pPr>
      <w:r w:rsidRPr="008E25B2">
        <w:rPr>
          <w:szCs w:val="24"/>
        </w:rPr>
        <w:t>Abuse is a violation of an individual’s human and civil rights by another person or persons and may result in significant harm to, or the exploitation of the person subjected to it.</w:t>
      </w:r>
    </w:p>
    <w:p w14:paraId="74375465" w14:textId="77777777" w:rsidR="000D2B2D" w:rsidRPr="008E25B2" w:rsidRDefault="000D2B2D" w:rsidP="000D2B2D">
      <w:pPr>
        <w:pStyle w:val="ListParagraph"/>
        <w:rPr>
          <w:rFonts w:cs="Arial"/>
          <w:sz w:val="16"/>
          <w:lang w:eastAsia="en-GB"/>
        </w:rPr>
      </w:pPr>
    </w:p>
    <w:p w14:paraId="09AD9A89" w14:textId="77777777" w:rsidR="000D2B2D" w:rsidRPr="008E25B2" w:rsidRDefault="000D2B2D" w:rsidP="000D2B2D">
      <w:pPr>
        <w:pStyle w:val="BodyTextIndent"/>
        <w:numPr>
          <w:ilvl w:val="1"/>
          <w:numId w:val="1"/>
        </w:numPr>
        <w:spacing w:after="0" w:line="240" w:lineRule="auto"/>
        <w:rPr>
          <w:lang w:eastAsia="en-GB"/>
        </w:rPr>
      </w:pPr>
      <w:r w:rsidRPr="008E25B2">
        <w:rPr>
          <w:szCs w:val="24"/>
        </w:rPr>
        <w:t>The</w:t>
      </w:r>
      <w:r w:rsidRPr="008E25B2">
        <w:rPr>
          <w:lang w:eastAsia="en-GB"/>
        </w:rPr>
        <w:t xml:space="preserve"> main categories of abuse </w:t>
      </w:r>
      <w:proofErr w:type="gramStart"/>
      <w:r w:rsidRPr="008E25B2">
        <w:rPr>
          <w:lang w:eastAsia="en-GB"/>
        </w:rPr>
        <w:t>are:-</w:t>
      </w:r>
      <w:proofErr w:type="gramEnd"/>
    </w:p>
    <w:p w14:paraId="640E265A" w14:textId="77777777" w:rsidR="000D2B2D" w:rsidRPr="008E25B2" w:rsidRDefault="000D2B2D" w:rsidP="000D2B2D">
      <w:pPr>
        <w:pStyle w:val="BodyTextIndent"/>
        <w:numPr>
          <w:ilvl w:val="2"/>
          <w:numId w:val="1"/>
        </w:numPr>
        <w:spacing w:after="0" w:line="240" w:lineRule="auto"/>
        <w:rPr>
          <w:szCs w:val="24"/>
        </w:rPr>
      </w:pPr>
      <w:r w:rsidRPr="008E25B2">
        <w:rPr>
          <w:szCs w:val="24"/>
        </w:rPr>
        <w:t>Psychological</w:t>
      </w:r>
    </w:p>
    <w:p w14:paraId="0DE22776" w14:textId="77777777" w:rsidR="000D2B2D" w:rsidRPr="008E25B2" w:rsidRDefault="000D2B2D" w:rsidP="000D2B2D">
      <w:pPr>
        <w:pStyle w:val="BodyTextIndent"/>
        <w:numPr>
          <w:ilvl w:val="2"/>
          <w:numId w:val="1"/>
        </w:numPr>
        <w:spacing w:after="0" w:line="240" w:lineRule="auto"/>
        <w:rPr>
          <w:szCs w:val="24"/>
        </w:rPr>
      </w:pPr>
      <w:r w:rsidRPr="008E25B2">
        <w:rPr>
          <w:szCs w:val="24"/>
        </w:rPr>
        <w:t>Physical</w:t>
      </w:r>
    </w:p>
    <w:p w14:paraId="38108866" w14:textId="77777777" w:rsidR="000D2B2D" w:rsidRPr="008E25B2" w:rsidRDefault="000D2B2D" w:rsidP="000D2B2D">
      <w:pPr>
        <w:pStyle w:val="BodyTextIndent"/>
        <w:numPr>
          <w:ilvl w:val="2"/>
          <w:numId w:val="1"/>
        </w:numPr>
        <w:spacing w:after="0" w:line="240" w:lineRule="auto"/>
        <w:rPr>
          <w:szCs w:val="24"/>
        </w:rPr>
      </w:pPr>
      <w:r w:rsidRPr="008E25B2">
        <w:rPr>
          <w:szCs w:val="24"/>
        </w:rPr>
        <w:t>Sexual</w:t>
      </w:r>
    </w:p>
    <w:p w14:paraId="6D4D832C" w14:textId="77777777" w:rsidR="000D2B2D" w:rsidRPr="008E25B2" w:rsidRDefault="000D2B2D" w:rsidP="000D2B2D">
      <w:pPr>
        <w:pStyle w:val="BodyTextIndent"/>
        <w:numPr>
          <w:ilvl w:val="2"/>
          <w:numId w:val="1"/>
        </w:numPr>
        <w:spacing w:after="0" w:line="240" w:lineRule="auto"/>
        <w:rPr>
          <w:szCs w:val="24"/>
        </w:rPr>
      </w:pPr>
      <w:r w:rsidRPr="008E25B2">
        <w:rPr>
          <w:szCs w:val="24"/>
        </w:rPr>
        <w:t>Financial or material</w:t>
      </w:r>
    </w:p>
    <w:p w14:paraId="51AE322F" w14:textId="77777777" w:rsidR="000D2B2D" w:rsidRPr="008E25B2" w:rsidRDefault="000D2B2D" w:rsidP="000D2B2D">
      <w:pPr>
        <w:pStyle w:val="BodyTextIndent"/>
        <w:numPr>
          <w:ilvl w:val="2"/>
          <w:numId w:val="1"/>
        </w:numPr>
        <w:spacing w:after="0" w:line="240" w:lineRule="auto"/>
        <w:rPr>
          <w:szCs w:val="24"/>
        </w:rPr>
      </w:pPr>
      <w:r w:rsidRPr="008E25B2">
        <w:rPr>
          <w:szCs w:val="24"/>
        </w:rPr>
        <w:t>Neglect and acts of omission</w:t>
      </w:r>
    </w:p>
    <w:p w14:paraId="22C81103" w14:textId="77777777" w:rsidR="000D2B2D" w:rsidRPr="008E25B2" w:rsidRDefault="000D2B2D" w:rsidP="000D2B2D">
      <w:pPr>
        <w:pStyle w:val="BodyTextIndent"/>
        <w:numPr>
          <w:ilvl w:val="2"/>
          <w:numId w:val="1"/>
        </w:numPr>
        <w:spacing w:after="0" w:line="240" w:lineRule="auto"/>
        <w:rPr>
          <w:szCs w:val="24"/>
        </w:rPr>
      </w:pPr>
      <w:r w:rsidRPr="008E25B2">
        <w:rPr>
          <w:szCs w:val="24"/>
        </w:rPr>
        <w:t>Discriminatory</w:t>
      </w:r>
    </w:p>
    <w:p w14:paraId="7041750E" w14:textId="77777777" w:rsidR="000D2B2D" w:rsidRPr="008E25B2" w:rsidRDefault="000D2B2D" w:rsidP="000D2B2D">
      <w:pPr>
        <w:pStyle w:val="BodyTextIndent"/>
        <w:numPr>
          <w:ilvl w:val="2"/>
          <w:numId w:val="1"/>
        </w:numPr>
        <w:spacing w:after="0" w:line="240" w:lineRule="auto"/>
        <w:rPr>
          <w:szCs w:val="24"/>
        </w:rPr>
      </w:pPr>
      <w:r w:rsidRPr="008E25B2">
        <w:rPr>
          <w:szCs w:val="24"/>
        </w:rPr>
        <w:t>Institutional Abuse</w:t>
      </w:r>
    </w:p>
    <w:p w14:paraId="1A34998B" w14:textId="77777777" w:rsidR="000D2B2D" w:rsidRPr="008E25B2" w:rsidRDefault="000D2B2D" w:rsidP="000D2B2D">
      <w:pPr>
        <w:pStyle w:val="BodyTextIndent"/>
        <w:numPr>
          <w:ilvl w:val="2"/>
          <w:numId w:val="1"/>
        </w:numPr>
        <w:spacing w:after="0" w:line="240" w:lineRule="auto"/>
        <w:rPr>
          <w:szCs w:val="24"/>
        </w:rPr>
      </w:pPr>
      <w:r w:rsidRPr="008E25B2">
        <w:rPr>
          <w:szCs w:val="24"/>
        </w:rPr>
        <w:t>Multiple Forms of Abuse</w:t>
      </w:r>
    </w:p>
    <w:p w14:paraId="6EF31BEC" w14:textId="77777777" w:rsidR="00AA150F" w:rsidRPr="008E25B2" w:rsidRDefault="00AA150F" w:rsidP="00AA150F">
      <w:pPr>
        <w:pStyle w:val="Heading1"/>
        <w:numPr>
          <w:ilvl w:val="0"/>
          <w:numId w:val="1"/>
        </w:numPr>
      </w:pPr>
      <w:r w:rsidRPr="008E25B2">
        <w:t>Legislation and Guidance</w:t>
      </w:r>
    </w:p>
    <w:p w14:paraId="7F830FF0" w14:textId="77777777" w:rsidR="000D2B2D" w:rsidRPr="008E25B2" w:rsidRDefault="000D2B2D" w:rsidP="000D2B2D">
      <w:pPr>
        <w:pStyle w:val="BodyTextIndent"/>
        <w:numPr>
          <w:ilvl w:val="1"/>
          <w:numId w:val="1"/>
        </w:numPr>
        <w:spacing w:after="0" w:line="240" w:lineRule="auto"/>
        <w:rPr>
          <w:b/>
          <w:bCs/>
        </w:rPr>
      </w:pPr>
      <w:r w:rsidRPr="008E25B2">
        <w:rPr>
          <w:b/>
          <w:szCs w:val="24"/>
        </w:rPr>
        <w:t>External</w:t>
      </w:r>
    </w:p>
    <w:p w14:paraId="620756E8" w14:textId="77777777" w:rsidR="000D2B2D" w:rsidRPr="008E25B2" w:rsidRDefault="000D2B2D" w:rsidP="000D2B2D">
      <w:pPr>
        <w:pStyle w:val="BodyTextIndent"/>
        <w:numPr>
          <w:ilvl w:val="2"/>
          <w:numId w:val="1"/>
        </w:numPr>
        <w:spacing w:after="0" w:line="240" w:lineRule="auto"/>
        <w:rPr>
          <w:szCs w:val="24"/>
        </w:rPr>
      </w:pPr>
      <w:r w:rsidRPr="008E25B2">
        <w:rPr>
          <w:szCs w:val="24"/>
        </w:rPr>
        <w:t>Multi-Agency Safeguarding Vulnerable Adults Adult Protection Policy</w:t>
      </w:r>
    </w:p>
    <w:p w14:paraId="4E9DF1B3" w14:textId="77777777" w:rsidR="000D2B2D" w:rsidRPr="008E25B2" w:rsidRDefault="000D2B2D" w:rsidP="000D2B2D">
      <w:pPr>
        <w:pStyle w:val="BodyTextIndent"/>
        <w:numPr>
          <w:ilvl w:val="2"/>
          <w:numId w:val="1"/>
        </w:numPr>
        <w:spacing w:after="0" w:line="240" w:lineRule="auto"/>
        <w:rPr>
          <w:szCs w:val="24"/>
        </w:rPr>
      </w:pPr>
      <w:r w:rsidRPr="008E25B2">
        <w:rPr>
          <w:szCs w:val="24"/>
        </w:rPr>
        <w:t>Medway Council Whistle Blowing Policy</w:t>
      </w:r>
    </w:p>
    <w:p w14:paraId="1C4E3DB1" w14:textId="77777777" w:rsidR="000D2B2D" w:rsidRPr="008E25B2" w:rsidRDefault="000D2B2D" w:rsidP="000D2B2D">
      <w:pPr>
        <w:pStyle w:val="BodyTextIndent"/>
        <w:numPr>
          <w:ilvl w:val="2"/>
          <w:numId w:val="1"/>
        </w:numPr>
        <w:spacing w:after="0" w:line="240" w:lineRule="auto"/>
        <w:rPr>
          <w:szCs w:val="24"/>
        </w:rPr>
      </w:pPr>
      <w:r w:rsidRPr="008E25B2">
        <w:rPr>
          <w:szCs w:val="24"/>
        </w:rPr>
        <w:t xml:space="preserve">Disciplinary and Grievances Policies  </w:t>
      </w:r>
    </w:p>
    <w:p w14:paraId="00A164BB" w14:textId="77777777" w:rsidR="000D2B2D" w:rsidRPr="008E25B2" w:rsidRDefault="000D2B2D" w:rsidP="000D2B2D">
      <w:pPr>
        <w:pStyle w:val="BodyTextIndent"/>
        <w:numPr>
          <w:ilvl w:val="2"/>
          <w:numId w:val="1"/>
        </w:numPr>
        <w:spacing w:after="0" w:line="240" w:lineRule="auto"/>
        <w:rPr>
          <w:szCs w:val="24"/>
        </w:rPr>
      </w:pPr>
      <w:r w:rsidRPr="008E25B2">
        <w:rPr>
          <w:szCs w:val="24"/>
        </w:rPr>
        <w:t>The Care Act 2014</w:t>
      </w:r>
    </w:p>
    <w:p w14:paraId="4AA1FA9A" w14:textId="77777777" w:rsidR="000D2B2D" w:rsidRPr="008E25B2" w:rsidRDefault="000D2B2D" w:rsidP="000D2B2D">
      <w:pPr>
        <w:pStyle w:val="BodyTextIndent"/>
        <w:numPr>
          <w:ilvl w:val="2"/>
          <w:numId w:val="1"/>
        </w:numPr>
        <w:spacing w:after="0" w:line="240" w:lineRule="auto"/>
        <w:rPr>
          <w:szCs w:val="24"/>
        </w:rPr>
      </w:pPr>
      <w:r w:rsidRPr="008E25B2">
        <w:rPr>
          <w:szCs w:val="24"/>
        </w:rPr>
        <w:t>No Secrets Guidance 2000</w:t>
      </w:r>
    </w:p>
    <w:p w14:paraId="4317C747" w14:textId="35861ACE" w:rsidR="000D2B2D" w:rsidRPr="008E25B2" w:rsidRDefault="000D2B2D" w:rsidP="000D2B2D">
      <w:pPr>
        <w:pStyle w:val="BodyTextIndent"/>
        <w:numPr>
          <w:ilvl w:val="2"/>
          <w:numId w:val="1"/>
        </w:numPr>
        <w:spacing w:after="0" w:line="240" w:lineRule="auto"/>
        <w:rPr>
          <w:szCs w:val="24"/>
        </w:rPr>
      </w:pPr>
      <w:r w:rsidRPr="008E25B2">
        <w:rPr>
          <w:szCs w:val="24"/>
        </w:rPr>
        <w:t>Data Protection Act</w:t>
      </w:r>
      <w:r w:rsidR="00086E74" w:rsidRPr="008E25B2">
        <w:rPr>
          <w:szCs w:val="24"/>
        </w:rPr>
        <w:t xml:space="preserve"> 2018</w:t>
      </w:r>
      <w:r w:rsidRPr="008E25B2">
        <w:rPr>
          <w:szCs w:val="24"/>
        </w:rPr>
        <w:t xml:space="preserve"> </w:t>
      </w:r>
    </w:p>
    <w:p w14:paraId="6279829C" w14:textId="12A4A9F2" w:rsidR="00086E74" w:rsidRPr="008E25B2" w:rsidRDefault="00086E74" w:rsidP="000D2B2D">
      <w:pPr>
        <w:pStyle w:val="BodyTextIndent"/>
        <w:numPr>
          <w:ilvl w:val="2"/>
          <w:numId w:val="1"/>
        </w:numPr>
        <w:spacing w:after="0" w:line="240" w:lineRule="auto"/>
        <w:rPr>
          <w:szCs w:val="24"/>
        </w:rPr>
      </w:pPr>
      <w:r w:rsidRPr="008E25B2">
        <w:rPr>
          <w:szCs w:val="24"/>
        </w:rPr>
        <w:t>GDPR 2018</w:t>
      </w:r>
    </w:p>
    <w:p w14:paraId="0244D23A" w14:textId="77777777" w:rsidR="000D2B2D" w:rsidRPr="008E25B2" w:rsidRDefault="000D2B2D" w:rsidP="000D2B2D">
      <w:pPr>
        <w:widowControl w:val="0"/>
        <w:autoSpaceDE w:val="0"/>
        <w:autoSpaceDN w:val="0"/>
        <w:adjustRightInd w:val="0"/>
        <w:ind w:left="720"/>
        <w:rPr>
          <w:rFonts w:cs="Arial"/>
          <w:lang w:val="en-US"/>
        </w:rPr>
      </w:pPr>
    </w:p>
    <w:p w14:paraId="2541AFF9" w14:textId="77777777" w:rsidR="000D2B2D" w:rsidRPr="008E25B2" w:rsidRDefault="000D2B2D" w:rsidP="000D2B2D">
      <w:pPr>
        <w:pStyle w:val="BodyTextIndent"/>
        <w:numPr>
          <w:ilvl w:val="1"/>
          <w:numId w:val="1"/>
        </w:numPr>
        <w:spacing w:after="0" w:line="240" w:lineRule="auto"/>
        <w:rPr>
          <w:b/>
          <w:szCs w:val="24"/>
        </w:rPr>
      </w:pPr>
      <w:r w:rsidRPr="008E25B2">
        <w:rPr>
          <w:b/>
          <w:szCs w:val="24"/>
        </w:rPr>
        <w:t>Internal</w:t>
      </w:r>
    </w:p>
    <w:p w14:paraId="6408A013" w14:textId="77777777" w:rsidR="000D2B2D" w:rsidRPr="008E25B2" w:rsidRDefault="000D2B2D" w:rsidP="000D2B2D">
      <w:pPr>
        <w:pStyle w:val="BodyTextIndent"/>
        <w:numPr>
          <w:ilvl w:val="2"/>
          <w:numId w:val="1"/>
        </w:numPr>
        <w:spacing w:after="0" w:line="240" w:lineRule="auto"/>
        <w:rPr>
          <w:szCs w:val="24"/>
        </w:rPr>
      </w:pPr>
      <w:r w:rsidRPr="008E25B2">
        <w:rPr>
          <w:szCs w:val="24"/>
        </w:rPr>
        <w:t>Protocols and Guidance for Kent and Medway</w:t>
      </w:r>
    </w:p>
    <w:p w14:paraId="39F1E7B9" w14:textId="77777777" w:rsidR="000D2B2D" w:rsidRPr="008E25B2" w:rsidRDefault="000D2B2D" w:rsidP="000D2B2D">
      <w:pPr>
        <w:pStyle w:val="BodyTextIndent"/>
        <w:numPr>
          <w:ilvl w:val="2"/>
          <w:numId w:val="1"/>
        </w:numPr>
        <w:spacing w:after="0" w:line="240" w:lineRule="auto"/>
        <w:rPr>
          <w:szCs w:val="24"/>
        </w:rPr>
      </w:pPr>
      <w:r w:rsidRPr="008E25B2">
        <w:rPr>
          <w:szCs w:val="24"/>
        </w:rPr>
        <w:t>Employee Code of Conduct</w:t>
      </w:r>
    </w:p>
    <w:p w14:paraId="1053707D" w14:textId="77777777" w:rsidR="000D2B2D" w:rsidRPr="008E25B2" w:rsidRDefault="000D2B2D" w:rsidP="000D2B2D">
      <w:pPr>
        <w:pStyle w:val="BodyTextIndent"/>
        <w:numPr>
          <w:ilvl w:val="2"/>
          <w:numId w:val="1"/>
        </w:numPr>
        <w:spacing w:after="0" w:line="240" w:lineRule="auto"/>
        <w:rPr>
          <w:szCs w:val="24"/>
        </w:rPr>
      </w:pPr>
      <w:r w:rsidRPr="008E25B2">
        <w:rPr>
          <w:szCs w:val="24"/>
        </w:rPr>
        <w:t xml:space="preserve">Homes for Independent Living Handbook </w:t>
      </w:r>
    </w:p>
    <w:p w14:paraId="6C0F1B70" w14:textId="77777777" w:rsidR="000D2B2D" w:rsidRPr="008E25B2" w:rsidRDefault="000D2B2D" w:rsidP="000D2B2D">
      <w:pPr>
        <w:pStyle w:val="BodyTextIndent"/>
        <w:numPr>
          <w:ilvl w:val="2"/>
          <w:numId w:val="1"/>
        </w:numPr>
        <w:spacing w:after="0" w:line="240" w:lineRule="auto"/>
        <w:rPr>
          <w:szCs w:val="24"/>
        </w:rPr>
      </w:pPr>
      <w:r w:rsidRPr="008E25B2">
        <w:rPr>
          <w:szCs w:val="24"/>
        </w:rPr>
        <w:t>Safeguarding alert procedure</w:t>
      </w:r>
    </w:p>
    <w:p w14:paraId="1A9C8217" w14:textId="77777777" w:rsidR="000D2B2D" w:rsidRPr="008E25B2" w:rsidRDefault="000D2B2D" w:rsidP="000D2B2D">
      <w:pPr>
        <w:pStyle w:val="BodyTextIndent"/>
        <w:numPr>
          <w:ilvl w:val="2"/>
          <w:numId w:val="1"/>
        </w:numPr>
        <w:spacing w:after="0" w:line="240" w:lineRule="auto"/>
        <w:rPr>
          <w:szCs w:val="24"/>
        </w:rPr>
      </w:pPr>
      <w:r w:rsidRPr="008E25B2">
        <w:rPr>
          <w:szCs w:val="24"/>
        </w:rPr>
        <w:t>Safeguarding guidelines</w:t>
      </w:r>
    </w:p>
    <w:p w14:paraId="01375D23" w14:textId="77777777" w:rsidR="00AA150F" w:rsidRPr="008E25B2" w:rsidRDefault="00AA150F" w:rsidP="00AA150F">
      <w:pPr>
        <w:pStyle w:val="Heading1"/>
        <w:numPr>
          <w:ilvl w:val="0"/>
          <w:numId w:val="1"/>
        </w:numPr>
      </w:pPr>
      <w:r w:rsidRPr="008E25B2">
        <w:t>Policy</w:t>
      </w:r>
    </w:p>
    <w:p w14:paraId="43FCC4B5" w14:textId="77777777" w:rsidR="000D2B2D" w:rsidRPr="008E25B2" w:rsidRDefault="000D2B2D" w:rsidP="000D2B2D">
      <w:pPr>
        <w:pStyle w:val="Heading2"/>
      </w:pPr>
      <w:r w:rsidRPr="008E25B2">
        <w:t>Employee awareness</w:t>
      </w:r>
    </w:p>
    <w:p w14:paraId="5313280C" w14:textId="77777777" w:rsidR="000D2B2D" w:rsidRPr="008E25B2" w:rsidRDefault="000D2B2D" w:rsidP="000D2B2D">
      <w:pPr>
        <w:pStyle w:val="BodyTextIndent"/>
        <w:numPr>
          <w:ilvl w:val="1"/>
          <w:numId w:val="1"/>
        </w:numPr>
        <w:spacing w:after="0" w:line="240" w:lineRule="auto"/>
      </w:pPr>
      <w:r w:rsidRPr="008E25B2">
        <w:rPr>
          <w:lang w:eastAsia="en-GB"/>
        </w:rPr>
        <w:t>Employees</w:t>
      </w:r>
      <w:r w:rsidRPr="008E25B2">
        <w:t xml:space="preserve"> are trained to recognise the potential signs of abuse and understand their role and responsibility in safeguarding vulnerable adults.</w:t>
      </w:r>
    </w:p>
    <w:p w14:paraId="20F446ED" w14:textId="77777777" w:rsidR="000D2B2D" w:rsidRPr="008E25B2" w:rsidRDefault="000D2B2D" w:rsidP="000D2B2D">
      <w:pPr>
        <w:pStyle w:val="BodyTextIndent"/>
        <w:ind w:left="502"/>
        <w:rPr>
          <w:sz w:val="18"/>
          <w:lang w:eastAsia="en-GB"/>
        </w:rPr>
      </w:pPr>
    </w:p>
    <w:p w14:paraId="5651C185"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Employees are provided with procedures for reporting and handling safeguarding issues.</w:t>
      </w:r>
    </w:p>
    <w:p w14:paraId="1979F9D7" w14:textId="77777777" w:rsidR="000D2B2D" w:rsidRPr="008E25B2" w:rsidRDefault="000D2B2D" w:rsidP="000D2B2D">
      <w:pPr>
        <w:pStyle w:val="BodyTextIndent"/>
        <w:ind w:left="502"/>
        <w:rPr>
          <w:sz w:val="18"/>
          <w:lang w:eastAsia="en-GB"/>
        </w:rPr>
      </w:pPr>
    </w:p>
    <w:p w14:paraId="77725D82"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Diversity Impact Assessments are carried out on Council policies and procedures are reviewed to identify and mitigate any practices that could place vulnerable adults at risk.</w:t>
      </w:r>
    </w:p>
    <w:p w14:paraId="797A2B1A" w14:textId="77777777" w:rsidR="000D2B2D" w:rsidRPr="008E25B2" w:rsidRDefault="000D2B2D" w:rsidP="000D2B2D">
      <w:pPr>
        <w:pStyle w:val="BodyTextIndent"/>
        <w:ind w:left="502"/>
        <w:rPr>
          <w:sz w:val="18"/>
          <w:lang w:eastAsia="en-GB"/>
        </w:rPr>
      </w:pPr>
    </w:p>
    <w:p w14:paraId="5ED46D6B" w14:textId="5CEDEEF1" w:rsidR="000D2B2D" w:rsidRPr="008E25B2" w:rsidRDefault="006A776A" w:rsidP="000D2B2D">
      <w:pPr>
        <w:pStyle w:val="BodyTextIndent"/>
        <w:numPr>
          <w:ilvl w:val="1"/>
          <w:numId w:val="1"/>
        </w:numPr>
        <w:spacing w:after="0" w:line="240" w:lineRule="auto"/>
        <w:rPr>
          <w:lang w:eastAsia="en-GB"/>
        </w:rPr>
      </w:pPr>
      <w:r w:rsidRPr="008E25B2">
        <w:rPr>
          <w:szCs w:val="24"/>
        </w:rPr>
        <w:t>Housing</w:t>
      </w:r>
      <w:r w:rsidR="000D2B2D" w:rsidRPr="008E25B2">
        <w:rPr>
          <w:szCs w:val="24"/>
        </w:rPr>
        <w:t xml:space="preserve"> Services </w:t>
      </w:r>
      <w:r w:rsidR="000D2B2D" w:rsidRPr="008E25B2">
        <w:rPr>
          <w:lang w:eastAsia="en-GB"/>
        </w:rPr>
        <w:t xml:space="preserve">review and learn from best practice of other authorities </w:t>
      </w:r>
      <w:proofErr w:type="gramStart"/>
      <w:r w:rsidR="000D2B2D" w:rsidRPr="008E25B2">
        <w:rPr>
          <w:lang w:eastAsia="en-GB"/>
        </w:rPr>
        <w:t>in regards to</w:t>
      </w:r>
      <w:proofErr w:type="gramEnd"/>
      <w:r w:rsidR="000D2B2D" w:rsidRPr="008E25B2">
        <w:rPr>
          <w:lang w:eastAsia="en-GB"/>
        </w:rPr>
        <w:t xml:space="preserve"> dealing with safeguarding issues. </w:t>
      </w:r>
    </w:p>
    <w:p w14:paraId="16768E25" w14:textId="77777777" w:rsidR="000D2B2D" w:rsidRPr="008E25B2" w:rsidRDefault="000D2B2D" w:rsidP="000D2B2D">
      <w:pPr>
        <w:pStyle w:val="BodyTextIndent"/>
        <w:ind w:left="502"/>
        <w:rPr>
          <w:sz w:val="18"/>
          <w:lang w:eastAsia="en-GB"/>
        </w:rPr>
      </w:pPr>
    </w:p>
    <w:p w14:paraId="5D37E6F9" w14:textId="77777777" w:rsidR="000D2B2D" w:rsidRPr="008E25B2" w:rsidRDefault="000D2B2D" w:rsidP="000D2B2D">
      <w:pPr>
        <w:pStyle w:val="Heading2"/>
      </w:pPr>
      <w:r w:rsidRPr="008E25B2">
        <w:t>Reporting safeguarding issues</w:t>
      </w:r>
    </w:p>
    <w:p w14:paraId="44A4CDE0" w14:textId="77777777" w:rsidR="000D2B2D" w:rsidRPr="008E25B2" w:rsidRDefault="000D2B2D" w:rsidP="000D2B2D">
      <w:pPr>
        <w:pStyle w:val="BodyTextIndent"/>
        <w:numPr>
          <w:ilvl w:val="1"/>
          <w:numId w:val="1"/>
        </w:numPr>
        <w:spacing w:after="0" w:line="240" w:lineRule="auto"/>
        <w:rPr>
          <w:lang w:eastAsia="en-GB"/>
        </w:rPr>
      </w:pPr>
      <w:r w:rsidRPr="008E25B2">
        <w:rPr>
          <w:lang w:eastAsia="en-GB"/>
        </w:rPr>
        <w:t>Residents and/or their advocates can report any form of abuse or neglect either they or another resident are experiencing to the Scheme Support Officers.</w:t>
      </w:r>
    </w:p>
    <w:p w14:paraId="017AE80A" w14:textId="77777777" w:rsidR="000D2B2D" w:rsidRPr="008E25B2" w:rsidRDefault="000D2B2D" w:rsidP="000D2B2D">
      <w:pPr>
        <w:pStyle w:val="BodyTextIndent"/>
        <w:ind w:left="502"/>
        <w:rPr>
          <w:sz w:val="18"/>
          <w:lang w:eastAsia="en-GB"/>
        </w:rPr>
      </w:pPr>
    </w:p>
    <w:p w14:paraId="63247D0E" w14:textId="15DC26BF" w:rsidR="000D2B2D" w:rsidRPr="008E25B2" w:rsidRDefault="000D2B2D" w:rsidP="000D2B2D">
      <w:pPr>
        <w:pStyle w:val="BodyTextIndent"/>
        <w:numPr>
          <w:ilvl w:val="1"/>
          <w:numId w:val="1"/>
        </w:numPr>
        <w:spacing w:after="0" w:line="240" w:lineRule="auto"/>
        <w:rPr>
          <w:lang w:eastAsia="en-GB"/>
        </w:rPr>
      </w:pPr>
      <w:r w:rsidRPr="008E25B2">
        <w:rPr>
          <w:lang w:eastAsia="en-GB"/>
        </w:rPr>
        <w:t>Residents and/or their advocates can raise concerns about Medway Council employees and our contractors to the Scheme Support Officers or Senior HFIL Managers. Concerns can also be reported directly to the Medway Adult Social Care Department on 01634 33 44 66 between 8.30am and 5pm, or at any other time our out-of-hours </w:t>
      </w:r>
      <w:r w:rsidR="00624A5A" w:rsidRPr="008E25B2">
        <w:rPr>
          <w:lang w:eastAsia="en-GB"/>
        </w:rPr>
        <w:t xml:space="preserve">KCC </w:t>
      </w:r>
      <w:r w:rsidRPr="008E25B2">
        <w:rPr>
          <w:lang w:eastAsia="en-GB"/>
        </w:rPr>
        <w:t>service on 03000 41 91 91.</w:t>
      </w:r>
    </w:p>
    <w:p w14:paraId="09DE6F7C" w14:textId="77777777" w:rsidR="000D2B2D" w:rsidRPr="008E25B2" w:rsidRDefault="000D2B2D" w:rsidP="000D2B2D">
      <w:pPr>
        <w:ind w:left="644"/>
        <w:rPr>
          <w:rFonts w:cs="Arial"/>
          <w:sz w:val="18"/>
        </w:rPr>
      </w:pPr>
    </w:p>
    <w:p w14:paraId="3567AE7B" w14:textId="77777777" w:rsidR="000D2B2D" w:rsidRPr="008E25B2" w:rsidRDefault="000D2B2D" w:rsidP="000D2B2D">
      <w:pPr>
        <w:pStyle w:val="BodyTextIndent"/>
        <w:numPr>
          <w:ilvl w:val="1"/>
          <w:numId w:val="1"/>
        </w:numPr>
        <w:spacing w:after="0" w:line="240" w:lineRule="auto"/>
      </w:pPr>
      <w:r w:rsidRPr="008E25B2">
        <w:t xml:space="preserve">Medway Council have a Whistleblowing Policy to support anyone that wishes to </w:t>
      </w:r>
      <w:r w:rsidRPr="008E25B2">
        <w:rPr>
          <w:lang w:eastAsia="en-GB"/>
        </w:rPr>
        <w:t>raise</w:t>
      </w:r>
      <w:r w:rsidRPr="008E25B2">
        <w:t xml:space="preserve"> concerns relating to safeguarding issues. </w:t>
      </w:r>
    </w:p>
    <w:p w14:paraId="659D74A1" w14:textId="77777777" w:rsidR="000D2B2D" w:rsidRPr="008E25B2" w:rsidRDefault="000D2B2D" w:rsidP="000D2B2D">
      <w:pPr>
        <w:ind w:left="644"/>
        <w:rPr>
          <w:rFonts w:cs="Arial"/>
          <w:sz w:val="18"/>
        </w:rPr>
      </w:pPr>
    </w:p>
    <w:p w14:paraId="64903D6C" w14:textId="77777777" w:rsidR="000D2B2D" w:rsidRPr="008E25B2" w:rsidRDefault="000D2B2D" w:rsidP="000D2B2D">
      <w:pPr>
        <w:pStyle w:val="Heading2"/>
      </w:pPr>
      <w:r w:rsidRPr="008E25B2">
        <w:t>Responding to safeguarding issues</w:t>
      </w:r>
    </w:p>
    <w:p w14:paraId="0C913885" w14:textId="6BC378B1" w:rsidR="000D2B2D" w:rsidRPr="008E25B2" w:rsidRDefault="009F4F37" w:rsidP="000D2B2D">
      <w:pPr>
        <w:pStyle w:val="BodyTextIndent"/>
        <w:numPr>
          <w:ilvl w:val="1"/>
          <w:numId w:val="1"/>
        </w:numPr>
        <w:spacing w:after="0" w:line="240" w:lineRule="auto"/>
      </w:pPr>
      <w:r w:rsidRPr="008E25B2">
        <w:rPr>
          <w:szCs w:val="24"/>
        </w:rPr>
        <w:t>Housing</w:t>
      </w:r>
      <w:r w:rsidR="000D2B2D" w:rsidRPr="008E25B2">
        <w:rPr>
          <w:szCs w:val="24"/>
        </w:rPr>
        <w:t xml:space="preserve"> Services </w:t>
      </w:r>
      <w:r w:rsidR="000D2B2D" w:rsidRPr="008E25B2">
        <w:t>immediately respond to concerns raised about abuse of a vulnerable adult.</w:t>
      </w:r>
    </w:p>
    <w:p w14:paraId="3A320974" w14:textId="77777777" w:rsidR="000D2B2D" w:rsidRPr="008E25B2" w:rsidRDefault="000D2B2D" w:rsidP="000D2B2D">
      <w:pPr>
        <w:pStyle w:val="BodyTextIndent"/>
        <w:ind w:left="502" w:hanging="622"/>
        <w:rPr>
          <w:sz w:val="18"/>
        </w:rPr>
      </w:pPr>
    </w:p>
    <w:p w14:paraId="2CA17764" w14:textId="77777777" w:rsidR="000D2B2D" w:rsidRPr="008E25B2" w:rsidRDefault="000D2B2D" w:rsidP="000D2B2D">
      <w:pPr>
        <w:pStyle w:val="BodyTextIndent"/>
        <w:numPr>
          <w:ilvl w:val="1"/>
          <w:numId w:val="1"/>
        </w:numPr>
        <w:spacing w:after="0" w:line="240" w:lineRule="auto"/>
      </w:pPr>
      <w:r w:rsidRPr="008E25B2">
        <w:t xml:space="preserve">Employees support the people affected by the abuse and always respect the rights and wishes of the individual. </w:t>
      </w:r>
    </w:p>
    <w:p w14:paraId="496DFF69" w14:textId="77777777" w:rsidR="000D2B2D" w:rsidRPr="008E25B2" w:rsidRDefault="000D2B2D" w:rsidP="000D2B2D">
      <w:pPr>
        <w:pStyle w:val="BodyTextIndent"/>
        <w:ind w:left="502" w:hanging="622"/>
        <w:rPr>
          <w:sz w:val="18"/>
        </w:rPr>
      </w:pPr>
    </w:p>
    <w:p w14:paraId="1BEC2EF2" w14:textId="3948E18E" w:rsidR="000D2B2D" w:rsidRDefault="00FB2F5C" w:rsidP="000D2B2D">
      <w:pPr>
        <w:pStyle w:val="BodyTextIndent"/>
        <w:numPr>
          <w:ilvl w:val="1"/>
          <w:numId w:val="1"/>
        </w:numPr>
        <w:spacing w:after="0" w:line="240" w:lineRule="auto"/>
      </w:pPr>
      <w:r w:rsidRPr="008E25B2">
        <w:rPr>
          <w:szCs w:val="24"/>
        </w:rPr>
        <w:t>Housing</w:t>
      </w:r>
      <w:r w:rsidR="000D2B2D" w:rsidRPr="008E25B2">
        <w:rPr>
          <w:szCs w:val="24"/>
        </w:rPr>
        <w:t xml:space="preserve"> Services </w:t>
      </w:r>
      <w:r w:rsidR="000D2B2D" w:rsidRPr="008E25B2">
        <w:t xml:space="preserve">involve other agencies if it is warranted by the severity of the case.  This is done in line with </w:t>
      </w:r>
      <w:r w:rsidR="00086E74" w:rsidRPr="008E25B2">
        <w:t xml:space="preserve">GDPR 2018. </w:t>
      </w:r>
    </w:p>
    <w:p w14:paraId="5343AA18" w14:textId="77777777" w:rsidR="00831D9A" w:rsidRDefault="00831D9A" w:rsidP="00831D9A">
      <w:pPr>
        <w:pStyle w:val="ListParagraph"/>
      </w:pPr>
    </w:p>
    <w:p w14:paraId="65E144D1" w14:textId="77777777" w:rsidR="00831D9A" w:rsidRDefault="00831D9A" w:rsidP="00831D9A">
      <w:pPr>
        <w:pStyle w:val="BodyTextIndent"/>
        <w:numPr>
          <w:ilvl w:val="1"/>
          <w:numId w:val="1"/>
        </w:numPr>
        <w:spacing w:after="0" w:line="240" w:lineRule="auto"/>
      </w:pPr>
      <w:r w:rsidRPr="008E25B2">
        <w:rPr>
          <w:szCs w:val="24"/>
        </w:rPr>
        <w:t xml:space="preserve">Housing Services </w:t>
      </w:r>
      <w:r w:rsidRPr="008E25B2">
        <w:t>record and store residents’ information relating to safeguarding issues in line with GDPR 2018</w:t>
      </w:r>
    </w:p>
    <w:p w14:paraId="464A83C1" w14:textId="77777777" w:rsidR="00831D9A" w:rsidRDefault="00831D9A" w:rsidP="00831D9A">
      <w:pPr>
        <w:pStyle w:val="ListParagraph"/>
      </w:pPr>
    </w:p>
    <w:p w14:paraId="55B2009A" w14:textId="334ADAE6" w:rsidR="00831D9A" w:rsidRPr="00831D9A" w:rsidRDefault="00831D9A" w:rsidP="00831D9A">
      <w:pPr>
        <w:pStyle w:val="BodyTextIndent"/>
        <w:numPr>
          <w:ilvl w:val="1"/>
          <w:numId w:val="1"/>
        </w:numPr>
        <w:spacing w:after="0" w:line="240" w:lineRule="auto"/>
      </w:pPr>
      <w:r w:rsidRPr="008E25B2">
        <w:t xml:space="preserve">In cases where the perpetrator of the abuse is another resident within the scheme the Tenancy Management Team will be </w:t>
      </w:r>
      <w:proofErr w:type="gramStart"/>
      <w:r w:rsidRPr="008E25B2">
        <w:t>involved</w:t>
      </w:r>
      <w:proofErr w:type="gramEnd"/>
      <w:r w:rsidRPr="008E25B2">
        <w:t xml:space="preserve"> and it will be dealt with as a tenancy issue.  Depending on the circumstances a decant or management move may be considered for either party.</w:t>
      </w:r>
    </w:p>
    <w:p w14:paraId="5243A407" w14:textId="77777777" w:rsidR="00AA150F" w:rsidRPr="008E25B2" w:rsidRDefault="00AA150F" w:rsidP="00AA150F">
      <w:pPr>
        <w:pStyle w:val="Heading1"/>
        <w:numPr>
          <w:ilvl w:val="0"/>
          <w:numId w:val="1"/>
        </w:numPr>
      </w:pPr>
      <w:r w:rsidRPr="008E25B2">
        <w:t xml:space="preserve">Role, </w:t>
      </w:r>
      <w:proofErr w:type="gramStart"/>
      <w:r w:rsidRPr="008E25B2">
        <w:t>responsibilities</w:t>
      </w:r>
      <w:proofErr w:type="gramEnd"/>
      <w:r w:rsidRPr="008E25B2">
        <w:t xml:space="preserve"> and authority</w:t>
      </w:r>
    </w:p>
    <w:p w14:paraId="07F88447" w14:textId="77777777" w:rsidR="00CB11CD" w:rsidRPr="008E25B2" w:rsidRDefault="00CB11CD" w:rsidP="00CB11CD">
      <w:pPr>
        <w:pStyle w:val="ListParagraph"/>
        <w:numPr>
          <w:ilvl w:val="1"/>
          <w:numId w:val="1"/>
        </w:numPr>
        <w:tabs>
          <w:tab w:val="left" w:pos="540"/>
        </w:tabs>
        <w:spacing w:after="0" w:line="240" w:lineRule="auto"/>
        <w:jc w:val="both"/>
      </w:pPr>
      <w:r w:rsidRPr="008E25B2">
        <w:t>The Assistant Director RCET retains the overall responsibility for the implementation of this policy.</w:t>
      </w:r>
    </w:p>
    <w:p w14:paraId="23260FB0" w14:textId="0B530B68" w:rsidR="00CB11CD" w:rsidRPr="008E25B2" w:rsidRDefault="00BB13E7" w:rsidP="00CB11CD">
      <w:pPr>
        <w:pStyle w:val="ListParagraph"/>
        <w:numPr>
          <w:ilvl w:val="1"/>
          <w:numId w:val="1"/>
        </w:numPr>
        <w:tabs>
          <w:tab w:val="left" w:pos="540"/>
        </w:tabs>
        <w:spacing w:after="0" w:line="240" w:lineRule="auto"/>
        <w:jc w:val="both"/>
      </w:pPr>
      <w:r w:rsidRPr="008E25B2">
        <w:t>Chief Housing Officer</w:t>
      </w:r>
      <w:r w:rsidR="00CB11CD" w:rsidRPr="008E25B2">
        <w:t xml:space="preserve"> is responsible for the operational delivery of this policy and the associated procedures. This includes responsibility for monitoring and review, staff awareness and training, policy development and communication to customers.</w:t>
      </w:r>
    </w:p>
    <w:p w14:paraId="063486B8" w14:textId="77777777" w:rsidR="00AA150F" w:rsidRPr="008E25B2" w:rsidRDefault="00AA150F" w:rsidP="00AA150F">
      <w:pPr>
        <w:pStyle w:val="Heading1"/>
        <w:numPr>
          <w:ilvl w:val="0"/>
          <w:numId w:val="1"/>
        </w:numPr>
      </w:pPr>
      <w:r w:rsidRPr="008E25B2">
        <w:t xml:space="preserve">Monitoring, </w:t>
      </w:r>
      <w:proofErr w:type="gramStart"/>
      <w:r w:rsidRPr="008E25B2">
        <w:t>review</w:t>
      </w:r>
      <w:proofErr w:type="gramEnd"/>
      <w:r w:rsidRPr="008E25B2">
        <w:t xml:space="preserve"> and evaluation</w:t>
      </w:r>
    </w:p>
    <w:p w14:paraId="2820E1AA" w14:textId="77777777" w:rsidR="000D2B2D" w:rsidRPr="008E25B2" w:rsidRDefault="000D2B2D" w:rsidP="000D2B2D">
      <w:pPr>
        <w:pStyle w:val="BodyTextIndent"/>
        <w:numPr>
          <w:ilvl w:val="1"/>
          <w:numId w:val="1"/>
        </w:numPr>
        <w:spacing w:after="0" w:line="240" w:lineRule="auto"/>
      </w:pPr>
      <w:r w:rsidRPr="008E25B2">
        <w:t xml:space="preserve">Regular monitoring will take place to ensure that Scheme Support Officers adhere to this policy. </w:t>
      </w:r>
    </w:p>
    <w:p w14:paraId="107DFFAB" w14:textId="77777777" w:rsidR="000D2B2D" w:rsidRPr="008E25B2" w:rsidRDefault="000D2B2D" w:rsidP="000D2B2D">
      <w:pPr>
        <w:pStyle w:val="BodyTextIndent"/>
        <w:ind w:left="502"/>
        <w:rPr>
          <w:sz w:val="18"/>
        </w:rPr>
      </w:pPr>
    </w:p>
    <w:p w14:paraId="4CC5EC7B" w14:textId="6C7D302F" w:rsidR="000D2B2D" w:rsidRPr="008E25B2" w:rsidRDefault="000D2B2D" w:rsidP="000D2B2D">
      <w:pPr>
        <w:pStyle w:val="BodyTextIndent"/>
        <w:numPr>
          <w:ilvl w:val="1"/>
          <w:numId w:val="1"/>
        </w:numPr>
        <w:spacing w:after="0" w:line="240" w:lineRule="auto"/>
      </w:pPr>
      <w:r w:rsidRPr="008E25B2">
        <w:t xml:space="preserve">The results will be used by </w:t>
      </w:r>
      <w:r w:rsidR="00BB13E7" w:rsidRPr="008E25B2">
        <w:rPr>
          <w:szCs w:val="24"/>
        </w:rPr>
        <w:t>Housing</w:t>
      </w:r>
      <w:r w:rsidRPr="008E25B2">
        <w:rPr>
          <w:szCs w:val="24"/>
        </w:rPr>
        <w:t xml:space="preserve"> Services </w:t>
      </w:r>
      <w:r w:rsidRPr="008E25B2">
        <w:t xml:space="preserve">to inform future policy review in this area and </w:t>
      </w:r>
      <w:proofErr w:type="gramStart"/>
      <w:r w:rsidRPr="008E25B2">
        <w:t>drive up</w:t>
      </w:r>
      <w:proofErr w:type="gramEnd"/>
      <w:r w:rsidRPr="008E25B2">
        <w:t xml:space="preserve"> service standards. All reviews will consider whether:</w:t>
      </w:r>
    </w:p>
    <w:p w14:paraId="600E0EB6" w14:textId="77777777" w:rsidR="000D2B2D" w:rsidRPr="008E25B2" w:rsidRDefault="000D2B2D" w:rsidP="000D2B2D">
      <w:pPr>
        <w:pStyle w:val="BodyTextIndent"/>
        <w:numPr>
          <w:ilvl w:val="2"/>
          <w:numId w:val="1"/>
        </w:numPr>
        <w:tabs>
          <w:tab w:val="left" w:pos="840"/>
        </w:tabs>
        <w:spacing w:after="0" w:line="240" w:lineRule="auto"/>
      </w:pPr>
      <w:r w:rsidRPr="008E25B2">
        <w:t>The current policy adheres to legislative and regulatory requirements and reflects current good practice;</w:t>
      </w:r>
    </w:p>
    <w:p w14:paraId="165748C4" w14:textId="77777777" w:rsidR="000D2B2D" w:rsidRPr="008E25B2" w:rsidRDefault="000D2B2D" w:rsidP="000D2B2D">
      <w:pPr>
        <w:pStyle w:val="BodyTextIndent"/>
        <w:numPr>
          <w:ilvl w:val="2"/>
          <w:numId w:val="1"/>
        </w:numPr>
        <w:tabs>
          <w:tab w:val="left" w:pos="840"/>
        </w:tabs>
        <w:spacing w:after="0" w:line="240" w:lineRule="auto"/>
      </w:pPr>
      <w:r w:rsidRPr="008E25B2">
        <w:t>The aims and objectives of the policy are being met;</w:t>
      </w:r>
    </w:p>
    <w:p w14:paraId="2D8F4937" w14:textId="77777777" w:rsidR="000D2B2D" w:rsidRPr="008E25B2" w:rsidRDefault="000D2B2D" w:rsidP="000D2B2D">
      <w:pPr>
        <w:pStyle w:val="BodyTextIndent"/>
        <w:numPr>
          <w:ilvl w:val="2"/>
          <w:numId w:val="1"/>
        </w:numPr>
        <w:tabs>
          <w:tab w:val="left" w:pos="840"/>
        </w:tabs>
        <w:spacing w:after="0" w:line="240" w:lineRule="auto"/>
      </w:pPr>
      <w:r w:rsidRPr="008E25B2">
        <w:t>The current policy outcomes meet the needs and aspirations of our diverse resident base;</w:t>
      </w:r>
    </w:p>
    <w:p w14:paraId="6CF89DCB" w14:textId="77777777" w:rsidR="000D2B2D" w:rsidRPr="008E25B2" w:rsidRDefault="000D2B2D" w:rsidP="000D2B2D">
      <w:pPr>
        <w:pStyle w:val="BodyTextIndent"/>
        <w:numPr>
          <w:ilvl w:val="2"/>
          <w:numId w:val="1"/>
        </w:numPr>
        <w:tabs>
          <w:tab w:val="left" w:pos="840"/>
        </w:tabs>
        <w:spacing w:after="0" w:line="240" w:lineRule="auto"/>
      </w:pPr>
      <w:r w:rsidRPr="008E25B2">
        <w:t>Residents are aware of and understand the policy and believe it to be consistent and fair;</w:t>
      </w:r>
    </w:p>
    <w:p w14:paraId="18CA5448" w14:textId="152C581A" w:rsidR="000D2B2D" w:rsidRPr="008E25B2" w:rsidRDefault="000D2B2D" w:rsidP="000D2B2D">
      <w:pPr>
        <w:pStyle w:val="BodyTextIndent"/>
        <w:numPr>
          <w:ilvl w:val="2"/>
          <w:numId w:val="1"/>
        </w:numPr>
        <w:tabs>
          <w:tab w:val="left" w:pos="840"/>
        </w:tabs>
        <w:spacing w:after="0" w:line="240" w:lineRule="auto"/>
      </w:pPr>
      <w:r w:rsidRPr="008E25B2">
        <w:t xml:space="preserve">The policy provides sufficient choice for </w:t>
      </w:r>
      <w:proofErr w:type="gramStart"/>
      <w:r w:rsidRPr="008E25B2">
        <w:t>residents;;</w:t>
      </w:r>
      <w:proofErr w:type="gramEnd"/>
    </w:p>
    <w:p w14:paraId="2510186A" w14:textId="77777777" w:rsidR="000D2B2D" w:rsidRPr="008E25B2" w:rsidRDefault="000D2B2D" w:rsidP="000D2B2D">
      <w:pPr>
        <w:pStyle w:val="BodyTextIndent"/>
        <w:numPr>
          <w:ilvl w:val="2"/>
          <w:numId w:val="1"/>
        </w:numPr>
        <w:tabs>
          <w:tab w:val="left" w:pos="840"/>
        </w:tabs>
        <w:spacing w:after="0" w:line="240" w:lineRule="auto"/>
      </w:pPr>
      <w:r w:rsidRPr="008E25B2">
        <w:t>Partnership arrangements are working effectively.</w:t>
      </w:r>
    </w:p>
    <w:p w14:paraId="75854E35" w14:textId="77777777" w:rsidR="000D2B2D" w:rsidRPr="008E25B2" w:rsidRDefault="000D2B2D" w:rsidP="000D2B2D">
      <w:pPr>
        <w:pStyle w:val="BodyTextIndent"/>
        <w:ind w:left="502"/>
        <w:rPr>
          <w:sz w:val="18"/>
        </w:rPr>
      </w:pPr>
    </w:p>
    <w:p w14:paraId="16162DD5" w14:textId="77777777" w:rsidR="000D2B2D" w:rsidRPr="008E25B2" w:rsidRDefault="000D2B2D" w:rsidP="000D2B2D">
      <w:pPr>
        <w:pStyle w:val="BodyTextIndent"/>
        <w:numPr>
          <w:ilvl w:val="1"/>
          <w:numId w:val="1"/>
        </w:numPr>
        <w:spacing w:after="0" w:line="240" w:lineRule="auto"/>
      </w:pPr>
      <w:r w:rsidRPr="008E25B2">
        <w:t>Overall monitoring and review of the policy will be undertaken in consultation with:</w:t>
      </w:r>
    </w:p>
    <w:p w14:paraId="6BE9117A" w14:textId="77777777" w:rsidR="000D2B2D" w:rsidRPr="008E25B2" w:rsidRDefault="000D2B2D" w:rsidP="000D2B2D">
      <w:pPr>
        <w:pStyle w:val="BodyTextIndent"/>
        <w:numPr>
          <w:ilvl w:val="2"/>
          <w:numId w:val="1"/>
        </w:numPr>
        <w:tabs>
          <w:tab w:val="left" w:pos="840"/>
        </w:tabs>
        <w:spacing w:after="0" w:line="240" w:lineRule="auto"/>
      </w:pPr>
      <w:r w:rsidRPr="008E25B2">
        <w:t>Staff groups;</w:t>
      </w:r>
    </w:p>
    <w:p w14:paraId="67507200" w14:textId="77777777" w:rsidR="000D2B2D" w:rsidRPr="008E25B2" w:rsidRDefault="000D2B2D" w:rsidP="000D2B2D">
      <w:pPr>
        <w:pStyle w:val="BodyTextIndent"/>
        <w:numPr>
          <w:ilvl w:val="2"/>
          <w:numId w:val="1"/>
        </w:numPr>
        <w:tabs>
          <w:tab w:val="left" w:pos="840"/>
        </w:tabs>
        <w:spacing w:after="0" w:line="240" w:lineRule="auto"/>
      </w:pPr>
      <w:r w:rsidRPr="008E25B2">
        <w:t>Members;</w:t>
      </w:r>
    </w:p>
    <w:p w14:paraId="14324D6F" w14:textId="77777777" w:rsidR="000D2B2D" w:rsidRPr="008E25B2" w:rsidRDefault="000D2B2D" w:rsidP="000D2B2D">
      <w:pPr>
        <w:pStyle w:val="BodyTextIndent"/>
        <w:numPr>
          <w:ilvl w:val="2"/>
          <w:numId w:val="1"/>
        </w:numPr>
        <w:tabs>
          <w:tab w:val="left" w:pos="840"/>
        </w:tabs>
        <w:spacing w:after="0" w:line="240" w:lineRule="auto"/>
      </w:pPr>
      <w:r w:rsidRPr="008E25B2">
        <w:t>Existing and future service users;</w:t>
      </w:r>
    </w:p>
    <w:p w14:paraId="68D15039" w14:textId="77777777" w:rsidR="000D2B2D" w:rsidRPr="008E25B2" w:rsidRDefault="000D2B2D" w:rsidP="000D2B2D">
      <w:pPr>
        <w:pStyle w:val="BodyTextIndent"/>
        <w:numPr>
          <w:ilvl w:val="2"/>
          <w:numId w:val="1"/>
        </w:numPr>
        <w:tabs>
          <w:tab w:val="left" w:pos="840"/>
        </w:tabs>
        <w:spacing w:after="0" w:line="240" w:lineRule="auto"/>
      </w:pPr>
      <w:r w:rsidRPr="008E25B2">
        <w:t>Resident and community groups.</w:t>
      </w:r>
    </w:p>
    <w:p w14:paraId="40FF7DB0" w14:textId="77777777" w:rsidR="000D2B2D" w:rsidRPr="008E25B2" w:rsidRDefault="000D2B2D" w:rsidP="000D2B2D">
      <w:pPr>
        <w:widowControl w:val="0"/>
        <w:tabs>
          <w:tab w:val="left" w:pos="0"/>
          <w:tab w:val="left" w:pos="426"/>
        </w:tabs>
        <w:autoSpaceDE w:val="0"/>
        <w:autoSpaceDN w:val="0"/>
        <w:adjustRightInd w:val="0"/>
        <w:rPr>
          <w:rFonts w:cs="Arial"/>
          <w:sz w:val="18"/>
        </w:rPr>
      </w:pPr>
    </w:p>
    <w:p w14:paraId="2485A0C1" w14:textId="77777777" w:rsidR="000D2B2D" w:rsidRPr="008E25B2" w:rsidRDefault="000D2B2D" w:rsidP="000D2B2D">
      <w:pPr>
        <w:pStyle w:val="BodyTextIndent"/>
        <w:numPr>
          <w:ilvl w:val="1"/>
          <w:numId w:val="1"/>
        </w:numPr>
        <w:spacing w:after="0" w:line="240" w:lineRule="auto"/>
      </w:pPr>
      <w:r w:rsidRPr="008E25B2">
        <w:t xml:space="preserve">This policy will be reviewed every 2 years or in line with legislative or regulatory changes. </w:t>
      </w:r>
    </w:p>
    <w:p w14:paraId="3574E175" w14:textId="77777777" w:rsidR="00CB11CD" w:rsidRPr="008E25B2" w:rsidRDefault="00CB11CD" w:rsidP="00AA150F">
      <w:pPr>
        <w:rPr>
          <w:rFonts w:ascii="Arial" w:eastAsia="Times New Roman" w:hAnsi="Arial" w:cs="Arial"/>
          <w:sz w:val="24"/>
          <w:szCs w:val="24"/>
        </w:rPr>
      </w:pPr>
    </w:p>
    <w:p w14:paraId="5FFA1B12" w14:textId="697ED56F" w:rsidR="00AA150F" w:rsidRPr="008E25B2" w:rsidRDefault="000D2B2D" w:rsidP="00AA150F">
      <w:r w:rsidRPr="008E25B2">
        <w:t xml:space="preserve">This version published: </w:t>
      </w:r>
      <w:r w:rsidR="00DE6F77" w:rsidRPr="008E25B2">
        <w:t xml:space="preserve"> </w:t>
      </w:r>
      <w:r w:rsidR="00BB13E7" w:rsidRPr="008E25B2">
        <w:t>May</w:t>
      </w:r>
      <w:r w:rsidR="00DE6F77" w:rsidRPr="008E25B2">
        <w:t xml:space="preserve"> 202</w:t>
      </w:r>
      <w:r w:rsidR="00BB13E7" w:rsidRPr="008E25B2">
        <w:t>3</w:t>
      </w:r>
    </w:p>
    <w:p w14:paraId="18ED6C04" w14:textId="36127700" w:rsidR="00AA150F" w:rsidRDefault="000D2B2D" w:rsidP="00AA150F">
      <w:r w:rsidRPr="008E25B2">
        <w:t xml:space="preserve">Next review due: </w:t>
      </w:r>
      <w:r w:rsidR="00DE6F77" w:rsidRPr="008E25B2">
        <w:t xml:space="preserve"> </w:t>
      </w:r>
      <w:r w:rsidR="00BB13E7" w:rsidRPr="008E25B2">
        <w:t>May</w:t>
      </w:r>
      <w:r w:rsidR="00DE6F77" w:rsidRPr="008E25B2">
        <w:t xml:space="preserve"> 202</w:t>
      </w:r>
      <w:r w:rsidR="00BB13E7" w:rsidRPr="008E25B2">
        <w:t>5</w:t>
      </w:r>
    </w:p>
    <w:p w14:paraId="67558D33"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F8F1" w14:textId="77777777" w:rsidR="00E61EB3" w:rsidRDefault="00E61EB3" w:rsidP="004B135C">
      <w:pPr>
        <w:spacing w:after="0" w:line="240" w:lineRule="auto"/>
      </w:pPr>
      <w:r>
        <w:separator/>
      </w:r>
    </w:p>
  </w:endnote>
  <w:endnote w:type="continuationSeparator" w:id="0">
    <w:p w14:paraId="5FCD38B9" w14:textId="77777777" w:rsidR="00E61EB3" w:rsidRDefault="00E61EB3" w:rsidP="004B135C">
      <w:pPr>
        <w:spacing w:after="0" w:line="240" w:lineRule="auto"/>
      </w:pPr>
      <w:r>
        <w:continuationSeparator/>
      </w:r>
    </w:p>
  </w:endnote>
  <w:endnote w:type="continuationNotice" w:id="1">
    <w:p w14:paraId="01C37547" w14:textId="77777777" w:rsidR="00E61EB3" w:rsidRDefault="00E61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48F7E390" w14:textId="46303EC3"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6E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E74">
              <w:rPr>
                <w:b/>
                <w:bCs/>
                <w:noProof/>
              </w:rPr>
              <w:t>3</w:t>
            </w:r>
            <w:r>
              <w:rPr>
                <w:b/>
                <w:bCs/>
                <w:sz w:val="24"/>
                <w:szCs w:val="24"/>
              </w:rPr>
              <w:fldChar w:fldCharType="end"/>
            </w:r>
          </w:p>
        </w:sdtContent>
      </w:sdt>
    </w:sdtContent>
  </w:sdt>
  <w:p w14:paraId="68E1E9CB"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65CD" w14:textId="77777777" w:rsidR="00E61EB3" w:rsidRDefault="00E61EB3" w:rsidP="004B135C">
      <w:pPr>
        <w:spacing w:after="0" w:line="240" w:lineRule="auto"/>
      </w:pPr>
      <w:r>
        <w:separator/>
      </w:r>
    </w:p>
  </w:footnote>
  <w:footnote w:type="continuationSeparator" w:id="0">
    <w:p w14:paraId="4CA1C364" w14:textId="77777777" w:rsidR="00E61EB3" w:rsidRDefault="00E61EB3" w:rsidP="004B135C">
      <w:pPr>
        <w:spacing w:after="0" w:line="240" w:lineRule="auto"/>
      </w:pPr>
      <w:r>
        <w:continuationSeparator/>
      </w:r>
    </w:p>
  </w:footnote>
  <w:footnote w:type="continuationNotice" w:id="1">
    <w:p w14:paraId="2A3DC42F" w14:textId="77777777" w:rsidR="00E61EB3" w:rsidRDefault="00E61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49E12269"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360" w:hanging="360"/>
      </w:pPr>
    </w:lvl>
    <w:lvl w:ilvl="1">
      <w:start w:val="1"/>
      <w:numFmt w:val="decimal"/>
      <w:isLgl/>
      <w:lvlText w:val="%1.%2"/>
      <w:lvlJc w:val="left"/>
      <w:pPr>
        <w:ind w:left="502"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num w:numId="1" w16cid:durableId="1184055764">
    <w:abstractNumId w:val="0"/>
  </w:num>
  <w:num w:numId="2" w16cid:durableId="1020356414">
    <w:abstractNumId w:val="1"/>
  </w:num>
  <w:num w:numId="3" w16cid:durableId="179825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86E74"/>
    <w:rsid w:val="000D2B2D"/>
    <w:rsid w:val="001A16BB"/>
    <w:rsid w:val="001B7A8C"/>
    <w:rsid w:val="002F0FCD"/>
    <w:rsid w:val="00376A68"/>
    <w:rsid w:val="0039161F"/>
    <w:rsid w:val="00461357"/>
    <w:rsid w:val="004B135C"/>
    <w:rsid w:val="004E1AEF"/>
    <w:rsid w:val="004F3833"/>
    <w:rsid w:val="005A1A98"/>
    <w:rsid w:val="00612008"/>
    <w:rsid w:val="00624A5A"/>
    <w:rsid w:val="006A776A"/>
    <w:rsid w:val="007062ED"/>
    <w:rsid w:val="00831D9A"/>
    <w:rsid w:val="00835EB0"/>
    <w:rsid w:val="00850BDE"/>
    <w:rsid w:val="00857088"/>
    <w:rsid w:val="008B0E10"/>
    <w:rsid w:val="008E25B2"/>
    <w:rsid w:val="00906BE9"/>
    <w:rsid w:val="009D54B7"/>
    <w:rsid w:val="009F4F37"/>
    <w:rsid w:val="00A36E66"/>
    <w:rsid w:val="00AA150F"/>
    <w:rsid w:val="00BB13E7"/>
    <w:rsid w:val="00CB11CD"/>
    <w:rsid w:val="00DD17F0"/>
    <w:rsid w:val="00DE6F77"/>
    <w:rsid w:val="00E61EB3"/>
    <w:rsid w:val="00FB2F5C"/>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D6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B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99"/>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BodyTextIndent">
    <w:name w:val="Body Text Indent"/>
    <w:basedOn w:val="Normal"/>
    <w:link w:val="BodyTextIndentChar"/>
    <w:uiPriority w:val="99"/>
    <w:unhideWhenUsed/>
    <w:rsid w:val="000D2B2D"/>
    <w:pPr>
      <w:spacing w:after="120"/>
      <w:ind w:left="283"/>
    </w:pPr>
  </w:style>
  <w:style w:type="character" w:customStyle="1" w:styleId="BodyTextIndentChar">
    <w:name w:val="Body Text Indent Char"/>
    <w:basedOn w:val="DefaultParagraphFont"/>
    <w:link w:val="BodyTextIndent"/>
    <w:uiPriority w:val="99"/>
    <w:rsid w:val="000D2B2D"/>
  </w:style>
  <w:style w:type="character" w:customStyle="1" w:styleId="Heading2Char">
    <w:name w:val="Heading 2 Char"/>
    <w:basedOn w:val="DefaultParagraphFont"/>
    <w:link w:val="Heading2"/>
    <w:uiPriority w:val="9"/>
    <w:rsid w:val="000D2B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03545"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03545"/>
    <w:rsid w:val="008C692B"/>
    <w:rsid w:val="00AD3732"/>
    <w:rsid w:val="00AF191D"/>
    <w:rsid w:val="00B2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cadwallader, amie</cp:lastModifiedBy>
  <cp:revision>2</cp:revision>
  <cp:lastPrinted>2020-06-22T14:09:00Z</cp:lastPrinted>
  <dcterms:created xsi:type="dcterms:W3CDTF">2024-03-12T09:57:00Z</dcterms:created>
  <dcterms:modified xsi:type="dcterms:W3CDTF">2024-03-12T09:57:00Z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