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E5D5" w14:textId="77777777" w:rsidR="00307E0C" w:rsidRDefault="00307E0C" w:rsidP="00307E0C">
      <w:pPr>
        <w:pStyle w:val="Heading1"/>
      </w:pPr>
      <w:r>
        <w:t>Diversity Impact Assessment</w:t>
      </w:r>
    </w:p>
    <w:p w14:paraId="5CF736C7" w14:textId="77777777" w:rsidR="00A94199" w:rsidRDefault="00A94199"/>
    <w:p w14:paraId="450969C7" w14:textId="77777777" w:rsidR="003A1AF6" w:rsidRDefault="00307E0C" w:rsidP="003A1AF6">
      <w:r>
        <w:t>Title: Leaseholder Service Charge Calculation Policy</w:t>
      </w:r>
    </w:p>
    <w:p w14:paraId="16891800" w14:textId="4761FB85" w:rsidR="00307E0C" w:rsidRDefault="003A1AF6" w:rsidP="003A1AF6">
      <w:r>
        <w:t>Date: Review completed in November 2024</w:t>
      </w:r>
    </w:p>
    <w:p w14:paraId="7AC32CE2" w14:textId="551F7240" w:rsidR="003A1AF6" w:rsidRDefault="003A1AF6" w:rsidP="003A1AF6">
      <w:r w:rsidRPr="003A1AF6">
        <w:t xml:space="preserve">Lead Officer: </w:t>
      </w:r>
      <w:r>
        <w:t>Katherine Bishop</w:t>
      </w:r>
      <w:r w:rsidRPr="003A1AF6">
        <w:t xml:space="preserve"> – Customer Insight and Data Manager</w:t>
      </w:r>
    </w:p>
    <w:p w14:paraId="684A64DD" w14:textId="77777777" w:rsidR="003A1AF6" w:rsidRPr="003A1AF6" w:rsidRDefault="003A1AF6" w:rsidP="003A1AF6">
      <w:pPr>
        <w:numPr>
          <w:ilvl w:val="0"/>
          <w:numId w:val="1"/>
        </w:numPr>
        <w:spacing w:after="0" w:line="240" w:lineRule="auto"/>
        <w:rPr>
          <w:rFonts w:ascii="Aptos" w:eastAsia="Aptos" w:hAnsi="Aptos" w:cs="Times New Roman"/>
          <w:b/>
          <w:bCs/>
        </w:rPr>
      </w:pPr>
      <w:r w:rsidRPr="003A1AF6">
        <w:rPr>
          <w:rFonts w:ascii="Aptos" w:eastAsia="Aptos" w:hAnsi="Aptos" w:cs="Times New Roman"/>
          <w:b/>
          <w:bCs/>
        </w:rPr>
        <w:t>Summary description of the proposed change</w:t>
      </w:r>
    </w:p>
    <w:p w14:paraId="090C5D10" w14:textId="77777777" w:rsidR="003A1AF6" w:rsidRPr="003A1AF6" w:rsidRDefault="003A1AF6" w:rsidP="003A1AF6">
      <w:pPr>
        <w:spacing w:after="0" w:line="240" w:lineRule="auto"/>
        <w:rPr>
          <w:rFonts w:ascii="Aptos" w:eastAsia="Aptos" w:hAnsi="Aptos" w:cs="Times New Roman"/>
          <w:i/>
          <w:iCs/>
        </w:rPr>
      </w:pPr>
      <w:r w:rsidRPr="003A1AF6">
        <w:rPr>
          <w:rFonts w:ascii="Aptos" w:eastAsia="Aptos" w:hAnsi="Aptos" w:cs="Times New Roman"/>
          <w:i/>
          <w:iCs/>
        </w:rPr>
        <w:t>What is the change to policy / service / new project that is being proposed?</w:t>
      </w:r>
    </w:p>
    <w:p w14:paraId="3A5ADC12" w14:textId="77777777" w:rsidR="003A1AF6" w:rsidRPr="003A1AF6" w:rsidRDefault="003A1AF6" w:rsidP="003A1AF6">
      <w:pPr>
        <w:rPr>
          <w:rFonts w:ascii="Aptos" w:eastAsia="Aptos" w:hAnsi="Aptos" w:cs="Times New Roman"/>
          <w:i/>
          <w:iCs/>
        </w:rPr>
      </w:pPr>
      <w:r w:rsidRPr="003A1AF6">
        <w:rPr>
          <w:rFonts w:ascii="Aptos" w:eastAsia="Aptos" w:hAnsi="Aptos" w:cs="Times New Roman"/>
          <w:i/>
          <w:iCs/>
        </w:rPr>
        <w:t>How does it compare with the current situation?</w:t>
      </w:r>
    </w:p>
    <w:p w14:paraId="79B7F815" w14:textId="77777777" w:rsidR="003A1AF6" w:rsidRDefault="003A1AF6" w:rsidP="003A1AF6">
      <w:r>
        <w:t>The purpose of this policy is to set out how Medway Council Housing Services will bill for services provided;</w:t>
      </w:r>
    </w:p>
    <w:p w14:paraId="21B5422E" w14:textId="77777777" w:rsidR="003A1AF6" w:rsidRDefault="003A1AF6" w:rsidP="003A1AF6">
      <w:r>
        <w:t>•</w:t>
      </w:r>
      <w:r>
        <w:tab/>
        <w:t>How often bills will be sent out</w:t>
      </w:r>
    </w:p>
    <w:p w14:paraId="41B89EA0" w14:textId="77777777" w:rsidR="003A1AF6" w:rsidRDefault="003A1AF6" w:rsidP="003A1AF6">
      <w:r>
        <w:t>•</w:t>
      </w:r>
      <w:r>
        <w:tab/>
        <w:t>What will be charged for</w:t>
      </w:r>
    </w:p>
    <w:p w14:paraId="62AA37A4" w14:textId="77777777" w:rsidR="003A1AF6" w:rsidRDefault="003A1AF6" w:rsidP="003A1AF6">
      <w:r>
        <w:t>•</w:t>
      </w:r>
      <w:r>
        <w:tab/>
        <w:t>How to pay</w:t>
      </w:r>
    </w:p>
    <w:p w14:paraId="37256E6A" w14:textId="77777777" w:rsidR="003A1AF6" w:rsidRDefault="003A1AF6" w:rsidP="003A1AF6">
      <w:r>
        <w:t>•</w:t>
      </w:r>
      <w:r>
        <w:tab/>
        <w:t>Allowed payment periods</w:t>
      </w:r>
    </w:p>
    <w:p w14:paraId="32099833" w14:textId="77777777" w:rsidR="003A1AF6" w:rsidRDefault="003A1AF6" w:rsidP="003A1AF6">
      <w:r>
        <w:t>•</w:t>
      </w:r>
      <w:r>
        <w:tab/>
        <w:t>How disputes will be handled</w:t>
      </w:r>
    </w:p>
    <w:p w14:paraId="3B433CBF" w14:textId="3F85EDE9" w:rsidR="003A1AF6" w:rsidRDefault="003A1AF6" w:rsidP="003A1AF6">
      <w:r>
        <w:t>This policy has been updated with minor amendments; there has been no change to legislation.</w:t>
      </w:r>
    </w:p>
    <w:p w14:paraId="5C665095" w14:textId="5728BEC9" w:rsidR="003A1AF6" w:rsidRPr="003A1AF6" w:rsidRDefault="003A1AF6" w:rsidP="003A1AF6">
      <w:pPr>
        <w:pStyle w:val="ListParagraph"/>
        <w:numPr>
          <w:ilvl w:val="0"/>
          <w:numId w:val="1"/>
        </w:numPr>
        <w:rPr>
          <w:b/>
          <w:bCs/>
        </w:rPr>
      </w:pPr>
      <w:r w:rsidRPr="003A1AF6">
        <w:rPr>
          <w:b/>
          <w:bCs/>
        </w:rPr>
        <w:t>Summary of evidence used to support this</w:t>
      </w:r>
    </w:p>
    <w:p w14:paraId="29E10F1C" w14:textId="77777777" w:rsidR="003A1AF6" w:rsidRDefault="003A1AF6" w:rsidP="003A1AF6">
      <w:pPr>
        <w:pStyle w:val="Default"/>
        <w:rPr>
          <w:rFonts w:asciiTheme="minorHAnsi" w:hAnsiTheme="minorHAnsi"/>
          <w:bCs/>
          <w:sz w:val="22"/>
          <w:szCs w:val="22"/>
          <w:lang w:val="en-GB"/>
        </w:rPr>
      </w:pPr>
      <w:r>
        <w:rPr>
          <w:rFonts w:asciiTheme="minorHAnsi" w:hAnsiTheme="minorHAnsi"/>
          <w:bCs/>
          <w:sz w:val="22"/>
          <w:szCs w:val="22"/>
          <w:lang w:val="en-GB"/>
        </w:rPr>
        <w:t>As of 01/11/2024 there are 215 leaseholders.</w:t>
      </w:r>
    </w:p>
    <w:p w14:paraId="250F4DCF" w14:textId="77777777" w:rsidR="003A1AF6" w:rsidRDefault="003A1AF6" w:rsidP="003A1AF6"/>
    <w:p w14:paraId="77174D3A" w14:textId="1C748B82" w:rsidR="003A1AF6" w:rsidRPr="003A1AF6" w:rsidRDefault="003A1AF6" w:rsidP="003A1AF6">
      <w:pPr>
        <w:pStyle w:val="ListParagraph"/>
        <w:numPr>
          <w:ilvl w:val="0"/>
          <w:numId w:val="1"/>
        </w:numPr>
        <w:rPr>
          <w:b/>
          <w:bCs/>
        </w:rPr>
      </w:pPr>
      <w:r w:rsidRPr="003A1AF6">
        <w:rPr>
          <w:b/>
          <w:bCs/>
        </w:rPr>
        <w:t>What is the likely impact of the proposed change?</w:t>
      </w:r>
    </w:p>
    <w:p w14:paraId="1B1C3495" w14:textId="77777777" w:rsidR="003A1AF6" w:rsidRPr="00B84865" w:rsidRDefault="003A1AF6" w:rsidP="003A1AF6">
      <w:pPr>
        <w:pStyle w:val="Header"/>
        <w:rPr>
          <w:i/>
          <w:iCs/>
          <w:sz w:val="20"/>
        </w:rPr>
      </w:pPr>
      <w:r w:rsidRPr="00B84865">
        <w:rPr>
          <w:i/>
          <w:iCs/>
          <w:sz w:val="20"/>
        </w:rPr>
        <w:t xml:space="preserve">Is it likely </w:t>
      </w:r>
      <w:proofErr w:type="gramStart"/>
      <w:r w:rsidRPr="00B84865">
        <w:rPr>
          <w:i/>
          <w:iCs/>
          <w:sz w:val="20"/>
        </w:rPr>
        <w:t>to :</w:t>
      </w:r>
      <w:proofErr w:type="gramEnd"/>
    </w:p>
    <w:p w14:paraId="241A02D6" w14:textId="77777777" w:rsidR="003A1AF6" w:rsidRPr="00B84865" w:rsidRDefault="003A1AF6" w:rsidP="003A1AF6">
      <w:pPr>
        <w:pStyle w:val="Header"/>
        <w:numPr>
          <w:ilvl w:val="0"/>
          <w:numId w:val="2"/>
        </w:numPr>
        <w:tabs>
          <w:tab w:val="clear" w:pos="4153"/>
          <w:tab w:val="clear" w:pos="8306"/>
        </w:tabs>
        <w:rPr>
          <w:i/>
          <w:iCs/>
          <w:sz w:val="20"/>
        </w:rPr>
      </w:pPr>
      <w:r w:rsidRPr="00B84865">
        <w:rPr>
          <w:i/>
          <w:iCs/>
          <w:sz w:val="20"/>
        </w:rPr>
        <w:t xml:space="preserve">Adversely impact on one or more of the protected characteristic </w:t>
      </w:r>
      <w:proofErr w:type="gramStart"/>
      <w:r w:rsidRPr="00B84865">
        <w:rPr>
          <w:i/>
          <w:iCs/>
          <w:sz w:val="20"/>
        </w:rPr>
        <w:t>groups?</w:t>
      </w:r>
      <w:proofErr w:type="gramEnd"/>
      <w:r w:rsidRPr="00B84865">
        <w:rPr>
          <w:i/>
          <w:iCs/>
          <w:sz w:val="20"/>
        </w:rPr>
        <w:t xml:space="preserve"> </w:t>
      </w:r>
    </w:p>
    <w:p w14:paraId="14EB82E4" w14:textId="77777777" w:rsidR="003A1AF6" w:rsidRPr="00B84865" w:rsidRDefault="003A1AF6" w:rsidP="003A1AF6">
      <w:pPr>
        <w:pStyle w:val="Header"/>
        <w:numPr>
          <w:ilvl w:val="0"/>
          <w:numId w:val="2"/>
        </w:numPr>
        <w:tabs>
          <w:tab w:val="clear" w:pos="4153"/>
          <w:tab w:val="clear" w:pos="8306"/>
        </w:tabs>
        <w:rPr>
          <w:i/>
          <w:iCs/>
          <w:sz w:val="20"/>
        </w:rPr>
      </w:pPr>
      <w:r w:rsidRPr="00B84865">
        <w:rPr>
          <w:i/>
          <w:iCs/>
          <w:sz w:val="20"/>
        </w:rPr>
        <w:t>Advance equality of opportunity for one or more of the protected characteristic groups?</w:t>
      </w:r>
    </w:p>
    <w:p w14:paraId="68B5AB2B" w14:textId="72F5D956" w:rsidR="003A1AF6" w:rsidRDefault="003A1AF6" w:rsidP="003A1AF6">
      <w:pPr>
        <w:ind w:left="360"/>
        <w:rPr>
          <w:i/>
          <w:iCs/>
          <w:sz w:val="20"/>
        </w:rPr>
      </w:pPr>
      <w:r w:rsidRPr="00B84865">
        <w:rPr>
          <w:i/>
          <w:iCs/>
          <w:sz w:val="20"/>
        </w:rPr>
        <w:t>Foster good relations between people who share</w:t>
      </w:r>
      <w:r w:rsidRPr="003A1AF6">
        <w:rPr>
          <w:i/>
          <w:iCs/>
          <w:sz w:val="20"/>
        </w:rPr>
        <w:t xml:space="preserve"> </w:t>
      </w:r>
      <w:proofErr w:type="spellStart"/>
      <w:r w:rsidRPr="00B84865">
        <w:rPr>
          <w:i/>
          <w:iCs/>
          <w:sz w:val="20"/>
        </w:rPr>
        <w:t>share</w:t>
      </w:r>
      <w:proofErr w:type="spellEnd"/>
      <w:r w:rsidRPr="00B84865">
        <w:rPr>
          <w:i/>
          <w:iCs/>
          <w:sz w:val="20"/>
        </w:rPr>
        <w:t xml:space="preserve"> a protected characteristic and those who </w:t>
      </w:r>
      <w:proofErr w:type="gramStart"/>
      <w:r w:rsidRPr="00B84865">
        <w:rPr>
          <w:i/>
          <w:iCs/>
          <w:sz w:val="20"/>
        </w:rPr>
        <w:t>don’t?</w:t>
      </w:r>
      <w:proofErr w:type="gramEnd"/>
    </w:p>
    <w:p w14:paraId="70F955A5" w14:textId="77777777" w:rsidR="003A1AF6" w:rsidRDefault="003A1AF6" w:rsidP="003A1AF6">
      <w:pPr>
        <w:ind w:left="360"/>
        <w:rPr>
          <w:i/>
          <w:iCs/>
          <w:sz w:val="20"/>
        </w:rPr>
      </w:pPr>
    </w:p>
    <w:p w14:paraId="561CFB2F" w14:textId="77777777" w:rsidR="003A1AF6" w:rsidRDefault="003A1AF6" w:rsidP="003A1AF6">
      <w:r>
        <w:t>Age: no impact</w:t>
      </w:r>
    </w:p>
    <w:p w14:paraId="30DD18DC" w14:textId="77777777" w:rsidR="003A1AF6" w:rsidRDefault="003A1AF6" w:rsidP="003A1AF6">
      <w:r>
        <w:t>Disability: no impact</w:t>
      </w:r>
    </w:p>
    <w:p w14:paraId="2D0F8125" w14:textId="77777777" w:rsidR="003A1AF6" w:rsidRDefault="003A1AF6" w:rsidP="003A1AF6">
      <w:r>
        <w:t>Gender reassignment: no impact</w:t>
      </w:r>
    </w:p>
    <w:p w14:paraId="46DA3E62" w14:textId="7064F0D4" w:rsidR="002E3B71" w:rsidRDefault="003A1AF6" w:rsidP="002E3B71">
      <w:r>
        <w:t>Marriage/civil partnership: no impact</w:t>
      </w:r>
    </w:p>
    <w:p w14:paraId="3D981C8E" w14:textId="648D8AA4" w:rsidR="003A1AF6" w:rsidRDefault="003A1AF6" w:rsidP="003A1AF6">
      <w:r>
        <w:t>Pregnancy/maternity: no impact</w:t>
      </w:r>
    </w:p>
    <w:p w14:paraId="0F8C3D18" w14:textId="77777777" w:rsidR="003A1AF6" w:rsidRDefault="003A1AF6" w:rsidP="003A1AF6">
      <w:r>
        <w:t>Race: no impact</w:t>
      </w:r>
    </w:p>
    <w:p w14:paraId="12107C77" w14:textId="77777777" w:rsidR="003A1AF6" w:rsidRDefault="003A1AF6" w:rsidP="003A1AF6">
      <w:r>
        <w:t>Religion/belief: no impact</w:t>
      </w:r>
    </w:p>
    <w:p w14:paraId="1D83A44B" w14:textId="619FC79B" w:rsidR="003A1AF6" w:rsidRDefault="003A1AF6" w:rsidP="003A1AF6">
      <w:r>
        <w:lastRenderedPageBreak/>
        <w:t>Sex: policy: no impact</w:t>
      </w:r>
    </w:p>
    <w:p w14:paraId="5E429A86" w14:textId="77777777" w:rsidR="003A1AF6" w:rsidRDefault="003A1AF6" w:rsidP="003A1AF6">
      <w:r>
        <w:t>Sexual orientation: no impact</w:t>
      </w:r>
    </w:p>
    <w:p w14:paraId="3C2EF93F" w14:textId="711C6959" w:rsidR="003A1AF6" w:rsidRPr="000707C0" w:rsidRDefault="003A1AF6" w:rsidP="003A1AF6">
      <w:r>
        <w:t xml:space="preserve">Other (e.g. </w:t>
      </w:r>
      <w:proofErr w:type="gramStart"/>
      <w:r>
        <w:t>low income</w:t>
      </w:r>
      <w:proofErr w:type="gramEnd"/>
      <w:r>
        <w:t xml:space="preserve"> groups): will advance equality</w:t>
      </w:r>
    </w:p>
    <w:p w14:paraId="40BDAECA" w14:textId="77777777" w:rsidR="003A1AF6" w:rsidRPr="003A1AF6" w:rsidRDefault="003A1AF6" w:rsidP="003A1AF6">
      <w:pPr>
        <w:numPr>
          <w:ilvl w:val="0"/>
          <w:numId w:val="1"/>
        </w:numPr>
        <w:spacing w:after="0" w:line="240" w:lineRule="auto"/>
        <w:rPr>
          <w:rFonts w:ascii="Aptos" w:eastAsia="Aptos" w:hAnsi="Aptos" w:cs="Times New Roman"/>
          <w:b/>
          <w:bCs/>
        </w:rPr>
      </w:pPr>
      <w:r w:rsidRPr="003A1AF6">
        <w:rPr>
          <w:rFonts w:ascii="Aptos" w:eastAsia="Aptos" w:hAnsi="Aptos" w:cs="Times New Roman"/>
          <w:b/>
          <w:bCs/>
        </w:rPr>
        <w:t xml:space="preserve">Summary of the likely impacts </w:t>
      </w:r>
    </w:p>
    <w:p w14:paraId="47E752E6" w14:textId="77777777" w:rsidR="003A1AF6" w:rsidRPr="003A1AF6" w:rsidRDefault="003A1AF6" w:rsidP="003A1AF6">
      <w:pPr>
        <w:numPr>
          <w:ilvl w:val="0"/>
          <w:numId w:val="3"/>
        </w:numPr>
        <w:spacing w:after="0" w:line="240" w:lineRule="auto"/>
        <w:rPr>
          <w:rFonts w:ascii="Aptos" w:eastAsia="Aptos" w:hAnsi="Aptos" w:cs="Times New Roman"/>
          <w:i/>
          <w:iCs/>
        </w:rPr>
      </w:pPr>
      <w:r w:rsidRPr="003A1AF6">
        <w:rPr>
          <w:rFonts w:ascii="Aptos" w:eastAsia="Aptos" w:hAnsi="Aptos" w:cs="Times New Roman"/>
          <w:i/>
          <w:iCs/>
        </w:rPr>
        <w:t>Who will be affected?</w:t>
      </w:r>
    </w:p>
    <w:p w14:paraId="10642164" w14:textId="77777777" w:rsidR="003A1AF6" w:rsidRPr="003A1AF6" w:rsidRDefault="003A1AF6" w:rsidP="003A1AF6">
      <w:pPr>
        <w:numPr>
          <w:ilvl w:val="0"/>
          <w:numId w:val="3"/>
        </w:numPr>
        <w:spacing w:after="0" w:line="240" w:lineRule="auto"/>
        <w:rPr>
          <w:rFonts w:ascii="Aptos" w:eastAsia="Aptos" w:hAnsi="Aptos" w:cs="Times New Roman"/>
          <w:i/>
          <w:iCs/>
        </w:rPr>
      </w:pPr>
      <w:r w:rsidRPr="003A1AF6">
        <w:rPr>
          <w:rFonts w:ascii="Aptos" w:eastAsia="Aptos" w:hAnsi="Aptos" w:cs="Times New Roman"/>
          <w:i/>
          <w:iCs/>
        </w:rPr>
        <w:t>How will they be affected?</w:t>
      </w:r>
    </w:p>
    <w:p w14:paraId="4249CA5A" w14:textId="77777777" w:rsidR="003A1AF6" w:rsidRDefault="003A1AF6" w:rsidP="003A1AF6">
      <w:pPr>
        <w:rPr>
          <w:b/>
          <w:bCs/>
        </w:rPr>
      </w:pPr>
    </w:p>
    <w:p w14:paraId="173B38BA" w14:textId="77777777" w:rsidR="00311D8C" w:rsidRPr="00311D8C" w:rsidRDefault="00311D8C" w:rsidP="00311D8C">
      <w:pPr>
        <w:spacing w:after="0" w:line="240" w:lineRule="auto"/>
        <w:rPr>
          <w:rFonts w:ascii="Calibri" w:eastAsia="Times New Roman" w:hAnsi="Calibri" w:cs="Times New Roman"/>
          <w:kern w:val="0"/>
          <w14:ligatures w14:val="none"/>
        </w:rPr>
      </w:pPr>
      <w:r w:rsidRPr="00311D8C">
        <w:rPr>
          <w:rFonts w:ascii="Calibri" w:eastAsia="Times New Roman" w:hAnsi="Calibri" w:cs="Times New Roman"/>
          <w:kern w:val="0"/>
          <w14:ligatures w14:val="none"/>
        </w:rPr>
        <w:t xml:space="preserve">It has not been identified that this policy will have a negative impact on any protected characteristic, as the policy will be applied universally to all leaseholders. </w:t>
      </w:r>
    </w:p>
    <w:p w14:paraId="55FBFBC1" w14:textId="77777777" w:rsidR="00311D8C" w:rsidRPr="00311D8C" w:rsidRDefault="00311D8C" w:rsidP="00311D8C">
      <w:pPr>
        <w:spacing w:after="0" w:line="240" w:lineRule="auto"/>
        <w:rPr>
          <w:rFonts w:ascii="Calibri" w:eastAsia="Times New Roman" w:hAnsi="Calibri" w:cs="Times New Roman"/>
          <w:kern w:val="0"/>
          <w14:ligatures w14:val="none"/>
        </w:rPr>
      </w:pPr>
    </w:p>
    <w:p w14:paraId="3EF60031" w14:textId="77777777" w:rsidR="00311D8C" w:rsidRPr="00311D8C" w:rsidRDefault="00311D8C" w:rsidP="00311D8C">
      <w:pPr>
        <w:spacing w:after="0" w:line="240" w:lineRule="auto"/>
        <w:rPr>
          <w:rFonts w:ascii="Arial" w:eastAsia="Times New Roman" w:hAnsi="Arial" w:cs="Times New Roman"/>
          <w:kern w:val="0"/>
          <w14:ligatures w14:val="none"/>
        </w:rPr>
      </w:pPr>
      <w:r w:rsidRPr="00311D8C">
        <w:rPr>
          <w:rFonts w:ascii="Calibri" w:eastAsia="Times New Roman" w:hAnsi="Calibri" w:cs="Times New Roman"/>
          <w:kern w:val="0"/>
          <w14:ligatures w14:val="none"/>
        </w:rPr>
        <w:t xml:space="preserve">The policy may advance equality for </w:t>
      </w:r>
      <w:proofErr w:type="gramStart"/>
      <w:r w:rsidRPr="00311D8C">
        <w:rPr>
          <w:rFonts w:ascii="Calibri" w:eastAsia="Times New Roman" w:hAnsi="Calibri" w:cs="Times New Roman"/>
          <w:kern w:val="0"/>
          <w14:ligatures w14:val="none"/>
        </w:rPr>
        <w:t>low income</w:t>
      </w:r>
      <w:proofErr w:type="gramEnd"/>
      <w:r w:rsidRPr="00311D8C">
        <w:rPr>
          <w:rFonts w:ascii="Calibri" w:eastAsia="Times New Roman" w:hAnsi="Calibri" w:cs="Times New Roman"/>
          <w:kern w:val="0"/>
          <w14:ligatures w14:val="none"/>
        </w:rPr>
        <w:t xml:space="preserve"> groups by providing details of the loans scheme and variable payment options</w:t>
      </w:r>
      <w:r w:rsidRPr="00311D8C">
        <w:rPr>
          <w:rFonts w:ascii="Arial" w:eastAsia="Times New Roman" w:hAnsi="Arial" w:cs="Times New Roman"/>
          <w:kern w:val="0"/>
          <w14:ligatures w14:val="none"/>
        </w:rPr>
        <w:t xml:space="preserve">. </w:t>
      </w:r>
    </w:p>
    <w:p w14:paraId="5FE12380" w14:textId="77777777" w:rsidR="009F14CE" w:rsidRPr="002E3B71" w:rsidRDefault="009F14CE" w:rsidP="009F14CE">
      <w:pPr>
        <w:pStyle w:val="Default"/>
        <w:rPr>
          <w:rFonts w:ascii="Aptos" w:hAnsi="Aptos"/>
          <w:sz w:val="22"/>
          <w:szCs w:val="22"/>
        </w:rPr>
      </w:pPr>
    </w:p>
    <w:p w14:paraId="5B1BC15C" w14:textId="77777777" w:rsidR="009F14CE" w:rsidRPr="002E3B71" w:rsidRDefault="009F14CE" w:rsidP="009F14CE">
      <w:pPr>
        <w:pStyle w:val="Header"/>
        <w:numPr>
          <w:ilvl w:val="0"/>
          <w:numId w:val="1"/>
        </w:numPr>
        <w:tabs>
          <w:tab w:val="clear" w:pos="4153"/>
          <w:tab w:val="clear" w:pos="8306"/>
        </w:tabs>
        <w:rPr>
          <w:rFonts w:ascii="Aptos" w:hAnsi="Aptos"/>
          <w:b/>
          <w:bCs/>
        </w:rPr>
      </w:pPr>
      <w:r w:rsidRPr="002E3B71">
        <w:rPr>
          <w:rFonts w:ascii="Aptos" w:hAnsi="Aptos"/>
          <w:b/>
          <w:bCs/>
        </w:rPr>
        <w:t>What actions can be taken to mitigate likely adverse</w:t>
      </w:r>
      <w:r w:rsidRPr="002E3B71">
        <w:rPr>
          <w:rFonts w:ascii="Aptos" w:hAnsi="Aptos"/>
          <w:b/>
          <w:bCs/>
          <w:sz w:val="28"/>
        </w:rPr>
        <w:t xml:space="preserve"> </w:t>
      </w:r>
      <w:r w:rsidRPr="002E3B71">
        <w:rPr>
          <w:rFonts w:ascii="Aptos" w:hAnsi="Aptos"/>
          <w:b/>
          <w:bCs/>
        </w:rPr>
        <w:t>impacts, improve equality of opportunity or foster good relations?</w:t>
      </w:r>
    </w:p>
    <w:p w14:paraId="52D5DAC9" w14:textId="77777777" w:rsidR="009F14CE" w:rsidRPr="002E3B71" w:rsidRDefault="009F14CE" w:rsidP="009F14CE">
      <w:pPr>
        <w:pStyle w:val="Header"/>
        <w:numPr>
          <w:ilvl w:val="0"/>
          <w:numId w:val="4"/>
        </w:numPr>
        <w:tabs>
          <w:tab w:val="clear" w:pos="4153"/>
          <w:tab w:val="clear" w:pos="8306"/>
        </w:tabs>
        <w:rPr>
          <w:rFonts w:ascii="Aptos" w:hAnsi="Aptos"/>
          <w:i/>
          <w:iCs/>
          <w:sz w:val="20"/>
        </w:rPr>
      </w:pPr>
      <w:r w:rsidRPr="002E3B71">
        <w:rPr>
          <w:rFonts w:ascii="Aptos" w:hAnsi="Aptos"/>
          <w:i/>
          <w:iCs/>
          <w:sz w:val="20"/>
        </w:rPr>
        <w:t>Are there alternative providers?</w:t>
      </w:r>
    </w:p>
    <w:p w14:paraId="71372E3A" w14:textId="77777777" w:rsidR="009F14CE" w:rsidRPr="002E3B71" w:rsidRDefault="009F14CE" w:rsidP="009F14CE">
      <w:pPr>
        <w:pStyle w:val="Header"/>
        <w:numPr>
          <w:ilvl w:val="0"/>
          <w:numId w:val="4"/>
        </w:numPr>
        <w:tabs>
          <w:tab w:val="clear" w:pos="4153"/>
          <w:tab w:val="clear" w:pos="8306"/>
        </w:tabs>
        <w:rPr>
          <w:rFonts w:ascii="Aptos" w:hAnsi="Aptos"/>
          <w:i/>
          <w:iCs/>
          <w:sz w:val="20"/>
        </w:rPr>
      </w:pPr>
      <w:r w:rsidRPr="002E3B71">
        <w:rPr>
          <w:rFonts w:ascii="Aptos" w:hAnsi="Aptos"/>
          <w:i/>
          <w:iCs/>
          <w:sz w:val="20"/>
        </w:rPr>
        <w:t>What alternative ways can the Council provide the service?</w:t>
      </w:r>
    </w:p>
    <w:p w14:paraId="6CF565C6" w14:textId="77777777" w:rsidR="009F14CE" w:rsidRPr="002E3B71" w:rsidRDefault="009F14CE" w:rsidP="009F14CE">
      <w:pPr>
        <w:pStyle w:val="Header"/>
        <w:numPr>
          <w:ilvl w:val="0"/>
          <w:numId w:val="4"/>
        </w:numPr>
        <w:tabs>
          <w:tab w:val="clear" w:pos="4153"/>
          <w:tab w:val="clear" w:pos="8306"/>
        </w:tabs>
        <w:rPr>
          <w:rFonts w:ascii="Aptos" w:hAnsi="Aptos"/>
          <w:i/>
          <w:iCs/>
          <w:sz w:val="20"/>
        </w:rPr>
      </w:pPr>
      <w:r w:rsidRPr="002E3B71">
        <w:rPr>
          <w:rFonts w:ascii="Aptos" w:hAnsi="Aptos"/>
          <w:i/>
          <w:iCs/>
          <w:sz w:val="20"/>
        </w:rPr>
        <w:t>Can demand for services be managed differently</w:t>
      </w:r>
    </w:p>
    <w:p w14:paraId="6A65C639" w14:textId="77777777" w:rsidR="00BE2C85" w:rsidRDefault="00BE2C85" w:rsidP="00BE2C85">
      <w:pPr>
        <w:pStyle w:val="Header"/>
        <w:rPr>
          <w:rFonts w:asciiTheme="minorHAnsi" w:hAnsiTheme="minorHAnsi"/>
          <w:b/>
          <w:sz w:val="22"/>
          <w:szCs w:val="22"/>
        </w:rPr>
      </w:pPr>
      <w:r>
        <w:rPr>
          <w:rFonts w:asciiTheme="minorHAnsi" w:hAnsiTheme="minorHAnsi"/>
          <w:b/>
          <w:sz w:val="22"/>
          <w:szCs w:val="22"/>
        </w:rPr>
        <w:t>Consultation</w:t>
      </w:r>
    </w:p>
    <w:p w14:paraId="5D727875" w14:textId="77777777" w:rsidR="00BE2C85" w:rsidRDefault="00BE2C85" w:rsidP="00BE2C85">
      <w:pPr>
        <w:pStyle w:val="Header"/>
        <w:rPr>
          <w:rFonts w:asciiTheme="minorHAnsi" w:hAnsiTheme="minorHAnsi"/>
          <w:sz w:val="22"/>
          <w:szCs w:val="22"/>
        </w:rPr>
      </w:pPr>
    </w:p>
    <w:p w14:paraId="0B841519" w14:textId="77777777" w:rsidR="00BE2C85" w:rsidRDefault="00BE2C85" w:rsidP="00BE2C85">
      <w:pPr>
        <w:pStyle w:val="Header"/>
        <w:rPr>
          <w:rFonts w:asciiTheme="minorHAnsi" w:hAnsiTheme="minorHAnsi"/>
          <w:sz w:val="22"/>
          <w:szCs w:val="22"/>
        </w:rPr>
      </w:pPr>
      <w:r>
        <w:rPr>
          <w:rFonts w:asciiTheme="minorHAnsi" w:hAnsiTheme="minorHAnsi"/>
          <w:sz w:val="22"/>
          <w:szCs w:val="22"/>
        </w:rPr>
        <w:t>In the event that a leaseholder does not agree with the level of service charges that they have been asked to pay, they will be able to query these. In the first instance, they should address their questions, in writing, to Medway Council’s Leaseholder and Right to Buy Officer who will try to resolve any issues they may have with their bill.</w:t>
      </w:r>
    </w:p>
    <w:p w14:paraId="652A0578" w14:textId="77777777" w:rsidR="00BE2C85" w:rsidRDefault="00BE2C85" w:rsidP="00BE2C85">
      <w:pPr>
        <w:pStyle w:val="Header"/>
        <w:rPr>
          <w:rFonts w:asciiTheme="minorHAnsi" w:hAnsiTheme="minorHAnsi"/>
          <w:sz w:val="22"/>
          <w:szCs w:val="22"/>
        </w:rPr>
      </w:pPr>
    </w:p>
    <w:p w14:paraId="1820BEF0" w14:textId="77777777" w:rsidR="00BE2C85" w:rsidRDefault="00BE2C85" w:rsidP="00BE2C85">
      <w:pPr>
        <w:pStyle w:val="Header"/>
        <w:rPr>
          <w:rFonts w:asciiTheme="minorHAnsi" w:hAnsiTheme="minorHAnsi"/>
          <w:sz w:val="22"/>
          <w:szCs w:val="22"/>
        </w:rPr>
      </w:pPr>
      <w:r>
        <w:rPr>
          <w:rFonts w:asciiTheme="minorHAnsi" w:hAnsiTheme="minorHAnsi"/>
          <w:sz w:val="22"/>
          <w:szCs w:val="22"/>
        </w:rPr>
        <w:t>The leaseholder may also approach the Leasehold Valuation Tribunal (LVT) to ask for a ruling.  Leaseholders are also free to use the Medway Council’s Complaints Procedure, details of this are available on the website and in the complaints leaflet available from council offices.</w:t>
      </w:r>
    </w:p>
    <w:p w14:paraId="3B49B7B5" w14:textId="77777777" w:rsidR="00BE2C85" w:rsidRDefault="00BE2C85" w:rsidP="00BE2C85">
      <w:pPr>
        <w:pStyle w:val="Header"/>
        <w:rPr>
          <w:rFonts w:asciiTheme="minorHAnsi" w:hAnsiTheme="minorHAnsi"/>
          <w:b/>
          <w:sz w:val="22"/>
          <w:szCs w:val="22"/>
        </w:rPr>
      </w:pPr>
    </w:p>
    <w:p w14:paraId="16196F47" w14:textId="77777777" w:rsidR="00BE2C85" w:rsidRDefault="00BE2C85" w:rsidP="00BE2C85">
      <w:pPr>
        <w:pStyle w:val="Header"/>
        <w:rPr>
          <w:rFonts w:asciiTheme="minorHAnsi" w:hAnsiTheme="minorHAnsi"/>
          <w:b/>
          <w:sz w:val="22"/>
          <w:szCs w:val="22"/>
        </w:rPr>
      </w:pPr>
      <w:r>
        <w:rPr>
          <w:rFonts w:asciiTheme="minorHAnsi" w:hAnsiTheme="minorHAnsi"/>
          <w:b/>
          <w:sz w:val="22"/>
          <w:szCs w:val="22"/>
        </w:rPr>
        <w:t>Low Income Groups</w:t>
      </w:r>
    </w:p>
    <w:p w14:paraId="68CEA612" w14:textId="77777777" w:rsidR="00BE2C85" w:rsidRDefault="00BE2C85" w:rsidP="00BE2C85">
      <w:pPr>
        <w:pStyle w:val="Header"/>
        <w:rPr>
          <w:rFonts w:asciiTheme="minorHAnsi" w:hAnsiTheme="minorHAnsi"/>
          <w:sz w:val="22"/>
          <w:szCs w:val="22"/>
        </w:rPr>
      </w:pPr>
    </w:p>
    <w:p w14:paraId="5AC5F1FB" w14:textId="77777777" w:rsidR="00BE2C85" w:rsidRDefault="00BE2C85" w:rsidP="00BE2C85">
      <w:pPr>
        <w:pStyle w:val="Header"/>
        <w:rPr>
          <w:rFonts w:asciiTheme="minorHAnsi" w:hAnsiTheme="minorHAnsi"/>
          <w:sz w:val="22"/>
          <w:szCs w:val="22"/>
        </w:rPr>
      </w:pPr>
      <w:r>
        <w:rPr>
          <w:rFonts w:asciiTheme="minorHAnsi" w:hAnsiTheme="minorHAnsi"/>
          <w:sz w:val="22"/>
          <w:szCs w:val="22"/>
        </w:rPr>
        <w:t xml:space="preserve">Loans Scheme </w:t>
      </w:r>
    </w:p>
    <w:p w14:paraId="76E1042B" w14:textId="77777777" w:rsidR="00BE2C85" w:rsidRDefault="00BE2C85" w:rsidP="00BE2C85">
      <w:pPr>
        <w:pStyle w:val="Header"/>
        <w:rPr>
          <w:rFonts w:asciiTheme="minorHAnsi" w:hAnsiTheme="minorHAnsi"/>
          <w:sz w:val="22"/>
          <w:szCs w:val="22"/>
        </w:rPr>
      </w:pPr>
    </w:p>
    <w:p w14:paraId="3169EB98" w14:textId="77777777" w:rsidR="00BE2C85" w:rsidRDefault="00BE2C85" w:rsidP="00BE2C85">
      <w:pPr>
        <w:pStyle w:val="Header"/>
        <w:rPr>
          <w:rFonts w:asciiTheme="minorHAnsi" w:hAnsiTheme="minorHAnsi"/>
          <w:sz w:val="22"/>
          <w:szCs w:val="22"/>
        </w:rPr>
      </w:pPr>
      <w:r>
        <w:rPr>
          <w:rFonts w:asciiTheme="minorHAnsi" w:hAnsiTheme="minorHAnsi"/>
          <w:sz w:val="22"/>
          <w:szCs w:val="22"/>
        </w:rPr>
        <w:t xml:space="preserve">Leaseholders may be eligible for a loan to pay for service charges for repairs that have been carried out to their block.  For more </w:t>
      </w:r>
      <w:proofErr w:type="gramStart"/>
      <w:r>
        <w:rPr>
          <w:rFonts w:asciiTheme="minorHAnsi" w:hAnsiTheme="minorHAnsi"/>
          <w:sz w:val="22"/>
          <w:szCs w:val="22"/>
        </w:rPr>
        <w:t>information</w:t>
      </w:r>
      <w:proofErr w:type="gramEnd"/>
      <w:r>
        <w:rPr>
          <w:rFonts w:asciiTheme="minorHAnsi" w:hAnsiTheme="minorHAnsi"/>
          <w:sz w:val="22"/>
          <w:szCs w:val="22"/>
        </w:rPr>
        <w:t xml:space="preserve"> please refer to the Service Charge Loans Policy</w:t>
      </w:r>
    </w:p>
    <w:p w14:paraId="477FF75E" w14:textId="77777777" w:rsidR="00BE2C85" w:rsidRDefault="00BE2C85" w:rsidP="00BE2C85">
      <w:pPr>
        <w:pStyle w:val="Header"/>
        <w:rPr>
          <w:rFonts w:asciiTheme="minorHAnsi" w:hAnsiTheme="minorHAnsi"/>
          <w:sz w:val="22"/>
          <w:szCs w:val="22"/>
        </w:rPr>
      </w:pPr>
    </w:p>
    <w:p w14:paraId="1341A020" w14:textId="77777777" w:rsidR="00BE2C85" w:rsidRDefault="00BE2C85" w:rsidP="00BE2C85">
      <w:pPr>
        <w:pStyle w:val="Header"/>
        <w:rPr>
          <w:rFonts w:asciiTheme="minorHAnsi" w:hAnsiTheme="minorHAnsi"/>
          <w:sz w:val="22"/>
          <w:szCs w:val="22"/>
        </w:rPr>
      </w:pPr>
      <w:r>
        <w:rPr>
          <w:rFonts w:asciiTheme="minorHAnsi" w:hAnsiTheme="minorHAnsi"/>
          <w:sz w:val="22"/>
          <w:szCs w:val="22"/>
        </w:rPr>
        <w:t>Variety of payment methods available</w:t>
      </w:r>
    </w:p>
    <w:p w14:paraId="57A8B055" w14:textId="77777777" w:rsidR="00BE2C85" w:rsidRDefault="00BE2C85" w:rsidP="00BE2C85">
      <w:pPr>
        <w:pStyle w:val="Header"/>
        <w:rPr>
          <w:rFonts w:asciiTheme="minorHAnsi" w:hAnsiTheme="minorHAnsi"/>
          <w:sz w:val="22"/>
          <w:szCs w:val="22"/>
        </w:rPr>
      </w:pPr>
    </w:p>
    <w:p w14:paraId="7D819C5E" w14:textId="77777777" w:rsidR="00BE2C85" w:rsidRDefault="00BE2C85" w:rsidP="00BE2C85">
      <w:pPr>
        <w:pStyle w:val="Header"/>
        <w:rPr>
          <w:rFonts w:asciiTheme="minorHAnsi" w:hAnsiTheme="minorHAnsi"/>
          <w:sz w:val="22"/>
          <w:szCs w:val="22"/>
        </w:rPr>
      </w:pPr>
      <w:r>
        <w:rPr>
          <w:rFonts w:asciiTheme="minorHAnsi" w:hAnsiTheme="minorHAnsi"/>
          <w:sz w:val="22"/>
          <w:szCs w:val="22"/>
        </w:rPr>
        <w:t>For the convenience of the leaseholder Medway Council currently accepts payments for service charges by the following methods;</w:t>
      </w:r>
    </w:p>
    <w:p w14:paraId="7058CD23" w14:textId="77777777" w:rsidR="00BE2C85" w:rsidRDefault="00BE2C85" w:rsidP="00BE2C85">
      <w:pPr>
        <w:pStyle w:val="Header"/>
        <w:rPr>
          <w:rFonts w:asciiTheme="minorHAnsi" w:hAnsiTheme="minorHAnsi"/>
          <w:sz w:val="22"/>
          <w:szCs w:val="22"/>
        </w:rPr>
      </w:pPr>
    </w:p>
    <w:p w14:paraId="19C2B5D2" w14:textId="67CE67C7" w:rsidR="00BE2C85" w:rsidRDefault="00BE2C85" w:rsidP="00BE2C85">
      <w:pPr>
        <w:pStyle w:val="Header"/>
        <w:rPr>
          <w:rFonts w:asciiTheme="minorHAnsi" w:hAnsiTheme="minorHAnsi"/>
          <w:sz w:val="22"/>
          <w:szCs w:val="22"/>
        </w:rPr>
      </w:pPr>
      <w:r>
        <w:rPr>
          <w:rFonts w:asciiTheme="minorHAnsi" w:hAnsiTheme="minorHAnsi"/>
          <w:sz w:val="22"/>
          <w:szCs w:val="22"/>
        </w:rPr>
        <w:t xml:space="preserve">•Online Payment via website - </w:t>
      </w:r>
      <w:hyperlink r:id="rId7" w:history="1">
        <w:proofErr w:type="spellStart"/>
        <w:r w:rsidR="00311D8C">
          <w:rPr>
            <w:rStyle w:val="Hyperlink"/>
            <w:rFonts w:asciiTheme="minorHAnsi" w:eastAsiaTheme="majorEastAsia" w:hAnsiTheme="minorHAnsi"/>
            <w:sz w:val="18"/>
            <w:szCs w:val="18"/>
          </w:rPr>
          <w:t>Webpay</w:t>
        </w:r>
        <w:proofErr w:type="spellEnd"/>
      </w:hyperlink>
      <w:r>
        <w:rPr>
          <w:rFonts w:asciiTheme="minorHAnsi" w:hAnsiTheme="minorHAnsi"/>
          <w:sz w:val="18"/>
          <w:szCs w:val="18"/>
        </w:rPr>
        <w:t xml:space="preserve"> </w:t>
      </w:r>
    </w:p>
    <w:p w14:paraId="5DC607BD" w14:textId="77777777" w:rsidR="00BE2C85" w:rsidRDefault="00BE2C85" w:rsidP="00BE2C85">
      <w:pPr>
        <w:pStyle w:val="Header"/>
        <w:rPr>
          <w:rFonts w:asciiTheme="minorHAnsi" w:hAnsiTheme="minorHAnsi"/>
          <w:sz w:val="22"/>
          <w:szCs w:val="22"/>
        </w:rPr>
      </w:pPr>
      <w:r>
        <w:rPr>
          <w:rFonts w:asciiTheme="minorHAnsi" w:hAnsiTheme="minorHAnsi"/>
          <w:sz w:val="22"/>
          <w:szCs w:val="22"/>
        </w:rPr>
        <w:t>•Telephone -Debit / Credit card</w:t>
      </w:r>
    </w:p>
    <w:p w14:paraId="1123BE52" w14:textId="77777777" w:rsidR="00BE2C85" w:rsidRDefault="00BE2C85" w:rsidP="00BE2C85">
      <w:pPr>
        <w:pStyle w:val="Header"/>
        <w:rPr>
          <w:rFonts w:asciiTheme="minorHAnsi" w:hAnsiTheme="minorHAnsi"/>
          <w:sz w:val="22"/>
          <w:szCs w:val="22"/>
        </w:rPr>
      </w:pPr>
      <w:r>
        <w:rPr>
          <w:rFonts w:asciiTheme="minorHAnsi" w:hAnsiTheme="minorHAnsi"/>
          <w:sz w:val="22"/>
          <w:szCs w:val="22"/>
        </w:rPr>
        <w:t>•Cheque</w:t>
      </w:r>
    </w:p>
    <w:p w14:paraId="23490F68" w14:textId="77777777" w:rsidR="00BE2C85" w:rsidRDefault="00BE2C85" w:rsidP="00BE2C85">
      <w:pPr>
        <w:pStyle w:val="Header"/>
        <w:rPr>
          <w:rFonts w:asciiTheme="minorHAnsi" w:hAnsiTheme="minorHAnsi"/>
          <w:strike/>
          <w:sz w:val="22"/>
          <w:szCs w:val="22"/>
        </w:rPr>
      </w:pPr>
    </w:p>
    <w:p w14:paraId="0C3C6B68" w14:textId="3B3D4D8C" w:rsidR="009F14CE" w:rsidRDefault="00CA164D" w:rsidP="00CA164D">
      <w:pPr>
        <w:pStyle w:val="ListParagraph"/>
        <w:numPr>
          <w:ilvl w:val="0"/>
          <w:numId w:val="1"/>
        </w:numPr>
        <w:rPr>
          <w:b/>
          <w:bCs/>
        </w:rPr>
      </w:pPr>
      <w:r w:rsidRPr="00CA164D">
        <w:rPr>
          <w:b/>
          <w:bCs/>
        </w:rPr>
        <w:t>Action plan</w:t>
      </w:r>
    </w:p>
    <w:p w14:paraId="4A816C2D" w14:textId="77777777" w:rsidR="00DF3139" w:rsidRPr="00DF3139" w:rsidRDefault="00DF3139" w:rsidP="00DF3139">
      <w:pPr>
        <w:rPr>
          <w:b/>
          <w:bCs/>
        </w:rPr>
      </w:pPr>
    </w:p>
    <w:p w14:paraId="753CDED3" w14:textId="503415CE" w:rsidR="00CA164D" w:rsidRDefault="00DF3139" w:rsidP="00A15F92">
      <w:pPr>
        <w:pStyle w:val="ListParagraph"/>
        <w:rPr>
          <w:rFonts w:ascii="Calibri" w:eastAsia="Calibri" w:hAnsi="Calibri" w:cs="Arial"/>
          <w:sz w:val="20"/>
          <w:szCs w:val="20"/>
        </w:rPr>
      </w:pPr>
      <w:r w:rsidRPr="00DF3139">
        <w:rPr>
          <w:rFonts w:ascii="Calibri" w:eastAsia="Calibri" w:hAnsi="Calibri" w:cs="Arial"/>
          <w:sz w:val="20"/>
          <w:szCs w:val="20"/>
        </w:rPr>
        <w:t>Monitor Complaints to identify any negative trends with regards to the Leaseholder Service Charge Calculation policy.</w:t>
      </w:r>
    </w:p>
    <w:p w14:paraId="3FB7E79B" w14:textId="77777777" w:rsidR="00041BD0" w:rsidRDefault="00041BD0" w:rsidP="00A15F92">
      <w:pPr>
        <w:pStyle w:val="ListParagraph"/>
        <w:rPr>
          <w:rFonts w:ascii="Calibri" w:eastAsia="Calibri" w:hAnsi="Calibri" w:cs="Arial"/>
          <w:sz w:val="20"/>
          <w:szCs w:val="20"/>
        </w:rPr>
      </w:pPr>
    </w:p>
    <w:p w14:paraId="77F5E57E" w14:textId="77777777" w:rsidR="00093B20" w:rsidRPr="00093B20" w:rsidRDefault="00093B20" w:rsidP="00093B20">
      <w:pPr>
        <w:keepNext/>
        <w:keepLines/>
        <w:numPr>
          <w:ilvl w:val="0"/>
          <w:numId w:val="1"/>
        </w:numPr>
        <w:spacing w:before="160" w:after="80"/>
        <w:outlineLvl w:val="1"/>
        <w:rPr>
          <w:rFonts w:ascii="Aptos" w:eastAsia="Times New Roman" w:hAnsi="Aptos" w:cs="Times New Roman"/>
          <w:b/>
          <w:bCs/>
        </w:rPr>
      </w:pPr>
      <w:r w:rsidRPr="00093B20">
        <w:rPr>
          <w:rFonts w:ascii="Aptos" w:eastAsia="Times New Roman" w:hAnsi="Aptos" w:cs="Times New Roman"/>
          <w:b/>
          <w:bCs/>
        </w:rPr>
        <w:t>Recommendation</w:t>
      </w:r>
    </w:p>
    <w:p w14:paraId="2F71FB99" w14:textId="77777777" w:rsidR="00093B20" w:rsidRPr="00093B20" w:rsidRDefault="00093B20" w:rsidP="00093B20">
      <w:pPr>
        <w:tabs>
          <w:tab w:val="center" w:pos="4513"/>
          <w:tab w:val="right" w:pos="9026"/>
        </w:tabs>
        <w:spacing w:after="0" w:line="240" w:lineRule="auto"/>
        <w:rPr>
          <w:rFonts w:ascii="Aptos" w:eastAsia="Aptos" w:hAnsi="Aptos" w:cs="Times New Roman"/>
          <w:i/>
          <w:iCs/>
        </w:rPr>
      </w:pPr>
      <w:r w:rsidRPr="00093B20">
        <w:rPr>
          <w:rFonts w:ascii="Aptos" w:eastAsia="Aptos" w:hAnsi="Aptos" w:cs="Times New Roman"/>
          <w:i/>
          <w:iCs/>
        </w:rPr>
        <w:t>The recommendation by the lead officer should be stated below. This may be:</w:t>
      </w:r>
    </w:p>
    <w:p w14:paraId="42CDFAEB" w14:textId="77777777" w:rsidR="00093B20" w:rsidRPr="00093B20" w:rsidRDefault="00093B20" w:rsidP="00093B20">
      <w:pPr>
        <w:numPr>
          <w:ilvl w:val="0"/>
          <w:numId w:val="5"/>
        </w:numPr>
        <w:spacing w:after="0" w:line="240" w:lineRule="auto"/>
        <w:rPr>
          <w:rFonts w:ascii="Aptos" w:eastAsia="Aptos" w:hAnsi="Aptos" w:cs="Times New Roman"/>
          <w:i/>
          <w:iCs/>
        </w:rPr>
      </w:pPr>
      <w:r w:rsidRPr="00093B20">
        <w:rPr>
          <w:rFonts w:ascii="Aptos" w:eastAsia="Aptos" w:hAnsi="Aptos" w:cs="Times New Roman"/>
          <w:i/>
          <w:iCs/>
        </w:rPr>
        <w:t>to proceed with the change, implementing the Action Plan if appropriate</w:t>
      </w:r>
    </w:p>
    <w:p w14:paraId="731FD725" w14:textId="77777777" w:rsidR="00093B20" w:rsidRPr="00093B20" w:rsidRDefault="00093B20" w:rsidP="00093B20">
      <w:pPr>
        <w:numPr>
          <w:ilvl w:val="0"/>
          <w:numId w:val="5"/>
        </w:numPr>
        <w:spacing w:after="0" w:line="240" w:lineRule="auto"/>
        <w:rPr>
          <w:rFonts w:ascii="Aptos" w:eastAsia="Aptos" w:hAnsi="Aptos" w:cs="Times New Roman"/>
          <w:i/>
          <w:iCs/>
        </w:rPr>
      </w:pPr>
      <w:r w:rsidRPr="00093B20">
        <w:rPr>
          <w:rFonts w:ascii="Aptos" w:eastAsia="Aptos" w:hAnsi="Aptos" w:cs="Times New Roman"/>
          <w:i/>
          <w:iCs/>
        </w:rPr>
        <w:t>consider alternatives</w:t>
      </w:r>
    </w:p>
    <w:p w14:paraId="278D951D" w14:textId="77777777" w:rsidR="00093B20" w:rsidRPr="00093B20" w:rsidRDefault="00093B20" w:rsidP="00093B20">
      <w:pPr>
        <w:numPr>
          <w:ilvl w:val="0"/>
          <w:numId w:val="5"/>
        </w:numPr>
        <w:spacing w:after="0" w:line="240" w:lineRule="auto"/>
        <w:rPr>
          <w:rFonts w:ascii="Aptos" w:eastAsia="Aptos" w:hAnsi="Aptos" w:cs="Times New Roman"/>
          <w:i/>
          <w:iCs/>
        </w:rPr>
      </w:pPr>
      <w:r w:rsidRPr="00093B20">
        <w:rPr>
          <w:rFonts w:ascii="Aptos" w:eastAsia="Aptos" w:hAnsi="Aptos" w:cs="Times New Roman"/>
          <w:i/>
          <w:iCs/>
        </w:rPr>
        <w:t>gather further evidence</w:t>
      </w:r>
    </w:p>
    <w:p w14:paraId="7D9E37F2" w14:textId="77777777" w:rsidR="00093B20" w:rsidRPr="00093B20" w:rsidRDefault="00093B20" w:rsidP="00093B20">
      <w:pPr>
        <w:spacing w:after="0" w:line="240" w:lineRule="auto"/>
        <w:rPr>
          <w:rFonts w:ascii="Aptos" w:eastAsia="Aptos" w:hAnsi="Aptos" w:cs="Times New Roman"/>
          <w:i/>
          <w:iCs/>
        </w:rPr>
      </w:pPr>
      <w:r w:rsidRPr="00093B20">
        <w:rPr>
          <w:rFonts w:ascii="Aptos" w:eastAsia="Aptos" w:hAnsi="Aptos" w:cs="Times New Roman"/>
          <w:i/>
          <w:iCs/>
        </w:rPr>
        <w:t>If the recommendation is to proceed with the change and there are no actions that can be taken to mitigate likely adverse impact, it is important to state why.</w:t>
      </w:r>
    </w:p>
    <w:p w14:paraId="39D54AE1" w14:textId="77777777" w:rsidR="00093B20" w:rsidRPr="00093B20" w:rsidRDefault="00093B20" w:rsidP="00093B20">
      <w:pPr>
        <w:spacing w:after="0" w:line="240" w:lineRule="auto"/>
        <w:rPr>
          <w:rFonts w:ascii="Aptos" w:eastAsia="Aptos" w:hAnsi="Aptos" w:cs="Times New Roman"/>
          <w:i/>
          <w:iCs/>
        </w:rPr>
      </w:pPr>
    </w:p>
    <w:p w14:paraId="46A67F44" w14:textId="77777777" w:rsidR="00093B20" w:rsidRPr="00093B20" w:rsidRDefault="00093B20" w:rsidP="00093B20">
      <w:pPr>
        <w:spacing w:after="0" w:line="240" w:lineRule="auto"/>
        <w:rPr>
          <w:rFonts w:ascii="Aptos" w:eastAsia="Aptos" w:hAnsi="Aptos" w:cs="Times New Roman"/>
          <w:bCs/>
        </w:rPr>
      </w:pPr>
      <w:r w:rsidRPr="00093B20">
        <w:rPr>
          <w:rFonts w:ascii="Aptos" w:eastAsia="Aptos" w:hAnsi="Aptos" w:cs="Times New Roman"/>
          <w:bCs/>
        </w:rPr>
        <w:t>Proceed with the reviewed policy.</w:t>
      </w:r>
    </w:p>
    <w:p w14:paraId="7C6D3242" w14:textId="77777777" w:rsidR="00093B20" w:rsidRPr="00093B20" w:rsidRDefault="00093B20" w:rsidP="00093B20">
      <w:pPr>
        <w:keepNext/>
        <w:keepLines/>
        <w:numPr>
          <w:ilvl w:val="0"/>
          <w:numId w:val="1"/>
        </w:numPr>
        <w:spacing w:before="160" w:after="80"/>
        <w:outlineLvl w:val="1"/>
        <w:rPr>
          <w:rFonts w:ascii="Aptos" w:eastAsia="Times New Roman" w:hAnsi="Aptos" w:cs="Times New Roman"/>
          <w:b/>
          <w:bCs/>
        </w:rPr>
      </w:pPr>
      <w:r w:rsidRPr="00093B20">
        <w:rPr>
          <w:rFonts w:ascii="Aptos" w:eastAsia="Times New Roman" w:hAnsi="Aptos" w:cs="Times New Roman"/>
          <w:b/>
          <w:bCs/>
        </w:rPr>
        <w:t xml:space="preserve">Authorisation </w:t>
      </w:r>
    </w:p>
    <w:p w14:paraId="042E1706" w14:textId="77777777" w:rsidR="00093B20" w:rsidRPr="00093B20" w:rsidRDefault="00093B20" w:rsidP="00093B20">
      <w:pPr>
        <w:tabs>
          <w:tab w:val="center" w:pos="4513"/>
          <w:tab w:val="right" w:pos="9026"/>
        </w:tabs>
        <w:spacing w:after="0" w:line="240" w:lineRule="auto"/>
        <w:rPr>
          <w:rFonts w:ascii="Aptos" w:eastAsia="Aptos" w:hAnsi="Aptos" w:cs="Times New Roman"/>
          <w:i/>
          <w:iCs/>
        </w:rPr>
      </w:pPr>
      <w:r w:rsidRPr="00093B20">
        <w:rPr>
          <w:rFonts w:ascii="Aptos" w:eastAsia="Aptos" w:hAnsi="Aptos" w:cs="Times New Roman"/>
          <w:i/>
          <w:iCs/>
        </w:rPr>
        <w:t>The authorising officer is consenting that:</w:t>
      </w:r>
    </w:p>
    <w:p w14:paraId="7735FD32" w14:textId="77777777" w:rsidR="00093B20" w:rsidRPr="00093B20" w:rsidRDefault="00093B20" w:rsidP="00093B20">
      <w:pPr>
        <w:numPr>
          <w:ilvl w:val="0"/>
          <w:numId w:val="7"/>
        </w:numPr>
        <w:spacing w:after="0" w:line="240" w:lineRule="auto"/>
        <w:rPr>
          <w:rFonts w:ascii="Aptos" w:eastAsia="Aptos" w:hAnsi="Aptos" w:cs="Times New Roman"/>
          <w:i/>
          <w:iCs/>
        </w:rPr>
      </w:pPr>
      <w:r w:rsidRPr="00093B20">
        <w:rPr>
          <w:rFonts w:ascii="Aptos" w:eastAsia="Aptos" w:hAnsi="Aptos" w:cs="Times New Roman"/>
          <w:i/>
          <w:iCs/>
        </w:rPr>
        <w:t>the recommendation can be implemented</w:t>
      </w:r>
    </w:p>
    <w:p w14:paraId="6D3F53F5" w14:textId="77777777" w:rsidR="00093B20" w:rsidRPr="00093B20" w:rsidRDefault="00093B20" w:rsidP="00093B20">
      <w:pPr>
        <w:numPr>
          <w:ilvl w:val="0"/>
          <w:numId w:val="6"/>
        </w:numPr>
        <w:spacing w:after="0" w:line="240" w:lineRule="auto"/>
        <w:rPr>
          <w:rFonts w:ascii="Aptos" w:eastAsia="Aptos" w:hAnsi="Aptos" w:cs="Times New Roman"/>
          <w:i/>
          <w:iCs/>
        </w:rPr>
      </w:pPr>
      <w:r w:rsidRPr="00093B20">
        <w:rPr>
          <w:rFonts w:ascii="Aptos" w:eastAsia="Aptos" w:hAnsi="Aptos" w:cs="Times New Roman"/>
          <w:i/>
          <w:iCs/>
        </w:rPr>
        <w:t>sufficient evidence has been obtained and appropriate mitigation is planned</w:t>
      </w:r>
    </w:p>
    <w:p w14:paraId="3184D451" w14:textId="77777777" w:rsidR="00093B20" w:rsidRPr="00093B20" w:rsidRDefault="00093B20" w:rsidP="00093B20">
      <w:pPr>
        <w:numPr>
          <w:ilvl w:val="0"/>
          <w:numId w:val="6"/>
        </w:numPr>
        <w:spacing w:after="0" w:line="240" w:lineRule="auto"/>
        <w:rPr>
          <w:rFonts w:ascii="Aptos" w:eastAsia="Aptos" w:hAnsi="Aptos" w:cs="Times New Roman"/>
          <w:i/>
          <w:iCs/>
        </w:rPr>
      </w:pPr>
      <w:r w:rsidRPr="00093B20">
        <w:rPr>
          <w:rFonts w:ascii="Aptos" w:eastAsia="Aptos" w:hAnsi="Aptos" w:cs="Times New Roman"/>
          <w:i/>
          <w:iCs/>
        </w:rPr>
        <w:t>the Action Plan will be incorporated into the relevant Service Plan and monitored</w:t>
      </w:r>
    </w:p>
    <w:p w14:paraId="4FD1FA12" w14:textId="77777777" w:rsidR="00093B20" w:rsidRPr="00093B20" w:rsidRDefault="00093B20" w:rsidP="00093B20">
      <w:pPr>
        <w:spacing w:after="0" w:line="240" w:lineRule="auto"/>
        <w:rPr>
          <w:rFonts w:ascii="Aptos" w:eastAsia="Aptos" w:hAnsi="Aptos" w:cs="Times New Roman"/>
          <w:i/>
          <w:iCs/>
          <w:sz w:val="20"/>
        </w:rPr>
      </w:pPr>
    </w:p>
    <w:p w14:paraId="45736BCA" w14:textId="77777777" w:rsidR="00093B20" w:rsidRPr="00093B20" w:rsidRDefault="00093B20" w:rsidP="00093B20">
      <w:pPr>
        <w:spacing w:after="0" w:line="240" w:lineRule="auto"/>
        <w:rPr>
          <w:rFonts w:ascii="Aptos" w:eastAsia="Aptos" w:hAnsi="Aptos" w:cs="Times New Roman"/>
        </w:rPr>
      </w:pPr>
      <w:r w:rsidRPr="00093B20">
        <w:rPr>
          <w:rFonts w:ascii="Aptos" w:eastAsia="Aptos" w:hAnsi="Aptos" w:cs="Times New Roman"/>
        </w:rPr>
        <w:t>Authorising Officer: Rebecca Wilcox – Chief Housing Officer</w:t>
      </w:r>
    </w:p>
    <w:p w14:paraId="77FB09C2" w14:textId="77777777" w:rsidR="00093B20" w:rsidRPr="00093B20" w:rsidRDefault="00093B20" w:rsidP="00093B20">
      <w:pPr>
        <w:spacing w:after="0" w:line="240" w:lineRule="auto"/>
        <w:rPr>
          <w:rFonts w:ascii="Aptos" w:eastAsia="Aptos" w:hAnsi="Aptos" w:cs="Times New Roman"/>
        </w:rPr>
      </w:pPr>
    </w:p>
    <w:p w14:paraId="74B24E76" w14:textId="342AAA9C" w:rsidR="00093B20" w:rsidRPr="00093B20" w:rsidRDefault="00093B20" w:rsidP="00093B20">
      <w:pPr>
        <w:spacing w:after="0" w:line="240" w:lineRule="auto"/>
        <w:rPr>
          <w:rFonts w:ascii="Aptos" w:eastAsia="Aptos" w:hAnsi="Aptos" w:cs="Times New Roman"/>
        </w:rPr>
      </w:pPr>
      <w:r w:rsidRPr="00093B20">
        <w:rPr>
          <w:rFonts w:ascii="Aptos" w:eastAsia="Aptos" w:hAnsi="Aptos" w:cs="Times New Roman"/>
        </w:rPr>
        <w:t xml:space="preserve">Date: </w:t>
      </w:r>
      <w:r>
        <w:rPr>
          <w:rFonts w:ascii="Aptos" w:eastAsia="Aptos" w:hAnsi="Aptos" w:cs="Times New Roman"/>
        </w:rPr>
        <w:t>November</w:t>
      </w:r>
      <w:r w:rsidRPr="00093B20">
        <w:rPr>
          <w:rFonts w:ascii="Aptos" w:eastAsia="Aptos" w:hAnsi="Aptos" w:cs="Times New Roman"/>
        </w:rPr>
        <w:t xml:space="preserve"> 2024</w:t>
      </w:r>
    </w:p>
    <w:p w14:paraId="7973D6B2" w14:textId="7981CC67" w:rsidR="00041BD0" w:rsidRPr="00CA164D" w:rsidRDefault="00041BD0" w:rsidP="00A15F92">
      <w:pPr>
        <w:pStyle w:val="ListParagraph"/>
        <w:rPr>
          <w:b/>
          <w:bCs/>
        </w:rPr>
      </w:pPr>
    </w:p>
    <w:sectPr w:rsidR="00041BD0" w:rsidRPr="00CA16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92C2A" w14:textId="77777777" w:rsidR="00D12E21" w:rsidRDefault="00D12E21" w:rsidP="008E3FBC">
      <w:pPr>
        <w:spacing w:after="0" w:line="240" w:lineRule="auto"/>
      </w:pPr>
      <w:r>
        <w:separator/>
      </w:r>
    </w:p>
  </w:endnote>
  <w:endnote w:type="continuationSeparator" w:id="0">
    <w:p w14:paraId="4BC86E9A" w14:textId="77777777" w:rsidR="00D12E21" w:rsidRDefault="00D12E21" w:rsidP="008E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CC7A" w14:textId="77777777" w:rsidR="008E3FBC" w:rsidRDefault="008E3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B0F99" w14:textId="77777777" w:rsidR="008E3FBC" w:rsidRDefault="008E3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9F3D" w14:textId="77777777" w:rsidR="008E3FBC" w:rsidRDefault="008E3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31855" w14:textId="77777777" w:rsidR="00D12E21" w:rsidRDefault="00D12E21" w:rsidP="008E3FBC">
      <w:pPr>
        <w:spacing w:after="0" w:line="240" w:lineRule="auto"/>
      </w:pPr>
      <w:r>
        <w:separator/>
      </w:r>
    </w:p>
  </w:footnote>
  <w:footnote w:type="continuationSeparator" w:id="0">
    <w:p w14:paraId="152BCD41" w14:textId="77777777" w:rsidR="00D12E21" w:rsidRDefault="00D12E21" w:rsidP="008E3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9420" w14:textId="77777777" w:rsidR="008E3FBC" w:rsidRDefault="008E3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EBDE" w14:textId="128B703E" w:rsidR="008E3FBC" w:rsidRDefault="008E3FBC">
    <w:pPr>
      <w:pStyle w:val="Header"/>
    </w:pPr>
    <w:r>
      <w:rPr>
        <w:noProof/>
      </w:rPr>
      <w:drawing>
        <wp:inline distT="0" distB="0" distL="0" distR="0" wp14:anchorId="055B342A" wp14:editId="6F3655EE">
          <wp:extent cx="1314450" cy="809625"/>
          <wp:effectExtent l="0" t="0" r="0" b="9525"/>
          <wp:docPr id="1863080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096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35839" w14:textId="77777777" w:rsidR="008E3FBC" w:rsidRDefault="008E3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9061C2"/>
    <w:multiLevelType w:val="hybridMultilevel"/>
    <w:tmpl w:val="5B60E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367801">
    <w:abstractNumId w:val="2"/>
  </w:num>
  <w:num w:numId="2" w16cid:durableId="731805656">
    <w:abstractNumId w:val="4"/>
  </w:num>
  <w:num w:numId="3" w16cid:durableId="1899512703">
    <w:abstractNumId w:val="3"/>
  </w:num>
  <w:num w:numId="4" w16cid:durableId="601574041">
    <w:abstractNumId w:val="5"/>
  </w:num>
  <w:num w:numId="5" w16cid:durableId="138772011">
    <w:abstractNumId w:val="1"/>
  </w:num>
  <w:num w:numId="6" w16cid:durableId="1625767841">
    <w:abstractNumId w:val="0"/>
  </w:num>
  <w:num w:numId="7" w16cid:durableId="773791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0C"/>
    <w:rsid w:val="00041BD0"/>
    <w:rsid w:val="000658E2"/>
    <w:rsid w:val="00093B20"/>
    <w:rsid w:val="002E3B71"/>
    <w:rsid w:val="00307E0C"/>
    <w:rsid w:val="00311D8C"/>
    <w:rsid w:val="003A1AF6"/>
    <w:rsid w:val="003F33C0"/>
    <w:rsid w:val="00660F6F"/>
    <w:rsid w:val="006B1193"/>
    <w:rsid w:val="00792385"/>
    <w:rsid w:val="008E3FBC"/>
    <w:rsid w:val="009F14CE"/>
    <w:rsid w:val="00A15F92"/>
    <w:rsid w:val="00A94199"/>
    <w:rsid w:val="00B26E04"/>
    <w:rsid w:val="00BE2C85"/>
    <w:rsid w:val="00CA164D"/>
    <w:rsid w:val="00D12E21"/>
    <w:rsid w:val="00DF3139"/>
    <w:rsid w:val="00E51531"/>
    <w:rsid w:val="00FD1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C8C65"/>
  <w15:chartTrackingRefBased/>
  <w15:docId w15:val="{A348D9A5-59E9-4CA3-A5EE-CB25B906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E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E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E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E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E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E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E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E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E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E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E0C"/>
    <w:rPr>
      <w:rFonts w:eastAsiaTheme="majorEastAsia" w:cstheme="majorBidi"/>
      <w:color w:val="272727" w:themeColor="text1" w:themeTint="D8"/>
    </w:rPr>
  </w:style>
  <w:style w:type="paragraph" w:styleId="Title">
    <w:name w:val="Title"/>
    <w:basedOn w:val="Normal"/>
    <w:next w:val="Normal"/>
    <w:link w:val="TitleChar"/>
    <w:uiPriority w:val="10"/>
    <w:qFormat/>
    <w:rsid w:val="00307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E0C"/>
    <w:pPr>
      <w:spacing w:before="160"/>
      <w:jc w:val="center"/>
    </w:pPr>
    <w:rPr>
      <w:i/>
      <w:iCs/>
      <w:color w:val="404040" w:themeColor="text1" w:themeTint="BF"/>
    </w:rPr>
  </w:style>
  <w:style w:type="character" w:customStyle="1" w:styleId="QuoteChar">
    <w:name w:val="Quote Char"/>
    <w:basedOn w:val="DefaultParagraphFont"/>
    <w:link w:val="Quote"/>
    <w:uiPriority w:val="29"/>
    <w:rsid w:val="00307E0C"/>
    <w:rPr>
      <w:i/>
      <w:iCs/>
      <w:color w:val="404040" w:themeColor="text1" w:themeTint="BF"/>
    </w:rPr>
  </w:style>
  <w:style w:type="paragraph" w:styleId="ListParagraph">
    <w:name w:val="List Paragraph"/>
    <w:basedOn w:val="Normal"/>
    <w:uiPriority w:val="34"/>
    <w:qFormat/>
    <w:rsid w:val="00307E0C"/>
    <w:pPr>
      <w:ind w:left="720"/>
      <w:contextualSpacing/>
    </w:pPr>
  </w:style>
  <w:style w:type="character" w:styleId="IntenseEmphasis">
    <w:name w:val="Intense Emphasis"/>
    <w:basedOn w:val="DefaultParagraphFont"/>
    <w:uiPriority w:val="21"/>
    <w:qFormat/>
    <w:rsid w:val="00307E0C"/>
    <w:rPr>
      <w:i/>
      <w:iCs/>
      <w:color w:val="2F5496" w:themeColor="accent1" w:themeShade="BF"/>
    </w:rPr>
  </w:style>
  <w:style w:type="paragraph" w:styleId="IntenseQuote">
    <w:name w:val="Intense Quote"/>
    <w:basedOn w:val="Normal"/>
    <w:next w:val="Normal"/>
    <w:link w:val="IntenseQuoteChar"/>
    <w:uiPriority w:val="30"/>
    <w:qFormat/>
    <w:rsid w:val="00307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E0C"/>
    <w:rPr>
      <w:i/>
      <w:iCs/>
      <w:color w:val="2F5496" w:themeColor="accent1" w:themeShade="BF"/>
    </w:rPr>
  </w:style>
  <w:style w:type="character" w:styleId="IntenseReference">
    <w:name w:val="Intense Reference"/>
    <w:basedOn w:val="DefaultParagraphFont"/>
    <w:uiPriority w:val="32"/>
    <w:qFormat/>
    <w:rsid w:val="00307E0C"/>
    <w:rPr>
      <w:b/>
      <w:bCs/>
      <w:smallCaps/>
      <w:color w:val="2F5496" w:themeColor="accent1" w:themeShade="BF"/>
      <w:spacing w:val="5"/>
    </w:rPr>
  </w:style>
  <w:style w:type="paragraph" w:styleId="Header">
    <w:name w:val="header"/>
    <w:basedOn w:val="Normal"/>
    <w:link w:val="HeaderChar"/>
    <w:unhideWhenUsed/>
    <w:rsid w:val="003A1AF6"/>
    <w:pPr>
      <w:tabs>
        <w:tab w:val="center" w:pos="4153"/>
        <w:tab w:val="right" w:pos="8306"/>
      </w:tabs>
      <w:spacing w:after="0" w:line="240" w:lineRule="auto"/>
    </w:pPr>
    <w:rPr>
      <w:rFonts w:ascii="Arial" w:eastAsia="Times New Roman" w:hAnsi="Arial" w:cs="Times New Roman"/>
      <w:kern w:val="0"/>
      <w:sz w:val="24"/>
      <w:szCs w:val="24"/>
      <w14:ligatures w14:val="none"/>
    </w:rPr>
  </w:style>
  <w:style w:type="character" w:customStyle="1" w:styleId="HeaderChar">
    <w:name w:val="Header Char"/>
    <w:basedOn w:val="DefaultParagraphFont"/>
    <w:link w:val="Header"/>
    <w:rsid w:val="003A1AF6"/>
    <w:rPr>
      <w:rFonts w:ascii="Arial" w:eastAsia="Times New Roman" w:hAnsi="Arial" w:cs="Times New Roman"/>
      <w:kern w:val="0"/>
      <w:sz w:val="24"/>
      <w:szCs w:val="24"/>
      <w14:ligatures w14:val="none"/>
    </w:rPr>
  </w:style>
  <w:style w:type="paragraph" w:customStyle="1" w:styleId="Default">
    <w:name w:val="Default"/>
    <w:rsid w:val="003A1AF6"/>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character" w:styleId="Hyperlink">
    <w:name w:val="Hyperlink"/>
    <w:semiHidden/>
    <w:unhideWhenUsed/>
    <w:rsid w:val="00BE2C85"/>
    <w:rPr>
      <w:color w:val="0000FF"/>
      <w:u w:val="single"/>
    </w:rPr>
  </w:style>
  <w:style w:type="paragraph" w:styleId="Footer">
    <w:name w:val="footer"/>
    <w:basedOn w:val="Normal"/>
    <w:link w:val="FooterChar"/>
    <w:uiPriority w:val="99"/>
    <w:unhideWhenUsed/>
    <w:rsid w:val="008E3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702428">
      <w:bodyDiv w:val="1"/>
      <w:marLeft w:val="0"/>
      <w:marRight w:val="0"/>
      <w:marTop w:val="0"/>
      <w:marBottom w:val="0"/>
      <w:divBdr>
        <w:top w:val="none" w:sz="0" w:space="0" w:color="auto"/>
        <w:left w:val="none" w:sz="0" w:space="0" w:color="auto"/>
        <w:bottom w:val="none" w:sz="0" w:space="0" w:color="auto"/>
        <w:right w:val="none" w:sz="0" w:space="0" w:color="auto"/>
      </w:divBdr>
    </w:div>
    <w:div w:id="627902276">
      <w:bodyDiv w:val="1"/>
      <w:marLeft w:val="0"/>
      <w:marRight w:val="0"/>
      <w:marTop w:val="0"/>
      <w:marBottom w:val="0"/>
      <w:divBdr>
        <w:top w:val="none" w:sz="0" w:space="0" w:color="auto"/>
        <w:left w:val="none" w:sz="0" w:space="0" w:color="auto"/>
        <w:bottom w:val="none" w:sz="0" w:space="0" w:color="auto"/>
        <w:right w:val="none" w:sz="0" w:space="0" w:color="auto"/>
      </w:divBdr>
    </w:div>
    <w:div w:id="911232367">
      <w:bodyDiv w:val="1"/>
      <w:marLeft w:val="0"/>
      <w:marRight w:val="0"/>
      <w:marTop w:val="0"/>
      <w:marBottom w:val="0"/>
      <w:divBdr>
        <w:top w:val="none" w:sz="0" w:space="0" w:color="auto"/>
        <w:left w:val="none" w:sz="0" w:space="0" w:color="auto"/>
        <w:bottom w:val="none" w:sz="0" w:space="0" w:color="auto"/>
        <w:right w:val="none" w:sz="0" w:space="0" w:color="auto"/>
      </w:divBdr>
    </w:div>
    <w:div w:id="1581014298">
      <w:bodyDiv w:val="1"/>
      <w:marLeft w:val="0"/>
      <w:marRight w:val="0"/>
      <w:marTop w:val="0"/>
      <w:marBottom w:val="0"/>
      <w:divBdr>
        <w:top w:val="none" w:sz="0" w:space="0" w:color="auto"/>
        <w:left w:val="none" w:sz="0" w:space="0" w:color="auto"/>
        <w:bottom w:val="none" w:sz="0" w:space="0" w:color="auto"/>
        <w:right w:val="none" w:sz="0" w:space="0" w:color="auto"/>
      </w:divBdr>
    </w:div>
    <w:div w:id="158171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ivicaepay.co.uk/medway/Webpay_Public/WebPay/default.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katherine</dc:creator>
  <cp:keywords/>
  <dc:description/>
  <cp:lastModifiedBy>maskell, skye</cp:lastModifiedBy>
  <cp:revision>2</cp:revision>
  <dcterms:created xsi:type="dcterms:W3CDTF">2025-01-02T11:12:00Z</dcterms:created>
  <dcterms:modified xsi:type="dcterms:W3CDTF">2025-01-02T11:12:00Z</dcterms:modified>
</cp:coreProperties>
</file>