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CAE350" w14:textId="77777777" w:rsidR="004C0B3F" w:rsidRDefault="004C0B3F" w:rsidP="004C0B3F">
      <w:pPr>
        <w:pStyle w:val="Title"/>
      </w:pPr>
    </w:p>
    <w:p w14:paraId="1D7F4D01" w14:textId="77777777" w:rsidR="008C3080" w:rsidRDefault="0061270B" w:rsidP="004C0B3F">
      <w:pPr>
        <w:pStyle w:val="Title"/>
      </w:pPr>
      <w:r>
        <w:t>Leaseholder Section 20 Policy</w:t>
      </w:r>
    </w:p>
    <w:p w14:paraId="37B9EA24" w14:textId="77777777" w:rsidR="00AA150F" w:rsidRDefault="00AA150F" w:rsidP="00AA150F"/>
    <w:p w14:paraId="72584B8E" w14:textId="77777777" w:rsidR="00AA150F" w:rsidRDefault="00AA150F" w:rsidP="00AA150F">
      <w:pPr>
        <w:pStyle w:val="Heading1"/>
        <w:numPr>
          <w:ilvl w:val="0"/>
          <w:numId w:val="1"/>
        </w:numPr>
      </w:pPr>
      <w:r>
        <w:t>Introduction</w:t>
      </w:r>
    </w:p>
    <w:p w14:paraId="405776AE" w14:textId="77777777" w:rsidR="0061270B" w:rsidRPr="00BE5115" w:rsidRDefault="0061270B" w:rsidP="0061270B">
      <w:pPr>
        <w:pStyle w:val="ListParagraph"/>
        <w:numPr>
          <w:ilvl w:val="1"/>
          <w:numId w:val="1"/>
        </w:numPr>
        <w:spacing w:after="200" w:line="276" w:lineRule="auto"/>
        <w:rPr>
          <w:rFonts w:ascii="Arial" w:hAnsi="Arial" w:cs="Arial"/>
          <w:sz w:val="24"/>
          <w:szCs w:val="24"/>
        </w:rPr>
      </w:pPr>
      <w:r w:rsidRPr="00BE5115">
        <w:rPr>
          <w:rFonts w:ascii="Arial" w:hAnsi="Arial" w:cs="Arial"/>
          <w:sz w:val="24"/>
          <w:szCs w:val="24"/>
        </w:rPr>
        <w:t>Section 20 of the Landlord and Tenant Ac</w:t>
      </w:r>
      <w:r>
        <w:rPr>
          <w:rFonts w:ascii="Arial" w:hAnsi="Arial" w:cs="Arial"/>
          <w:sz w:val="24"/>
          <w:szCs w:val="24"/>
        </w:rPr>
        <w:t>t 1985 as amended by the Common</w:t>
      </w:r>
      <w:r w:rsidRPr="00BE5115">
        <w:rPr>
          <w:rFonts w:ascii="Arial" w:hAnsi="Arial" w:cs="Arial"/>
          <w:sz w:val="24"/>
          <w:szCs w:val="24"/>
        </w:rPr>
        <w:t xml:space="preserve">hold and Leasehold Reform Act 2002 states that </w:t>
      </w:r>
      <w:r>
        <w:rPr>
          <w:rFonts w:ascii="Arial" w:hAnsi="Arial" w:cs="Arial"/>
          <w:sz w:val="24"/>
          <w:szCs w:val="24"/>
        </w:rPr>
        <w:t xml:space="preserve">landlords </w:t>
      </w:r>
      <w:r w:rsidRPr="00BE5115">
        <w:rPr>
          <w:rFonts w:ascii="Arial" w:hAnsi="Arial" w:cs="Arial"/>
          <w:sz w:val="24"/>
          <w:szCs w:val="24"/>
        </w:rPr>
        <w:t>ha</w:t>
      </w:r>
      <w:r>
        <w:rPr>
          <w:rFonts w:ascii="Arial" w:hAnsi="Arial" w:cs="Arial"/>
          <w:sz w:val="24"/>
          <w:szCs w:val="24"/>
        </w:rPr>
        <w:t xml:space="preserve">ve </w:t>
      </w:r>
      <w:r w:rsidRPr="00BE5115">
        <w:rPr>
          <w:rFonts w:ascii="Arial" w:hAnsi="Arial" w:cs="Arial"/>
          <w:sz w:val="24"/>
          <w:szCs w:val="24"/>
        </w:rPr>
        <w:t xml:space="preserve">a duty to consult leaseholders </w:t>
      </w:r>
      <w:r>
        <w:rPr>
          <w:rFonts w:ascii="Arial" w:hAnsi="Arial" w:cs="Arial"/>
          <w:sz w:val="24"/>
          <w:szCs w:val="24"/>
        </w:rPr>
        <w:t xml:space="preserve">and </w:t>
      </w:r>
      <w:r w:rsidRPr="003166C1">
        <w:rPr>
          <w:rFonts w:ascii="Arial" w:hAnsi="Arial" w:cs="Arial"/>
          <w:sz w:val="24"/>
          <w:szCs w:val="24"/>
        </w:rPr>
        <w:t>Recognised Tenants Association</w:t>
      </w:r>
      <w:r>
        <w:rPr>
          <w:rFonts w:ascii="Arial" w:hAnsi="Arial" w:cs="Arial"/>
          <w:sz w:val="24"/>
          <w:szCs w:val="24"/>
        </w:rPr>
        <w:t>s</w:t>
      </w:r>
      <w:r w:rsidRPr="003166C1">
        <w:rPr>
          <w:rFonts w:ascii="Arial" w:hAnsi="Arial" w:cs="Arial"/>
          <w:sz w:val="24"/>
          <w:szCs w:val="24"/>
        </w:rPr>
        <w:t xml:space="preserve"> (RTA</w:t>
      </w:r>
      <w:r>
        <w:rPr>
          <w:rFonts w:ascii="Arial" w:hAnsi="Arial" w:cs="Arial"/>
          <w:sz w:val="24"/>
          <w:szCs w:val="24"/>
        </w:rPr>
        <w:t>s</w:t>
      </w:r>
      <w:r w:rsidRPr="003166C1">
        <w:rPr>
          <w:rFonts w:ascii="Arial" w:hAnsi="Arial" w:cs="Arial"/>
          <w:sz w:val="24"/>
          <w:szCs w:val="24"/>
        </w:rPr>
        <w:t xml:space="preserve">) </w:t>
      </w:r>
      <w:r w:rsidRPr="00BE5115">
        <w:rPr>
          <w:rFonts w:ascii="Arial" w:hAnsi="Arial" w:cs="Arial"/>
          <w:sz w:val="24"/>
          <w:szCs w:val="24"/>
        </w:rPr>
        <w:t xml:space="preserve">before carrying out qualifying works or </w:t>
      </w:r>
      <w:r>
        <w:rPr>
          <w:rFonts w:ascii="Arial" w:hAnsi="Arial" w:cs="Arial"/>
          <w:sz w:val="24"/>
          <w:szCs w:val="24"/>
        </w:rPr>
        <w:t xml:space="preserve">before </w:t>
      </w:r>
      <w:r w:rsidRPr="00BE5115">
        <w:rPr>
          <w:rFonts w:ascii="Arial" w:hAnsi="Arial" w:cs="Arial"/>
          <w:sz w:val="24"/>
          <w:szCs w:val="24"/>
        </w:rPr>
        <w:t>enter</w:t>
      </w:r>
      <w:r>
        <w:rPr>
          <w:rFonts w:ascii="Arial" w:hAnsi="Arial" w:cs="Arial"/>
          <w:sz w:val="24"/>
          <w:szCs w:val="24"/>
        </w:rPr>
        <w:t xml:space="preserve">ing </w:t>
      </w:r>
      <w:r w:rsidRPr="00BE5115">
        <w:rPr>
          <w:rFonts w:ascii="Arial" w:hAnsi="Arial" w:cs="Arial"/>
          <w:sz w:val="24"/>
          <w:szCs w:val="24"/>
        </w:rPr>
        <w:t xml:space="preserve">into any </w:t>
      </w:r>
      <w:r>
        <w:rPr>
          <w:rFonts w:ascii="Arial" w:hAnsi="Arial" w:cs="Arial"/>
          <w:sz w:val="24"/>
          <w:szCs w:val="24"/>
        </w:rPr>
        <w:t>Qualifying Long-term Agreement</w:t>
      </w:r>
      <w:r w:rsidRPr="00BE5115">
        <w:rPr>
          <w:rFonts w:ascii="Arial" w:hAnsi="Arial" w:cs="Arial"/>
          <w:sz w:val="24"/>
          <w:szCs w:val="24"/>
        </w:rPr>
        <w:t xml:space="preserve"> for the provision of services. This</w:t>
      </w:r>
      <w:r>
        <w:rPr>
          <w:rFonts w:ascii="Arial" w:hAnsi="Arial" w:cs="Arial"/>
          <w:sz w:val="24"/>
          <w:szCs w:val="24"/>
        </w:rPr>
        <w:t xml:space="preserve"> process</w:t>
      </w:r>
      <w:r w:rsidRPr="00BE5115">
        <w:rPr>
          <w:rFonts w:ascii="Arial" w:hAnsi="Arial" w:cs="Arial"/>
          <w:sz w:val="24"/>
          <w:szCs w:val="24"/>
        </w:rPr>
        <w:t xml:space="preserve"> is referred to as Section 20 Consultation.</w:t>
      </w:r>
    </w:p>
    <w:p w14:paraId="7670C0DB" w14:textId="77777777" w:rsidR="0061270B" w:rsidRPr="003166C1" w:rsidRDefault="0061270B" w:rsidP="0061270B">
      <w:pPr>
        <w:pStyle w:val="ListParagraph"/>
        <w:ind w:left="405"/>
        <w:rPr>
          <w:rFonts w:ascii="Arial" w:hAnsi="Arial" w:cs="Arial"/>
          <w:sz w:val="16"/>
          <w:szCs w:val="24"/>
        </w:rPr>
      </w:pPr>
    </w:p>
    <w:p w14:paraId="5EA394FB" w14:textId="77777777" w:rsidR="00AA150F" w:rsidRPr="0061270B" w:rsidRDefault="0061270B" w:rsidP="0061270B">
      <w:pPr>
        <w:pStyle w:val="ListParagraph"/>
        <w:numPr>
          <w:ilvl w:val="1"/>
          <w:numId w:val="1"/>
        </w:numPr>
        <w:spacing w:after="200" w:line="276" w:lineRule="auto"/>
        <w:rPr>
          <w:rFonts w:ascii="Arial" w:hAnsi="Arial" w:cs="Arial"/>
          <w:sz w:val="24"/>
          <w:szCs w:val="24"/>
        </w:rPr>
      </w:pPr>
      <w:r>
        <w:rPr>
          <w:rFonts w:ascii="Arial" w:hAnsi="Arial" w:cs="Arial"/>
          <w:sz w:val="24"/>
          <w:szCs w:val="24"/>
        </w:rPr>
        <w:t xml:space="preserve">This legal procedure ensures that leaseholders are aware of the works the Council propose to carry out and the estimated costs. It allows leaseholders to raise any concerns about the works or the cost of works before they are started. In some cases leaseholders will be given the opportunity to nominate a contractor that they would like </w:t>
      </w:r>
      <w:r w:rsidRPr="00C6601E">
        <w:rPr>
          <w:rFonts w:ascii="Arial" w:hAnsi="Arial" w:cs="Arial"/>
          <w:sz w:val="24"/>
          <w:szCs w:val="24"/>
        </w:rPr>
        <w:t>Medway Council</w:t>
      </w:r>
      <w:r>
        <w:rPr>
          <w:rFonts w:ascii="Arial" w:hAnsi="Arial" w:cs="Arial"/>
          <w:sz w:val="24"/>
          <w:szCs w:val="24"/>
        </w:rPr>
        <w:t xml:space="preserve"> </w:t>
      </w:r>
      <w:r w:rsidRPr="00C6601E">
        <w:rPr>
          <w:rFonts w:ascii="Arial" w:hAnsi="Arial" w:cs="Arial"/>
          <w:sz w:val="24"/>
          <w:szCs w:val="24"/>
        </w:rPr>
        <w:t xml:space="preserve">Landlord Services </w:t>
      </w:r>
      <w:r>
        <w:rPr>
          <w:rFonts w:ascii="Arial" w:hAnsi="Arial" w:cs="Arial"/>
          <w:sz w:val="24"/>
          <w:szCs w:val="24"/>
        </w:rPr>
        <w:t>to tender for the works.</w:t>
      </w:r>
    </w:p>
    <w:p w14:paraId="4497521A" w14:textId="77777777" w:rsidR="00AA150F" w:rsidRDefault="00AA150F" w:rsidP="00AA150F">
      <w:pPr>
        <w:pStyle w:val="Heading1"/>
        <w:numPr>
          <w:ilvl w:val="0"/>
          <w:numId w:val="1"/>
        </w:numPr>
      </w:pPr>
      <w:r>
        <w:t>Purpose</w:t>
      </w:r>
    </w:p>
    <w:p w14:paraId="7C357F04" w14:textId="77777777" w:rsidR="0061270B" w:rsidRPr="0061270B" w:rsidRDefault="0061270B" w:rsidP="0061270B">
      <w:pPr>
        <w:pStyle w:val="ListParagraph"/>
        <w:numPr>
          <w:ilvl w:val="1"/>
          <w:numId w:val="1"/>
        </w:numPr>
        <w:spacing w:after="200" w:line="276" w:lineRule="auto"/>
        <w:rPr>
          <w:rFonts w:ascii="Arial" w:hAnsi="Arial" w:cs="Arial"/>
          <w:sz w:val="24"/>
          <w:szCs w:val="24"/>
        </w:rPr>
      </w:pPr>
      <w:r w:rsidRPr="0061270B">
        <w:rPr>
          <w:rFonts w:ascii="Arial" w:hAnsi="Arial" w:cs="Arial"/>
          <w:sz w:val="24"/>
          <w:szCs w:val="24"/>
        </w:rPr>
        <w:t>The purpose of this policy is to make sure that:</w:t>
      </w:r>
    </w:p>
    <w:p w14:paraId="2B56B8E9" w14:textId="77777777" w:rsidR="0061270B" w:rsidRDefault="0061270B" w:rsidP="0061270B">
      <w:pPr>
        <w:pStyle w:val="ListParagraph"/>
        <w:numPr>
          <w:ilvl w:val="2"/>
          <w:numId w:val="4"/>
        </w:numPr>
        <w:spacing w:after="200" w:line="276" w:lineRule="auto"/>
        <w:rPr>
          <w:rFonts w:ascii="Arial" w:hAnsi="Arial" w:cs="Arial"/>
          <w:sz w:val="24"/>
          <w:szCs w:val="24"/>
        </w:rPr>
      </w:pPr>
      <w:r w:rsidRPr="00E833BA">
        <w:rPr>
          <w:rFonts w:ascii="Arial" w:hAnsi="Arial" w:cs="Arial"/>
          <w:sz w:val="24"/>
          <w:szCs w:val="24"/>
        </w:rPr>
        <w:t>all parties comply with the terms of each individual lease</w:t>
      </w:r>
      <w:r>
        <w:rPr>
          <w:rFonts w:ascii="Arial" w:hAnsi="Arial" w:cs="Arial"/>
          <w:sz w:val="24"/>
          <w:szCs w:val="24"/>
        </w:rPr>
        <w:t>;</w:t>
      </w:r>
      <w:r w:rsidRPr="00E833BA">
        <w:rPr>
          <w:rFonts w:ascii="Arial" w:hAnsi="Arial" w:cs="Arial"/>
          <w:sz w:val="24"/>
          <w:szCs w:val="24"/>
        </w:rPr>
        <w:t xml:space="preserve"> </w:t>
      </w:r>
    </w:p>
    <w:p w14:paraId="3900913F" w14:textId="77777777" w:rsidR="0061270B" w:rsidRPr="00E833BA" w:rsidRDefault="0061270B" w:rsidP="0061270B">
      <w:pPr>
        <w:pStyle w:val="ListParagraph"/>
        <w:numPr>
          <w:ilvl w:val="2"/>
          <w:numId w:val="4"/>
        </w:numPr>
        <w:spacing w:after="200" w:line="276" w:lineRule="auto"/>
        <w:rPr>
          <w:rFonts w:ascii="Arial" w:hAnsi="Arial" w:cs="Arial"/>
          <w:sz w:val="24"/>
          <w:szCs w:val="24"/>
        </w:rPr>
      </w:pPr>
      <w:r w:rsidRPr="00E833BA">
        <w:rPr>
          <w:rFonts w:ascii="Arial" w:hAnsi="Arial" w:cs="Arial"/>
          <w:sz w:val="24"/>
          <w:szCs w:val="24"/>
        </w:rPr>
        <w:t>all parties comply with legal and regulatory requirements with regard to consultation;</w:t>
      </w:r>
    </w:p>
    <w:p w14:paraId="65D0E61E" w14:textId="77777777" w:rsidR="0061270B" w:rsidRDefault="0061270B" w:rsidP="0061270B">
      <w:pPr>
        <w:pStyle w:val="ListParagraph"/>
        <w:numPr>
          <w:ilvl w:val="2"/>
          <w:numId w:val="4"/>
        </w:numPr>
        <w:spacing w:after="200" w:line="276" w:lineRule="auto"/>
        <w:rPr>
          <w:rFonts w:ascii="Arial" w:hAnsi="Arial" w:cs="Arial"/>
          <w:sz w:val="24"/>
          <w:szCs w:val="24"/>
        </w:rPr>
      </w:pPr>
      <w:r>
        <w:rPr>
          <w:rFonts w:ascii="Arial" w:hAnsi="Arial" w:cs="Arial"/>
          <w:sz w:val="24"/>
          <w:szCs w:val="24"/>
        </w:rPr>
        <w:t>all appropriate costs for the provision of maintenance and services</w:t>
      </w:r>
      <w:r w:rsidRPr="00264878">
        <w:rPr>
          <w:rFonts w:ascii="Arial" w:hAnsi="Arial" w:cs="Arial"/>
          <w:sz w:val="24"/>
          <w:szCs w:val="24"/>
        </w:rPr>
        <w:t xml:space="preserve"> </w:t>
      </w:r>
      <w:r>
        <w:rPr>
          <w:rFonts w:ascii="Arial" w:hAnsi="Arial" w:cs="Arial"/>
          <w:sz w:val="24"/>
          <w:szCs w:val="24"/>
        </w:rPr>
        <w:t xml:space="preserve">are recovered. </w:t>
      </w:r>
    </w:p>
    <w:p w14:paraId="1A18EAA3" w14:textId="77777777" w:rsidR="00AA150F" w:rsidRPr="00AA150F" w:rsidRDefault="00AA150F" w:rsidP="00AA150F">
      <w:pPr>
        <w:pStyle w:val="ListParagraph"/>
      </w:pPr>
    </w:p>
    <w:p w14:paraId="48EE2B9B" w14:textId="77777777" w:rsidR="00AA150F" w:rsidRDefault="00AA150F" w:rsidP="00AA150F">
      <w:pPr>
        <w:pStyle w:val="Heading1"/>
        <w:numPr>
          <w:ilvl w:val="0"/>
          <w:numId w:val="1"/>
        </w:numPr>
      </w:pPr>
      <w:r>
        <w:t>Scope</w:t>
      </w:r>
    </w:p>
    <w:p w14:paraId="740BC294" w14:textId="77777777" w:rsidR="0061270B" w:rsidRPr="00AE555C" w:rsidRDefault="0061270B" w:rsidP="0061270B">
      <w:pPr>
        <w:pStyle w:val="ListParagraph"/>
        <w:numPr>
          <w:ilvl w:val="1"/>
          <w:numId w:val="1"/>
        </w:numPr>
        <w:spacing w:after="200" w:line="276" w:lineRule="auto"/>
        <w:rPr>
          <w:rFonts w:ascii="Arial" w:hAnsi="Arial" w:cs="Arial"/>
          <w:sz w:val="24"/>
          <w:szCs w:val="24"/>
        </w:rPr>
      </w:pPr>
      <w:r w:rsidRPr="00AE555C">
        <w:rPr>
          <w:rFonts w:ascii="Arial" w:hAnsi="Arial" w:cs="Arial"/>
          <w:sz w:val="24"/>
          <w:szCs w:val="24"/>
        </w:rPr>
        <w:t>This policy applies to all Medway Council Leaseholders</w:t>
      </w:r>
      <w:r>
        <w:rPr>
          <w:rFonts w:ascii="Arial" w:hAnsi="Arial" w:cs="Arial"/>
          <w:sz w:val="24"/>
          <w:szCs w:val="24"/>
        </w:rPr>
        <w:t xml:space="preserve">, </w:t>
      </w:r>
      <w:r w:rsidRPr="003166C1">
        <w:rPr>
          <w:rFonts w:ascii="Arial" w:hAnsi="Arial" w:cs="Arial"/>
          <w:sz w:val="24"/>
          <w:szCs w:val="24"/>
        </w:rPr>
        <w:t>Recognised Tenants Association</w:t>
      </w:r>
      <w:r>
        <w:rPr>
          <w:rFonts w:ascii="Arial" w:hAnsi="Arial" w:cs="Arial"/>
          <w:sz w:val="24"/>
          <w:szCs w:val="24"/>
        </w:rPr>
        <w:t>s</w:t>
      </w:r>
      <w:r w:rsidRPr="003166C1">
        <w:rPr>
          <w:rFonts w:ascii="Arial" w:hAnsi="Arial" w:cs="Arial"/>
          <w:sz w:val="24"/>
          <w:szCs w:val="24"/>
        </w:rPr>
        <w:t xml:space="preserve"> (RTA</w:t>
      </w:r>
      <w:r>
        <w:rPr>
          <w:rFonts w:ascii="Arial" w:hAnsi="Arial" w:cs="Arial"/>
          <w:sz w:val="24"/>
          <w:szCs w:val="24"/>
        </w:rPr>
        <w:t>s</w:t>
      </w:r>
      <w:r w:rsidRPr="003166C1">
        <w:rPr>
          <w:rFonts w:ascii="Arial" w:hAnsi="Arial" w:cs="Arial"/>
          <w:sz w:val="24"/>
          <w:szCs w:val="24"/>
        </w:rPr>
        <w:t xml:space="preserve">) </w:t>
      </w:r>
      <w:r>
        <w:rPr>
          <w:rFonts w:ascii="Arial" w:hAnsi="Arial" w:cs="Arial"/>
          <w:sz w:val="24"/>
          <w:szCs w:val="24"/>
        </w:rPr>
        <w:t>and Landlord Services employees</w:t>
      </w:r>
      <w:r w:rsidRPr="00AE555C">
        <w:rPr>
          <w:rFonts w:ascii="Arial" w:hAnsi="Arial" w:cs="Arial"/>
          <w:sz w:val="24"/>
          <w:szCs w:val="24"/>
        </w:rPr>
        <w:t xml:space="preserve">. </w:t>
      </w:r>
    </w:p>
    <w:p w14:paraId="0234AFD7" w14:textId="77777777" w:rsidR="004C0B3F" w:rsidRDefault="00AA150F" w:rsidP="004C0B3F">
      <w:pPr>
        <w:pStyle w:val="Heading1"/>
        <w:numPr>
          <w:ilvl w:val="0"/>
          <w:numId w:val="1"/>
        </w:numPr>
      </w:pPr>
      <w:r>
        <w:t>Legislation and Guidance</w:t>
      </w:r>
    </w:p>
    <w:p w14:paraId="3A4A7930" w14:textId="77777777" w:rsidR="0061270B" w:rsidRPr="007E5E03" w:rsidRDefault="0061270B" w:rsidP="0061270B">
      <w:pPr>
        <w:pStyle w:val="ListParagraph"/>
        <w:numPr>
          <w:ilvl w:val="1"/>
          <w:numId w:val="1"/>
        </w:numPr>
        <w:spacing w:after="200" w:line="276" w:lineRule="auto"/>
        <w:rPr>
          <w:rFonts w:ascii="Arial" w:hAnsi="Arial" w:cs="Arial"/>
          <w:b/>
          <w:sz w:val="24"/>
          <w:szCs w:val="24"/>
        </w:rPr>
      </w:pPr>
      <w:r w:rsidRPr="007E5E03">
        <w:rPr>
          <w:rFonts w:ascii="Arial" w:hAnsi="Arial" w:cs="Arial"/>
          <w:b/>
          <w:sz w:val="24"/>
          <w:szCs w:val="24"/>
        </w:rPr>
        <w:t xml:space="preserve">External  </w:t>
      </w:r>
    </w:p>
    <w:p w14:paraId="5617F51D" w14:textId="77777777" w:rsidR="0061270B" w:rsidRPr="007E5E03" w:rsidRDefault="0061270B" w:rsidP="0061270B">
      <w:pPr>
        <w:pStyle w:val="ListParagraph"/>
        <w:numPr>
          <w:ilvl w:val="2"/>
          <w:numId w:val="1"/>
        </w:numPr>
        <w:spacing w:after="200" w:line="276" w:lineRule="auto"/>
        <w:rPr>
          <w:rFonts w:ascii="Arial" w:hAnsi="Arial" w:cs="Arial"/>
          <w:sz w:val="24"/>
          <w:szCs w:val="24"/>
        </w:rPr>
      </w:pPr>
      <w:r w:rsidRPr="007E5E03">
        <w:rPr>
          <w:rFonts w:ascii="Arial" w:hAnsi="Arial" w:cs="Arial"/>
          <w:sz w:val="24"/>
          <w:szCs w:val="24"/>
        </w:rPr>
        <w:t>Landlord and Tenant Act 1985</w:t>
      </w:r>
      <w:r>
        <w:rPr>
          <w:rFonts w:ascii="Arial" w:hAnsi="Arial" w:cs="Arial"/>
          <w:sz w:val="24"/>
          <w:szCs w:val="24"/>
        </w:rPr>
        <w:t xml:space="preserve"> (section 29)</w:t>
      </w:r>
    </w:p>
    <w:p w14:paraId="70233FBC" w14:textId="77777777" w:rsidR="0061270B" w:rsidRDefault="0061270B" w:rsidP="0061270B">
      <w:pPr>
        <w:pStyle w:val="ListParagraph"/>
        <w:numPr>
          <w:ilvl w:val="2"/>
          <w:numId w:val="1"/>
        </w:numPr>
        <w:spacing w:after="200" w:line="276" w:lineRule="auto"/>
        <w:rPr>
          <w:rFonts w:ascii="Arial" w:hAnsi="Arial" w:cs="Arial"/>
          <w:sz w:val="24"/>
          <w:szCs w:val="24"/>
        </w:rPr>
      </w:pPr>
      <w:r>
        <w:rPr>
          <w:rFonts w:ascii="Arial" w:hAnsi="Arial" w:cs="Arial"/>
          <w:sz w:val="24"/>
          <w:szCs w:val="24"/>
        </w:rPr>
        <w:t>Common</w:t>
      </w:r>
      <w:r w:rsidRPr="007E5E03">
        <w:rPr>
          <w:rFonts w:ascii="Arial" w:hAnsi="Arial" w:cs="Arial"/>
          <w:sz w:val="24"/>
          <w:szCs w:val="24"/>
        </w:rPr>
        <w:t xml:space="preserve"> hold and Leasehold Reform Act 2002</w:t>
      </w:r>
    </w:p>
    <w:p w14:paraId="13510636" w14:textId="77777777" w:rsidR="0061270B" w:rsidRPr="0041014A" w:rsidRDefault="0061270B" w:rsidP="0061270B">
      <w:pPr>
        <w:pStyle w:val="ListParagraph"/>
        <w:numPr>
          <w:ilvl w:val="2"/>
          <w:numId w:val="1"/>
        </w:numPr>
        <w:spacing w:after="200" w:line="276" w:lineRule="auto"/>
        <w:rPr>
          <w:rFonts w:ascii="Arial" w:hAnsi="Arial" w:cs="Arial"/>
          <w:sz w:val="24"/>
          <w:szCs w:val="24"/>
        </w:rPr>
      </w:pPr>
      <w:r w:rsidRPr="0041014A">
        <w:rPr>
          <w:rFonts w:ascii="Arial" w:hAnsi="Arial" w:cs="Arial"/>
          <w:sz w:val="24"/>
          <w:szCs w:val="24"/>
        </w:rPr>
        <w:t>The Service Charges (Consultation Requirements) (England) Regulations 2003</w:t>
      </w:r>
    </w:p>
    <w:p w14:paraId="26680349" w14:textId="77777777" w:rsidR="0061270B" w:rsidRDefault="0061270B" w:rsidP="0061270B">
      <w:pPr>
        <w:pStyle w:val="ListParagraph"/>
        <w:ind w:left="993"/>
        <w:rPr>
          <w:rFonts w:ascii="Arial" w:hAnsi="Arial" w:cs="Arial"/>
          <w:sz w:val="24"/>
          <w:szCs w:val="24"/>
          <w:highlight w:val="yellow"/>
        </w:rPr>
      </w:pPr>
    </w:p>
    <w:p w14:paraId="7F52CDCC" w14:textId="77777777" w:rsidR="0061270B" w:rsidRPr="00784429" w:rsidRDefault="0061270B" w:rsidP="0061270B">
      <w:pPr>
        <w:pStyle w:val="ListParagraph"/>
        <w:numPr>
          <w:ilvl w:val="1"/>
          <w:numId w:val="1"/>
        </w:numPr>
        <w:spacing w:after="200" w:line="276" w:lineRule="auto"/>
        <w:rPr>
          <w:rFonts w:ascii="Arial" w:hAnsi="Arial" w:cs="Arial"/>
          <w:b/>
          <w:sz w:val="24"/>
          <w:szCs w:val="24"/>
        </w:rPr>
      </w:pPr>
      <w:r w:rsidRPr="00784429">
        <w:rPr>
          <w:rFonts w:ascii="Arial" w:hAnsi="Arial" w:cs="Arial"/>
          <w:b/>
          <w:sz w:val="24"/>
          <w:szCs w:val="24"/>
        </w:rPr>
        <w:t xml:space="preserve">Internal </w:t>
      </w:r>
    </w:p>
    <w:p w14:paraId="26AE19DA" w14:textId="77777777" w:rsidR="0061270B" w:rsidRDefault="0061270B" w:rsidP="0061270B">
      <w:pPr>
        <w:pStyle w:val="ListParagraph"/>
        <w:numPr>
          <w:ilvl w:val="2"/>
          <w:numId w:val="1"/>
        </w:numPr>
        <w:spacing w:after="200" w:line="276" w:lineRule="auto"/>
        <w:rPr>
          <w:rFonts w:ascii="Arial" w:hAnsi="Arial" w:cs="Arial"/>
          <w:sz w:val="24"/>
          <w:szCs w:val="24"/>
        </w:rPr>
      </w:pPr>
      <w:r w:rsidRPr="00784429">
        <w:rPr>
          <w:rFonts w:ascii="Arial" w:hAnsi="Arial" w:cs="Arial"/>
          <w:sz w:val="24"/>
          <w:szCs w:val="24"/>
        </w:rPr>
        <w:t>Leaseholder Handbook</w:t>
      </w:r>
    </w:p>
    <w:p w14:paraId="002274B9" w14:textId="77777777" w:rsidR="0061270B" w:rsidRDefault="00AA150F" w:rsidP="0061270B">
      <w:pPr>
        <w:pStyle w:val="Heading1"/>
        <w:numPr>
          <w:ilvl w:val="0"/>
          <w:numId w:val="1"/>
        </w:numPr>
      </w:pPr>
      <w:r>
        <w:lastRenderedPageBreak/>
        <w:t>Policy</w:t>
      </w:r>
    </w:p>
    <w:p w14:paraId="44E49D58" w14:textId="77777777" w:rsidR="0061270B" w:rsidRPr="00EB3E52" w:rsidRDefault="0061270B" w:rsidP="0061270B">
      <w:pPr>
        <w:pStyle w:val="ListParagraph"/>
        <w:numPr>
          <w:ilvl w:val="1"/>
          <w:numId w:val="1"/>
        </w:numPr>
        <w:rPr>
          <w:rFonts w:ascii="Arial" w:hAnsi="Arial" w:cs="Arial"/>
          <w:sz w:val="24"/>
          <w:szCs w:val="24"/>
        </w:rPr>
      </w:pPr>
      <w:r w:rsidRPr="00EB3E52">
        <w:rPr>
          <w:rFonts w:ascii="Arial" w:hAnsi="Arial" w:cs="Arial"/>
          <w:sz w:val="24"/>
          <w:szCs w:val="24"/>
        </w:rPr>
        <w:t>Medway Council Landlord Services will consult with leaseholders and any Recognised Tenants Association (RTA) on qualifying works and qualifying long term agreements when the set legislative criteria are met.</w:t>
      </w:r>
    </w:p>
    <w:p w14:paraId="11752565" w14:textId="77777777" w:rsidR="0061270B" w:rsidRPr="0061270B" w:rsidRDefault="0061270B" w:rsidP="0061270B">
      <w:pPr>
        <w:pStyle w:val="Heading2"/>
      </w:pPr>
      <w:r w:rsidRPr="0061270B">
        <w:t>Qualifying Works</w:t>
      </w:r>
    </w:p>
    <w:p w14:paraId="56284F2F" w14:textId="77777777" w:rsidR="0061270B" w:rsidRDefault="0061270B" w:rsidP="0061270B">
      <w:pPr>
        <w:pStyle w:val="ListParagraph"/>
        <w:ind w:left="567"/>
        <w:rPr>
          <w:rFonts w:ascii="Arial" w:hAnsi="Arial" w:cs="Arial"/>
          <w:sz w:val="24"/>
          <w:szCs w:val="24"/>
        </w:rPr>
      </w:pPr>
    </w:p>
    <w:p w14:paraId="6372A074" w14:textId="77777777" w:rsidR="0061270B" w:rsidRDefault="0061270B" w:rsidP="0061270B">
      <w:pPr>
        <w:pStyle w:val="ListParagraph"/>
        <w:numPr>
          <w:ilvl w:val="1"/>
          <w:numId w:val="1"/>
        </w:numPr>
        <w:spacing w:after="200" w:line="276" w:lineRule="auto"/>
        <w:ind w:left="567" w:hanging="567"/>
        <w:rPr>
          <w:rFonts w:ascii="Arial" w:hAnsi="Arial" w:cs="Arial"/>
          <w:sz w:val="24"/>
          <w:szCs w:val="24"/>
        </w:rPr>
      </w:pPr>
      <w:r w:rsidRPr="009F0DD1">
        <w:rPr>
          <w:rFonts w:ascii="Arial" w:hAnsi="Arial" w:cs="Arial"/>
          <w:sz w:val="24"/>
          <w:szCs w:val="24"/>
        </w:rPr>
        <w:t>Qualifying works are works to the building for repair or maintenance issues</w:t>
      </w:r>
      <w:r>
        <w:rPr>
          <w:rFonts w:ascii="Arial" w:hAnsi="Arial" w:cs="Arial"/>
          <w:sz w:val="24"/>
          <w:szCs w:val="24"/>
        </w:rPr>
        <w:t>.</w:t>
      </w:r>
    </w:p>
    <w:p w14:paraId="3F826EF0" w14:textId="77777777" w:rsidR="0061270B" w:rsidRDefault="0061270B" w:rsidP="0061270B">
      <w:pPr>
        <w:pStyle w:val="ListParagraph"/>
        <w:ind w:left="567"/>
        <w:rPr>
          <w:rFonts w:ascii="Arial" w:hAnsi="Arial" w:cs="Arial"/>
          <w:sz w:val="24"/>
          <w:szCs w:val="24"/>
        </w:rPr>
      </w:pPr>
    </w:p>
    <w:p w14:paraId="09E6BD24" w14:textId="77777777" w:rsidR="0061270B" w:rsidRDefault="0061270B" w:rsidP="0061270B">
      <w:pPr>
        <w:pStyle w:val="ListParagraph"/>
        <w:numPr>
          <w:ilvl w:val="1"/>
          <w:numId w:val="1"/>
        </w:numPr>
        <w:spacing w:after="200" w:line="276" w:lineRule="auto"/>
        <w:ind w:left="567" w:hanging="567"/>
        <w:rPr>
          <w:rFonts w:ascii="Arial" w:hAnsi="Arial" w:cs="Arial"/>
          <w:sz w:val="24"/>
          <w:szCs w:val="24"/>
        </w:rPr>
      </w:pPr>
      <w:r>
        <w:rPr>
          <w:rFonts w:ascii="Arial" w:hAnsi="Arial" w:cs="Arial"/>
          <w:sz w:val="24"/>
          <w:szCs w:val="24"/>
        </w:rPr>
        <w:t>I</w:t>
      </w:r>
      <w:r w:rsidRPr="009F0DD1">
        <w:rPr>
          <w:rFonts w:ascii="Arial" w:hAnsi="Arial" w:cs="Arial"/>
          <w:sz w:val="24"/>
          <w:szCs w:val="24"/>
        </w:rPr>
        <w:t>mprovement</w:t>
      </w:r>
      <w:r>
        <w:rPr>
          <w:rFonts w:ascii="Arial" w:hAnsi="Arial" w:cs="Arial"/>
          <w:sz w:val="24"/>
          <w:szCs w:val="24"/>
        </w:rPr>
        <w:t xml:space="preserve"> work is not a qualifying work</w:t>
      </w:r>
      <w:r w:rsidRPr="009F0DD1">
        <w:rPr>
          <w:rFonts w:ascii="Arial" w:hAnsi="Arial" w:cs="Arial"/>
          <w:sz w:val="24"/>
          <w:szCs w:val="24"/>
        </w:rPr>
        <w:t xml:space="preserve"> unless provision for the recovery of costs for these has been made in the</w:t>
      </w:r>
      <w:r>
        <w:rPr>
          <w:rFonts w:ascii="Arial" w:hAnsi="Arial" w:cs="Arial"/>
          <w:sz w:val="24"/>
          <w:szCs w:val="24"/>
        </w:rPr>
        <w:t xml:space="preserve"> </w:t>
      </w:r>
      <w:r w:rsidRPr="009F0DD1">
        <w:rPr>
          <w:rFonts w:ascii="Arial" w:hAnsi="Arial" w:cs="Arial"/>
          <w:sz w:val="24"/>
          <w:szCs w:val="24"/>
        </w:rPr>
        <w:t xml:space="preserve">lease. </w:t>
      </w:r>
    </w:p>
    <w:p w14:paraId="73F2BA48" w14:textId="77777777" w:rsidR="0061270B" w:rsidRPr="00F44C94" w:rsidRDefault="0061270B" w:rsidP="0061270B">
      <w:pPr>
        <w:pStyle w:val="ListParagraph"/>
        <w:rPr>
          <w:rFonts w:ascii="Arial" w:hAnsi="Arial" w:cs="Arial"/>
          <w:sz w:val="24"/>
          <w:szCs w:val="24"/>
        </w:rPr>
      </w:pPr>
    </w:p>
    <w:p w14:paraId="41E162CD" w14:textId="77777777" w:rsidR="0061270B" w:rsidRDefault="0061270B" w:rsidP="0061270B">
      <w:pPr>
        <w:pStyle w:val="ListParagraph"/>
        <w:numPr>
          <w:ilvl w:val="1"/>
          <w:numId w:val="1"/>
        </w:numPr>
        <w:spacing w:after="200" w:line="276" w:lineRule="auto"/>
        <w:ind w:left="567" w:hanging="567"/>
        <w:rPr>
          <w:rFonts w:ascii="Arial" w:hAnsi="Arial" w:cs="Arial"/>
          <w:sz w:val="24"/>
          <w:szCs w:val="24"/>
        </w:rPr>
      </w:pPr>
      <w:r>
        <w:rPr>
          <w:rFonts w:ascii="Arial" w:hAnsi="Arial" w:cs="Arial"/>
          <w:sz w:val="24"/>
          <w:szCs w:val="24"/>
        </w:rPr>
        <w:t>As an example</w:t>
      </w:r>
      <w:r w:rsidRPr="009F0DD1">
        <w:rPr>
          <w:rFonts w:ascii="Arial" w:hAnsi="Arial" w:cs="Arial"/>
          <w:sz w:val="24"/>
          <w:szCs w:val="24"/>
        </w:rPr>
        <w:t>, the provision of a new pitched-roof to a building that previously had</w:t>
      </w:r>
      <w:r>
        <w:rPr>
          <w:rFonts w:ascii="Arial" w:hAnsi="Arial" w:cs="Arial"/>
          <w:sz w:val="24"/>
          <w:szCs w:val="24"/>
        </w:rPr>
        <w:t xml:space="preserve"> </w:t>
      </w:r>
      <w:r w:rsidRPr="009F0DD1">
        <w:rPr>
          <w:rFonts w:ascii="Arial" w:hAnsi="Arial" w:cs="Arial"/>
          <w:sz w:val="24"/>
          <w:szCs w:val="24"/>
        </w:rPr>
        <w:t>a worn-out flat roof would count as a repair as the work would be replacing an existing</w:t>
      </w:r>
      <w:r>
        <w:rPr>
          <w:rFonts w:ascii="Arial" w:hAnsi="Arial" w:cs="Arial"/>
          <w:sz w:val="24"/>
          <w:szCs w:val="24"/>
        </w:rPr>
        <w:t xml:space="preserve"> </w:t>
      </w:r>
      <w:r w:rsidRPr="009F0DD1">
        <w:rPr>
          <w:rFonts w:ascii="Arial" w:hAnsi="Arial" w:cs="Arial"/>
          <w:sz w:val="24"/>
          <w:szCs w:val="24"/>
        </w:rPr>
        <w:t>item with a new one using the latest materials and building techniques</w:t>
      </w:r>
      <w:r>
        <w:rPr>
          <w:rFonts w:ascii="Arial" w:hAnsi="Arial" w:cs="Arial"/>
          <w:sz w:val="24"/>
          <w:szCs w:val="24"/>
        </w:rPr>
        <w:t>.</w:t>
      </w:r>
    </w:p>
    <w:p w14:paraId="7E983C0B" w14:textId="77777777" w:rsidR="0061270B" w:rsidRDefault="0061270B" w:rsidP="0061270B">
      <w:pPr>
        <w:pStyle w:val="ListParagraph"/>
        <w:ind w:left="567"/>
        <w:rPr>
          <w:rFonts w:ascii="Arial" w:hAnsi="Arial" w:cs="Arial"/>
          <w:sz w:val="24"/>
          <w:szCs w:val="24"/>
        </w:rPr>
      </w:pPr>
    </w:p>
    <w:p w14:paraId="31446F94" w14:textId="77777777" w:rsidR="0061270B" w:rsidRDefault="0061270B" w:rsidP="0061270B">
      <w:pPr>
        <w:pStyle w:val="ListParagraph"/>
        <w:numPr>
          <w:ilvl w:val="1"/>
          <w:numId w:val="1"/>
        </w:numPr>
        <w:spacing w:after="200" w:line="276" w:lineRule="auto"/>
        <w:ind w:left="567" w:hanging="567"/>
        <w:rPr>
          <w:rFonts w:ascii="Arial" w:hAnsi="Arial" w:cs="Arial"/>
          <w:sz w:val="24"/>
          <w:szCs w:val="24"/>
        </w:rPr>
      </w:pPr>
      <w:r>
        <w:rPr>
          <w:rFonts w:ascii="Arial" w:hAnsi="Arial" w:cs="Arial"/>
          <w:sz w:val="24"/>
          <w:szCs w:val="24"/>
        </w:rPr>
        <w:t>H</w:t>
      </w:r>
      <w:r w:rsidRPr="009F0DD1">
        <w:rPr>
          <w:rFonts w:ascii="Arial" w:hAnsi="Arial" w:cs="Arial"/>
          <w:sz w:val="24"/>
          <w:szCs w:val="24"/>
        </w:rPr>
        <w:t xml:space="preserve">owever, </w:t>
      </w:r>
      <w:r>
        <w:rPr>
          <w:rFonts w:ascii="Arial" w:hAnsi="Arial" w:cs="Arial"/>
          <w:sz w:val="24"/>
          <w:szCs w:val="24"/>
        </w:rPr>
        <w:t xml:space="preserve">if </w:t>
      </w:r>
      <w:r w:rsidRPr="009F0DD1">
        <w:rPr>
          <w:rFonts w:ascii="Arial" w:hAnsi="Arial" w:cs="Arial"/>
          <w:sz w:val="24"/>
          <w:szCs w:val="24"/>
        </w:rPr>
        <w:t>a</w:t>
      </w:r>
      <w:r>
        <w:rPr>
          <w:rFonts w:ascii="Arial" w:hAnsi="Arial" w:cs="Arial"/>
          <w:sz w:val="24"/>
          <w:szCs w:val="24"/>
        </w:rPr>
        <w:t xml:space="preserve"> </w:t>
      </w:r>
      <w:r w:rsidRPr="009F0DD1">
        <w:rPr>
          <w:rFonts w:ascii="Arial" w:hAnsi="Arial" w:cs="Arial"/>
          <w:sz w:val="24"/>
          <w:szCs w:val="24"/>
        </w:rPr>
        <w:t>door entry system were to be fitted to a building that did not previously have one, this</w:t>
      </w:r>
      <w:r>
        <w:rPr>
          <w:rFonts w:ascii="Arial" w:hAnsi="Arial" w:cs="Arial"/>
          <w:sz w:val="24"/>
          <w:szCs w:val="24"/>
        </w:rPr>
        <w:t xml:space="preserve"> </w:t>
      </w:r>
      <w:r w:rsidRPr="009F0DD1">
        <w:rPr>
          <w:rFonts w:ascii="Arial" w:hAnsi="Arial" w:cs="Arial"/>
          <w:sz w:val="24"/>
          <w:szCs w:val="24"/>
        </w:rPr>
        <w:t>would be counted as an improvement and therefore would not fall into the qualifying</w:t>
      </w:r>
      <w:r>
        <w:rPr>
          <w:rFonts w:ascii="Arial" w:hAnsi="Arial" w:cs="Arial"/>
          <w:sz w:val="24"/>
          <w:szCs w:val="24"/>
        </w:rPr>
        <w:t xml:space="preserve"> </w:t>
      </w:r>
      <w:r w:rsidRPr="009F0DD1">
        <w:rPr>
          <w:rFonts w:ascii="Arial" w:hAnsi="Arial" w:cs="Arial"/>
          <w:sz w:val="24"/>
          <w:szCs w:val="24"/>
        </w:rPr>
        <w:t>works category unless provision for the recovery of costs has been made in the lease.</w:t>
      </w:r>
    </w:p>
    <w:p w14:paraId="297944BA" w14:textId="77777777" w:rsidR="0061270B" w:rsidRPr="00F44C94" w:rsidRDefault="0061270B" w:rsidP="0061270B">
      <w:pPr>
        <w:pStyle w:val="ListParagraph"/>
        <w:ind w:left="567"/>
        <w:rPr>
          <w:rFonts w:ascii="Arial" w:hAnsi="Arial" w:cs="Arial"/>
          <w:sz w:val="24"/>
          <w:szCs w:val="24"/>
        </w:rPr>
      </w:pPr>
    </w:p>
    <w:p w14:paraId="2C4E63BF" w14:textId="77777777" w:rsidR="0061270B" w:rsidRDefault="0061270B" w:rsidP="0061270B">
      <w:pPr>
        <w:pStyle w:val="ListParagraph"/>
        <w:numPr>
          <w:ilvl w:val="1"/>
          <w:numId w:val="1"/>
        </w:numPr>
        <w:spacing w:after="200" w:line="276" w:lineRule="auto"/>
        <w:ind w:left="567" w:hanging="567"/>
        <w:rPr>
          <w:rFonts w:ascii="Arial" w:hAnsi="Arial" w:cs="Arial"/>
          <w:sz w:val="24"/>
          <w:szCs w:val="24"/>
        </w:rPr>
      </w:pPr>
      <w:r>
        <w:rPr>
          <w:rFonts w:ascii="Arial" w:hAnsi="Arial" w:cs="Arial"/>
          <w:sz w:val="24"/>
          <w:szCs w:val="24"/>
        </w:rPr>
        <w:t>Leaseholders/RTAs will be fully consulted on any proposed qualifying works to be undertaken to their homes, block or estate, for which the work will cost any one leaseholder over £250.</w:t>
      </w:r>
    </w:p>
    <w:p w14:paraId="56555780" w14:textId="77777777" w:rsidR="0061270B" w:rsidRPr="00651DF9" w:rsidRDefault="0061270B" w:rsidP="0061270B">
      <w:pPr>
        <w:autoSpaceDE w:val="0"/>
        <w:autoSpaceDN w:val="0"/>
        <w:adjustRightInd w:val="0"/>
        <w:spacing w:after="0" w:line="240" w:lineRule="auto"/>
        <w:rPr>
          <w:rFonts w:ascii="Arial" w:hAnsi="Arial" w:cs="Arial"/>
          <w:sz w:val="12"/>
          <w:szCs w:val="24"/>
        </w:rPr>
      </w:pPr>
    </w:p>
    <w:p w14:paraId="230A9D6C" w14:textId="77777777" w:rsidR="0061270B" w:rsidRPr="0040441D" w:rsidRDefault="0061270B" w:rsidP="0061270B">
      <w:pPr>
        <w:pStyle w:val="Heading2"/>
      </w:pPr>
      <w:r w:rsidRPr="0040441D">
        <w:t>Qualifying Long-term Agreements</w:t>
      </w:r>
    </w:p>
    <w:p w14:paraId="6945FC7E" w14:textId="77777777" w:rsidR="0061270B" w:rsidRDefault="0061270B" w:rsidP="0061270B">
      <w:pPr>
        <w:pStyle w:val="ListParagraph"/>
        <w:autoSpaceDE w:val="0"/>
        <w:autoSpaceDN w:val="0"/>
        <w:adjustRightInd w:val="0"/>
        <w:spacing w:after="0" w:line="240" w:lineRule="auto"/>
        <w:ind w:left="540"/>
        <w:rPr>
          <w:rFonts w:ascii="Arial" w:hAnsi="Arial" w:cs="Arial"/>
          <w:sz w:val="24"/>
          <w:szCs w:val="24"/>
        </w:rPr>
      </w:pPr>
    </w:p>
    <w:p w14:paraId="3CF459D2" w14:textId="77777777" w:rsidR="0061270B" w:rsidRDefault="0061270B" w:rsidP="0061270B">
      <w:pPr>
        <w:pStyle w:val="ListParagraph"/>
        <w:numPr>
          <w:ilvl w:val="1"/>
          <w:numId w:val="1"/>
        </w:numPr>
        <w:spacing w:after="200" w:line="276" w:lineRule="auto"/>
        <w:ind w:left="567" w:hanging="567"/>
        <w:rPr>
          <w:rFonts w:ascii="Arial" w:hAnsi="Arial" w:cs="Arial"/>
          <w:sz w:val="24"/>
          <w:szCs w:val="24"/>
        </w:rPr>
      </w:pPr>
      <w:r w:rsidRPr="00A6378D">
        <w:rPr>
          <w:rFonts w:ascii="Arial" w:hAnsi="Arial" w:cs="Arial"/>
          <w:sz w:val="24"/>
          <w:szCs w:val="24"/>
        </w:rPr>
        <w:t xml:space="preserve">Qualifying </w:t>
      </w:r>
      <w:r>
        <w:rPr>
          <w:rFonts w:ascii="Arial" w:hAnsi="Arial" w:cs="Arial"/>
          <w:sz w:val="24"/>
          <w:szCs w:val="24"/>
        </w:rPr>
        <w:t>Long-term A</w:t>
      </w:r>
      <w:r w:rsidRPr="00A6378D">
        <w:rPr>
          <w:rFonts w:ascii="Arial" w:hAnsi="Arial" w:cs="Arial"/>
          <w:sz w:val="24"/>
          <w:szCs w:val="24"/>
        </w:rPr>
        <w:t>greements are contracts entered into with a service provider for the provision of goods and services that will affect the leaseholder’s property for a period of more than 12 months.</w:t>
      </w:r>
    </w:p>
    <w:p w14:paraId="0526A449" w14:textId="77777777" w:rsidR="0061270B" w:rsidRDefault="0061270B" w:rsidP="0061270B">
      <w:pPr>
        <w:pStyle w:val="ListParagraph"/>
        <w:ind w:left="567"/>
        <w:rPr>
          <w:rFonts w:ascii="Arial" w:hAnsi="Arial" w:cs="Arial"/>
          <w:sz w:val="24"/>
          <w:szCs w:val="24"/>
        </w:rPr>
      </w:pPr>
    </w:p>
    <w:p w14:paraId="36793393" w14:textId="77777777" w:rsidR="0061270B" w:rsidRDefault="0061270B" w:rsidP="0061270B">
      <w:pPr>
        <w:pStyle w:val="ListParagraph"/>
        <w:numPr>
          <w:ilvl w:val="1"/>
          <w:numId w:val="1"/>
        </w:numPr>
        <w:spacing w:after="200" w:line="276" w:lineRule="auto"/>
        <w:ind w:left="567" w:hanging="567"/>
        <w:rPr>
          <w:rFonts w:ascii="Arial" w:hAnsi="Arial" w:cs="Arial"/>
          <w:sz w:val="24"/>
          <w:szCs w:val="24"/>
        </w:rPr>
      </w:pPr>
      <w:r w:rsidRPr="0040441D">
        <w:rPr>
          <w:rFonts w:ascii="Arial" w:hAnsi="Arial" w:cs="Arial"/>
          <w:sz w:val="24"/>
          <w:szCs w:val="24"/>
        </w:rPr>
        <w:t>The value of the contract dictates whether or not it is subject to a public notice. The values of contracts that require public notice is laid out in the EU Public Procurement Rules and can be found in Medway Council’s Procurement Policy and toolkit.</w:t>
      </w:r>
    </w:p>
    <w:p w14:paraId="62BC6AF0" w14:textId="77777777" w:rsidR="0061270B" w:rsidRPr="003C7D4F" w:rsidRDefault="0061270B" w:rsidP="0061270B">
      <w:pPr>
        <w:pStyle w:val="ListParagraph"/>
        <w:rPr>
          <w:rFonts w:ascii="Arial" w:hAnsi="Arial" w:cs="Arial"/>
          <w:sz w:val="24"/>
          <w:szCs w:val="24"/>
        </w:rPr>
      </w:pPr>
    </w:p>
    <w:p w14:paraId="715F5F89" w14:textId="77777777" w:rsidR="0061270B" w:rsidRPr="008C1DDC" w:rsidRDefault="0061270B" w:rsidP="0061270B">
      <w:pPr>
        <w:pStyle w:val="ListParagraph"/>
        <w:numPr>
          <w:ilvl w:val="1"/>
          <w:numId w:val="1"/>
        </w:numPr>
        <w:spacing w:after="200" w:line="276" w:lineRule="auto"/>
        <w:ind w:left="567" w:hanging="567"/>
        <w:rPr>
          <w:rFonts w:ascii="Arial" w:hAnsi="Arial" w:cs="Arial"/>
          <w:sz w:val="24"/>
          <w:szCs w:val="24"/>
        </w:rPr>
      </w:pPr>
      <w:r w:rsidRPr="008C1DDC">
        <w:rPr>
          <w:rFonts w:ascii="Arial" w:hAnsi="Arial" w:cs="Arial"/>
          <w:sz w:val="24"/>
          <w:szCs w:val="24"/>
        </w:rPr>
        <w:t xml:space="preserve">A public notice allows firms and contractors from other EU (European Union) countries to tender for work or long-term agreements. This is set out in the EU procurement rules (‘procurement’ means arranging and paying for work or services). These rules cover all large contracts offered by public and government organisations. </w:t>
      </w:r>
    </w:p>
    <w:p w14:paraId="72E10F9D" w14:textId="77777777" w:rsidR="0061270B" w:rsidRPr="008C1DDC" w:rsidRDefault="0061270B" w:rsidP="0061270B">
      <w:pPr>
        <w:pStyle w:val="ListParagraph"/>
        <w:rPr>
          <w:rFonts w:ascii="Arial" w:hAnsi="Arial" w:cs="Arial"/>
          <w:sz w:val="24"/>
          <w:szCs w:val="24"/>
        </w:rPr>
      </w:pPr>
    </w:p>
    <w:p w14:paraId="3F20FC30" w14:textId="77777777" w:rsidR="0061270B" w:rsidRPr="00974BE1" w:rsidRDefault="0061270B" w:rsidP="0061270B">
      <w:pPr>
        <w:pStyle w:val="ListParagraph"/>
        <w:numPr>
          <w:ilvl w:val="1"/>
          <w:numId w:val="1"/>
        </w:numPr>
        <w:spacing w:after="200" w:line="276" w:lineRule="auto"/>
        <w:ind w:left="567" w:hanging="567"/>
        <w:rPr>
          <w:rFonts w:ascii="Arial" w:hAnsi="Arial" w:cs="Arial"/>
          <w:sz w:val="24"/>
          <w:szCs w:val="24"/>
        </w:rPr>
      </w:pPr>
      <w:r w:rsidRPr="00974BE1">
        <w:rPr>
          <w:rFonts w:ascii="Arial" w:hAnsi="Arial" w:cs="Arial"/>
          <w:sz w:val="24"/>
          <w:szCs w:val="24"/>
        </w:rPr>
        <w:lastRenderedPageBreak/>
        <w:t>The directives set out detailed procedures for the award of contracts whose value equals or exceeds specific thresholds. Details of the thresholds, applying from 1st January 2018 are given below. Thresholds are net of VAT. Annual change</w:t>
      </w:r>
      <w:r>
        <w:rPr>
          <w:rFonts w:ascii="Arial" w:hAnsi="Arial" w:cs="Arial"/>
          <w:sz w:val="24"/>
          <w:szCs w:val="24"/>
        </w:rPr>
        <w:t>.</w:t>
      </w:r>
    </w:p>
    <w:p w14:paraId="6F77848B" w14:textId="77777777" w:rsidR="0061270B" w:rsidRPr="008C1DDC" w:rsidRDefault="0061270B" w:rsidP="0061270B">
      <w:pPr>
        <w:pStyle w:val="ListParagraph"/>
        <w:rPr>
          <w:rFonts w:ascii="Arial" w:hAnsi="Arial" w:cs="Arial"/>
          <w:sz w:val="24"/>
          <w:szCs w:val="24"/>
        </w:rPr>
      </w:pPr>
    </w:p>
    <w:p w14:paraId="5724B0CC" w14:textId="77777777" w:rsidR="0061270B" w:rsidRPr="008C1DDC" w:rsidRDefault="0061270B" w:rsidP="0061270B">
      <w:pPr>
        <w:pStyle w:val="ListParagraph"/>
        <w:numPr>
          <w:ilvl w:val="1"/>
          <w:numId w:val="1"/>
        </w:numPr>
        <w:spacing w:after="200" w:line="276" w:lineRule="auto"/>
        <w:ind w:left="567" w:hanging="567"/>
        <w:rPr>
          <w:rFonts w:ascii="Arial" w:hAnsi="Arial" w:cs="Arial"/>
          <w:sz w:val="24"/>
          <w:szCs w:val="24"/>
        </w:rPr>
      </w:pPr>
      <w:r w:rsidRPr="008C1DDC">
        <w:rPr>
          <w:rFonts w:ascii="Arial" w:hAnsi="Arial" w:cs="Arial"/>
          <w:sz w:val="24"/>
          <w:szCs w:val="24"/>
        </w:rPr>
        <w:t xml:space="preserve">As a member of the European Union, we have to give a public notice </w:t>
      </w:r>
      <w:r>
        <w:rPr>
          <w:rFonts w:ascii="Arial" w:hAnsi="Arial" w:cs="Arial"/>
          <w:sz w:val="24"/>
          <w:szCs w:val="24"/>
        </w:rPr>
        <w:t>for any work that is worth over £4,551,413, Supplies over £118,133 and Services</w:t>
      </w:r>
      <w:r w:rsidRPr="008C1DDC">
        <w:rPr>
          <w:rFonts w:ascii="Arial" w:hAnsi="Arial" w:cs="Arial"/>
          <w:sz w:val="24"/>
          <w:szCs w:val="24"/>
        </w:rPr>
        <w:t xml:space="preserve"> </w:t>
      </w:r>
      <w:r>
        <w:rPr>
          <w:rFonts w:ascii="Arial" w:hAnsi="Arial" w:cs="Arial"/>
          <w:sz w:val="24"/>
          <w:szCs w:val="24"/>
        </w:rPr>
        <w:t xml:space="preserve">over </w:t>
      </w:r>
      <w:r w:rsidRPr="008C1DDC">
        <w:rPr>
          <w:rFonts w:ascii="Arial" w:hAnsi="Arial" w:cs="Arial"/>
          <w:sz w:val="24"/>
          <w:szCs w:val="24"/>
        </w:rPr>
        <w:t>£615,278.</w:t>
      </w:r>
    </w:p>
    <w:p w14:paraId="359F55F5" w14:textId="77777777" w:rsidR="0061270B" w:rsidRPr="008C1DDC" w:rsidRDefault="0061270B" w:rsidP="0061270B">
      <w:pPr>
        <w:pStyle w:val="ListParagraph"/>
        <w:autoSpaceDE w:val="0"/>
        <w:autoSpaceDN w:val="0"/>
        <w:adjustRightInd w:val="0"/>
        <w:spacing w:after="0" w:line="240" w:lineRule="auto"/>
        <w:ind w:left="540"/>
        <w:rPr>
          <w:rFonts w:ascii="Arial" w:hAnsi="Arial" w:cs="Arial"/>
          <w:sz w:val="24"/>
          <w:szCs w:val="24"/>
        </w:rPr>
      </w:pPr>
    </w:p>
    <w:p w14:paraId="3CB1554C" w14:textId="77777777" w:rsidR="0061270B" w:rsidRPr="008C1DDC" w:rsidRDefault="0061270B" w:rsidP="0061270B">
      <w:pPr>
        <w:pStyle w:val="ListParagraph"/>
        <w:numPr>
          <w:ilvl w:val="1"/>
          <w:numId w:val="1"/>
        </w:numPr>
        <w:spacing w:after="200" w:line="276" w:lineRule="auto"/>
        <w:ind w:left="567" w:hanging="567"/>
        <w:rPr>
          <w:rFonts w:ascii="Arial" w:hAnsi="Arial" w:cs="Arial"/>
          <w:sz w:val="24"/>
          <w:szCs w:val="24"/>
        </w:rPr>
      </w:pPr>
      <w:r w:rsidRPr="008C1DDC">
        <w:rPr>
          <w:rFonts w:ascii="Arial" w:hAnsi="Arial" w:cs="Arial"/>
          <w:sz w:val="24"/>
          <w:szCs w:val="24"/>
        </w:rPr>
        <w:t>Leaseholders/ RTAs will be fully consulted on any proposed Qualifying Long-term Agreement where the contract for services will cost any one leaseholder more than £100 per annum.</w:t>
      </w:r>
    </w:p>
    <w:p w14:paraId="7A220E69" w14:textId="77777777" w:rsidR="0061270B" w:rsidRPr="008C1DDC" w:rsidRDefault="0061270B" w:rsidP="0061270B">
      <w:pPr>
        <w:pStyle w:val="ListParagraph"/>
        <w:rPr>
          <w:rFonts w:ascii="Arial" w:hAnsi="Arial" w:cs="Arial"/>
          <w:sz w:val="24"/>
          <w:szCs w:val="24"/>
        </w:rPr>
      </w:pPr>
    </w:p>
    <w:p w14:paraId="078FCF21" w14:textId="77777777" w:rsidR="0061270B" w:rsidRPr="008C1DDC" w:rsidRDefault="0061270B" w:rsidP="0061270B">
      <w:pPr>
        <w:pStyle w:val="ListParagraph"/>
        <w:numPr>
          <w:ilvl w:val="1"/>
          <w:numId w:val="1"/>
        </w:numPr>
        <w:spacing w:after="200" w:line="276" w:lineRule="auto"/>
        <w:ind w:left="567" w:hanging="567"/>
        <w:rPr>
          <w:rFonts w:ascii="Arial" w:hAnsi="Arial" w:cs="Arial"/>
          <w:sz w:val="24"/>
          <w:szCs w:val="24"/>
        </w:rPr>
      </w:pPr>
      <w:r w:rsidRPr="00B34D00">
        <w:rPr>
          <w:rFonts w:ascii="Arial" w:hAnsi="Arial" w:cs="Arial"/>
          <w:sz w:val="24"/>
          <w:szCs w:val="24"/>
        </w:rPr>
        <w:t xml:space="preserve">In the rare instance that the original contractor is unable to fulfil the contract, the council will issue notice to explain why an alternative contractor is being considered and provide the leaseholder with estimated costs. </w:t>
      </w:r>
    </w:p>
    <w:p w14:paraId="3309D791" w14:textId="77777777" w:rsidR="0061270B" w:rsidRPr="008C1DDC" w:rsidRDefault="0061270B" w:rsidP="0061270B">
      <w:pPr>
        <w:pStyle w:val="ListParagraph"/>
        <w:ind w:left="567"/>
        <w:rPr>
          <w:rFonts w:ascii="Arial" w:hAnsi="Arial" w:cs="Arial"/>
          <w:b/>
          <w:sz w:val="24"/>
          <w:szCs w:val="24"/>
        </w:rPr>
      </w:pPr>
    </w:p>
    <w:p w14:paraId="1B9FA075" w14:textId="77777777" w:rsidR="0061270B" w:rsidRPr="008C1DDC" w:rsidRDefault="0061270B" w:rsidP="0061270B">
      <w:pPr>
        <w:pStyle w:val="Heading2"/>
      </w:pPr>
      <w:r w:rsidRPr="008C1DDC">
        <w:t>Contracts exempt from consultation</w:t>
      </w:r>
    </w:p>
    <w:p w14:paraId="55DB669E" w14:textId="77777777" w:rsidR="0061270B" w:rsidRPr="008C1DDC" w:rsidRDefault="0061270B" w:rsidP="0061270B">
      <w:pPr>
        <w:pStyle w:val="ListParagraph"/>
        <w:rPr>
          <w:rFonts w:ascii="Arial" w:hAnsi="Arial" w:cs="Arial"/>
          <w:b/>
          <w:sz w:val="20"/>
          <w:szCs w:val="24"/>
        </w:rPr>
      </w:pPr>
    </w:p>
    <w:p w14:paraId="5CFCAB7D" w14:textId="77777777" w:rsidR="0061270B" w:rsidRPr="008C1DDC" w:rsidRDefault="0061270B" w:rsidP="00EB3E52">
      <w:pPr>
        <w:pStyle w:val="ListParagraph"/>
        <w:numPr>
          <w:ilvl w:val="1"/>
          <w:numId w:val="1"/>
        </w:numPr>
        <w:spacing w:after="200" w:line="276" w:lineRule="auto"/>
        <w:ind w:left="567" w:hanging="567"/>
        <w:rPr>
          <w:rFonts w:ascii="Arial" w:hAnsi="Arial" w:cs="Arial"/>
          <w:sz w:val="24"/>
          <w:szCs w:val="24"/>
        </w:rPr>
      </w:pPr>
      <w:r w:rsidRPr="008C1DDC">
        <w:rPr>
          <w:rFonts w:ascii="Arial" w:hAnsi="Arial" w:cs="Arial"/>
          <w:sz w:val="24"/>
          <w:szCs w:val="24"/>
        </w:rPr>
        <w:t>The following contracts are exempt from consultation even though costs against them may be recovered through service charges.</w:t>
      </w:r>
      <w:r w:rsidR="00EB3E52" w:rsidRPr="008C1DDC">
        <w:rPr>
          <w:rFonts w:ascii="Arial" w:hAnsi="Arial" w:cs="Arial"/>
          <w:sz w:val="24"/>
          <w:szCs w:val="24"/>
        </w:rPr>
        <w:t xml:space="preserve"> </w:t>
      </w:r>
      <w:r w:rsidRPr="008C1DDC">
        <w:rPr>
          <w:rFonts w:ascii="Arial" w:hAnsi="Arial" w:cs="Arial"/>
          <w:sz w:val="24"/>
          <w:szCs w:val="24"/>
        </w:rPr>
        <w:t xml:space="preserve">A contract between a local authority and an Arms Length Management Organisation </w:t>
      </w:r>
    </w:p>
    <w:p w14:paraId="644BD06C" w14:textId="77777777" w:rsidR="0061270B" w:rsidRPr="008C1DDC" w:rsidRDefault="0061270B" w:rsidP="0061270B">
      <w:pPr>
        <w:pStyle w:val="ListParagraph"/>
        <w:numPr>
          <w:ilvl w:val="2"/>
          <w:numId w:val="7"/>
        </w:numPr>
        <w:spacing w:after="200" w:line="276" w:lineRule="auto"/>
        <w:rPr>
          <w:rFonts w:ascii="Arial" w:hAnsi="Arial" w:cs="Arial"/>
          <w:sz w:val="24"/>
          <w:szCs w:val="24"/>
        </w:rPr>
      </w:pPr>
      <w:r w:rsidRPr="008C1DDC">
        <w:rPr>
          <w:rFonts w:ascii="Arial" w:hAnsi="Arial" w:cs="Arial"/>
          <w:sz w:val="24"/>
          <w:szCs w:val="24"/>
        </w:rPr>
        <w:t>A contract between a local authority and a tenant management organisation</w:t>
      </w:r>
    </w:p>
    <w:p w14:paraId="4B879C4C" w14:textId="77777777" w:rsidR="0061270B" w:rsidRPr="008C1DDC" w:rsidRDefault="0061270B" w:rsidP="0061270B">
      <w:pPr>
        <w:pStyle w:val="ListParagraph"/>
        <w:numPr>
          <w:ilvl w:val="2"/>
          <w:numId w:val="7"/>
        </w:numPr>
        <w:spacing w:after="200" w:line="276" w:lineRule="auto"/>
        <w:rPr>
          <w:rFonts w:ascii="Arial" w:hAnsi="Arial" w:cs="Arial"/>
          <w:sz w:val="24"/>
          <w:szCs w:val="24"/>
        </w:rPr>
      </w:pPr>
      <w:r w:rsidRPr="008C1DDC">
        <w:rPr>
          <w:rFonts w:ascii="Arial" w:hAnsi="Arial" w:cs="Arial"/>
          <w:sz w:val="24"/>
          <w:szCs w:val="24"/>
        </w:rPr>
        <w:t>A contract between a local authority and a holding company and or its’ subsidiaries</w:t>
      </w:r>
    </w:p>
    <w:p w14:paraId="2C83DA04" w14:textId="77777777" w:rsidR="0061270B" w:rsidRPr="008C1DDC" w:rsidRDefault="0061270B" w:rsidP="0061270B">
      <w:pPr>
        <w:pStyle w:val="ListParagraph"/>
        <w:numPr>
          <w:ilvl w:val="2"/>
          <w:numId w:val="7"/>
        </w:numPr>
        <w:spacing w:after="200" w:line="276" w:lineRule="auto"/>
        <w:rPr>
          <w:rFonts w:ascii="Arial" w:hAnsi="Arial" w:cs="Arial"/>
          <w:sz w:val="24"/>
          <w:szCs w:val="24"/>
        </w:rPr>
      </w:pPr>
      <w:r w:rsidRPr="008C1DDC">
        <w:rPr>
          <w:rFonts w:ascii="Arial" w:hAnsi="Arial" w:cs="Arial"/>
          <w:sz w:val="24"/>
          <w:szCs w:val="24"/>
        </w:rPr>
        <w:t>A contract of employment</w:t>
      </w:r>
    </w:p>
    <w:p w14:paraId="594F8D17" w14:textId="77777777" w:rsidR="0061270B" w:rsidRPr="008C1DDC" w:rsidRDefault="0061270B" w:rsidP="0061270B">
      <w:pPr>
        <w:pStyle w:val="ListParagraph"/>
        <w:numPr>
          <w:ilvl w:val="2"/>
          <w:numId w:val="7"/>
        </w:numPr>
        <w:spacing w:after="200" w:line="276" w:lineRule="auto"/>
        <w:rPr>
          <w:rFonts w:ascii="Arial" w:hAnsi="Arial" w:cs="Arial"/>
          <w:sz w:val="24"/>
          <w:szCs w:val="24"/>
        </w:rPr>
      </w:pPr>
      <w:r w:rsidRPr="008C1DDC">
        <w:rPr>
          <w:rFonts w:ascii="Arial" w:hAnsi="Arial" w:cs="Arial"/>
          <w:sz w:val="24"/>
          <w:szCs w:val="24"/>
        </w:rPr>
        <w:t xml:space="preserve">A contract of 5 years or less in length entered into during a period when a property was not tenanted by a leaseholder. </w:t>
      </w:r>
    </w:p>
    <w:p w14:paraId="5BE489B0" w14:textId="77777777" w:rsidR="0061270B" w:rsidRPr="008C1DDC" w:rsidRDefault="0061270B" w:rsidP="0061270B">
      <w:pPr>
        <w:pStyle w:val="ListParagraph"/>
        <w:tabs>
          <w:tab w:val="left" w:pos="1080"/>
        </w:tabs>
        <w:ind w:left="900"/>
        <w:rPr>
          <w:rFonts w:ascii="Arial" w:hAnsi="Arial" w:cs="Arial"/>
          <w:sz w:val="18"/>
          <w:szCs w:val="24"/>
        </w:rPr>
      </w:pPr>
    </w:p>
    <w:p w14:paraId="69831913" w14:textId="77777777" w:rsidR="0061270B" w:rsidRPr="008C1DDC" w:rsidRDefault="0061270B" w:rsidP="0061270B">
      <w:pPr>
        <w:pStyle w:val="ListParagraph"/>
        <w:numPr>
          <w:ilvl w:val="1"/>
          <w:numId w:val="1"/>
        </w:numPr>
        <w:spacing w:after="200" w:line="276" w:lineRule="auto"/>
        <w:ind w:left="567" w:hanging="567"/>
        <w:rPr>
          <w:rFonts w:ascii="Arial" w:hAnsi="Arial" w:cs="Arial"/>
          <w:sz w:val="24"/>
          <w:szCs w:val="24"/>
        </w:rPr>
      </w:pPr>
      <w:r w:rsidRPr="008C1DDC">
        <w:rPr>
          <w:rFonts w:ascii="Arial" w:hAnsi="Arial" w:cs="Arial"/>
          <w:sz w:val="24"/>
          <w:szCs w:val="24"/>
        </w:rPr>
        <w:t>Some of the above do not currently affect leaseholders of Landlord Services, however, mention of them has been made in case there is a change in the future.</w:t>
      </w:r>
    </w:p>
    <w:p w14:paraId="6565DC92" w14:textId="77777777" w:rsidR="0061270B" w:rsidRPr="008C1DDC" w:rsidRDefault="0061270B" w:rsidP="0061270B">
      <w:pPr>
        <w:autoSpaceDE w:val="0"/>
        <w:autoSpaceDN w:val="0"/>
        <w:adjustRightInd w:val="0"/>
        <w:spacing w:after="0" w:line="240" w:lineRule="auto"/>
        <w:ind w:left="567" w:hanging="567"/>
        <w:rPr>
          <w:rFonts w:ascii="Arial" w:hAnsi="Arial" w:cs="Arial"/>
          <w:sz w:val="18"/>
          <w:szCs w:val="24"/>
        </w:rPr>
      </w:pPr>
    </w:p>
    <w:p w14:paraId="0FCBB1BF" w14:textId="77777777" w:rsidR="0061270B" w:rsidRPr="008C1DDC" w:rsidRDefault="0061270B" w:rsidP="0061270B">
      <w:pPr>
        <w:pStyle w:val="Heading2"/>
      </w:pPr>
      <w:r w:rsidRPr="008C1DDC">
        <w:t>Stages of consultation</w:t>
      </w:r>
    </w:p>
    <w:p w14:paraId="146EA4A9" w14:textId="77777777" w:rsidR="0061270B" w:rsidRPr="008C1DDC" w:rsidRDefault="0061270B" w:rsidP="0061270B">
      <w:pPr>
        <w:pStyle w:val="ListParagraph"/>
        <w:autoSpaceDE w:val="0"/>
        <w:autoSpaceDN w:val="0"/>
        <w:adjustRightInd w:val="0"/>
        <w:spacing w:after="0" w:line="240" w:lineRule="auto"/>
        <w:ind w:left="0"/>
        <w:rPr>
          <w:rFonts w:ascii="Arial" w:hAnsi="Arial" w:cs="Arial"/>
          <w:b/>
          <w:sz w:val="20"/>
          <w:szCs w:val="24"/>
        </w:rPr>
      </w:pPr>
    </w:p>
    <w:p w14:paraId="73AFAAAD" w14:textId="77777777" w:rsidR="0061270B" w:rsidRPr="008C1DDC" w:rsidRDefault="0061270B" w:rsidP="0061270B">
      <w:pPr>
        <w:pStyle w:val="ListParagraph"/>
        <w:numPr>
          <w:ilvl w:val="1"/>
          <w:numId w:val="1"/>
        </w:numPr>
        <w:spacing w:after="200" w:line="276" w:lineRule="auto"/>
        <w:ind w:left="567" w:hanging="567"/>
        <w:rPr>
          <w:rFonts w:ascii="Arial" w:hAnsi="Arial" w:cs="Arial"/>
          <w:sz w:val="24"/>
          <w:szCs w:val="24"/>
        </w:rPr>
      </w:pPr>
      <w:r w:rsidRPr="008C1DDC">
        <w:rPr>
          <w:rFonts w:ascii="Arial" w:hAnsi="Arial" w:cs="Arial"/>
          <w:sz w:val="24"/>
          <w:szCs w:val="24"/>
        </w:rPr>
        <w:t>There are three main stages Medway Council Landlord Services must adhere to when completing Section 20 consultation. Although in some instances a shorter consultation period maybe held,</w:t>
      </w:r>
      <w:r>
        <w:rPr>
          <w:rFonts w:ascii="Arial" w:hAnsi="Arial" w:cs="Arial"/>
          <w:sz w:val="24"/>
          <w:szCs w:val="24"/>
        </w:rPr>
        <w:t xml:space="preserve"> for example</w:t>
      </w:r>
      <w:r w:rsidRPr="008C1DDC">
        <w:rPr>
          <w:rFonts w:ascii="Arial" w:hAnsi="Arial" w:cs="Arial"/>
          <w:sz w:val="24"/>
          <w:szCs w:val="24"/>
        </w:rPr>
        <w:t xml:space="preserve"> in instances </w:t>
      </w:r>
      <w:r>
        <w:rPr>
          <w:rFonts w:ascii="Arial" w:hAnsi="Arial" w:cs="Arial"/>
          <w:sz w:val="24"/>
          <w:szCs w:val="24"/>
        </w:rPr>
        <w:t xml:space="preserve">where </w:t>
      </w:r>
      <w:r w:rsidRPr="008C1DDC">
        <w:rPr>
          <w:rFonts w:ascii="Arial" w:hAnsi="Arial" w:cs="Arial"/>
          <w:sz w:val="24"/>
          <w:szCs w:val="24"/>
        </w:rPr>
        <w:t>a contractor is considered who has previously been through a Section 20 consultation.</w:t>
      </w:r>
    </w:p>
    <w:p w14:paraId="3533B366" w14:textId="77777777" w:rsidR="0061270B" w:rsidRPr="008C1DDC" w:rsidRDefault="0061270B" w:rsidP="0061270B">
      <w:pPr>
        <w:autoSpaceDE w:val="0"/>
        <w:autoSpaceDN w:val="0"/>
        <w:adjustRightInd w:val="0"/>
        <w:spacing w:after="0" w:line="240" w:lineRule="auto"/>
        <w:rPr>
          <w:rFonts w:ascii="Arial" w:hAnsi="Arial" w:cs="Arial"/>
          <w:sz w:val="14"/>
          <w:szCs w:val="24"/>
          <w:u w:val="single"/>
        </w:rPr>
      </w:pPr>
    </w:p>
    <w:p w14:paraId="1B760FF9" w14:textId="77777777" w:rsidR="0061270B" w:rsidRPr="008C1DDC" w:rsidRDefault="0061270B" w:rsidP="0061270B">
      <w:pPr>
        <w:pStyle w:val="Heading3"/>
      </w:pPr>
      <w:r w:rsidRPr="008C1DDC">
        <w:lastRenderedPageBreak/>
        <w:t xml:space="preserve">Stage 1 – Notice of Intention </w:t>
      </w:r>
    </w:p>
    <w:p w14:paraId="1B4F749D" w14:textId="77777777" w:rsidR="0061270B" w:rsidRPr="008C1DDC" w:rsidRDefault="0061270B" w:rsidP="0061270B">
      <w:pPr>
        <w:pStyle w:val="ListParagraph"/>
        <w:ind w:left="993"/>
        <w:rPr>
          <w:rFonts w:ascii="Arial" w:hAnsi="Arial" w:cs="Arial"/>
          <w:sz w:val="20"/>
          <w:szCs w:val="24"/>
          <w:u w:val="single"/>
        </w:rPr>
      </w:pPr>
    </w:p>
    <w:p w14:paraId="52396481" w14:textId="77777777" w:rsidR="0061270B" w:rsidRPr="008C1DDC" w:rsidRDefault="0061270B" w:rsidP="0061270B">
      <w:pPr>
        <w:pStyle w:val="ListParagraph"/>
        <w:numPr>
          <w:ilvl w:val="2"/>
          <w:numId w:val="1"/>
        </w:numPr>
        <w:spacing w:after="200" w:line="276" w:lineRule="auto"/>
        <w:ind w:left="993" w:hanging="851"/>
        <w:rPr>
          <w:rFonts w:ascii="Arial" w:hAnsi="Arial" w:cs="Arial"/>
          <w:sz w:val="24"/>
          <w:szCs w:val="24"/>
        </w:rPr>
      </w:pPr>
      <w:r w:rsidRPr="008C1DDC">
        <w:rPr>
          <w:rFonts w:ascii="Arial" w:hAnsi="Arial" w:cs="Arial"/>
          <w:sz w:val="24"/>
          <w:szCs w:val="24"/>
        </w:rPr>
        <w:t>The Council will send a Notice of Intention to Carry out Works to affected leaseholders/ RTAs.  This notice will detail the following:</w:t>
      </w:r>
    </w:p>
    <w:p w14:paraId="7ED18EE9" w14:textId="77777777" w:rsidR="0061270B" w:rsidRPr="008C1DDC" w:rsidRDefault="0061270B" w:rsidP="0061270B">
      <w:pPr>
        <w:pStyle w:val="ListParagraph"/>
        <w:numPr>
          <w:ilvl w:val="3"/>
          <w:numId w:val="5"/>
        </w:numPr>
        <w:spacing w:after="200" w:line="276" w:lineRule="auto"/>
        <w:rPr>
          <w:rFonts w:ascii="Arial" w:hAnsi="Arial" w:cs="Arial"/>
          <w:sz w:val="24"/>
          <w:szCs w:val="24"/>
        </w:rPr>
      </w:pPr>
      <w:r w:rsidRPr="008C1DDC">
        <w:rPr>
          <w:rFonts w:ascii="Arial" w:hAnsi="Arial" w:cs="Arial"/>
          <w:sz w:val="24"/>
          <w:szCs w:val="24"/>
        </w:rPr>
        <w:t>the general terms the works or services to be provided;</w:t>
      </w:r>
    </w:p>
    <w:p w14:paraId="48648FFB" w14:textId="77777777" w:rsidR="0061270B" w:rsidRPr="008C1DDC" w:rsidRDefault="0061270B" w:rsidP="0061270B">
      <w:pPr>
        <w:pStyle w:val="ListParagraph"/>
        <w:numPr>
          <w:ilvl w:val="3"/>
          <w:numId w:val="5"/>
        </w:numPr>
        <w:spacing w:after="200" w:line="276" w:lineRule="auto"/>
        <w:rPr>
          <w:rFonts w:ascii="Arial" w:hAnsi="Arial" w:cs="Arial"/>
          <w:sz w:val="24"/>
          <w:szCs w:val="24"/>
        </w:rPr>
      </w:pPr>
      <w:r w:rsidRPr="008C1DDC">
        <w:rPr>
          <w:rFonts w:ascii="Arial" w:hAnsi="Arial" w:cs="Arial"/>
          <w:sz w:val="24"/>
          <w:szCs w:val="24"/>
        </w:rPr>
        <w:t>the reasons for considering such an agreement to be necessary;</w:t>
      </w:r>
    </w:p>
    <w:p w14:paraId="54F47C74" w14:textId="77777777" w:rsidR="0061270B" w:rsidRPr="008C1DDC" w:rsidRDefault="0061270B" w:rsidP="0061270B">
      <w:pPr>
        <w:pStyle w:val="ListParagraph"/>
        <w:numPr>
          <w:ilvl w:val="3"/>
          <w:numId w:val="5"/>
        </w:numPr>
        <w:spacing w:after="200" w:line="276" w:lineRule="auto"/>
        <w:rPr>
          <w:rFonts w:ascii="Arial" w:hAnsi="Arial" w:cs="Arial"/>
          <w:sz w:val="24"/>
          <w:szCs w:val="24"/>
        </w:rPr>
      </w:pPr>
      <w:r w:rsidRPr="008C1DDC">
        <w:rPr>
          <w:rFonts w:ascii="Arial" w:hAnsi="Arial" w:cs="Arial"/>
          <w:sz w:val="24"/>
          <w:szCs w:val="24"/>
        </w:rPr>
        <w:t>if the contract includes qualifying works, the reasons for considering it necessary to carry out those works;</w:t>
      </w:r>
    </w:p>
    <w:p w14:paraId="42575A0A" w14:textId="77777777" w:rsidR="0061270B" w:rsidRPr="008C1DDC" w:rsidRDefault="0061270B" w:rsidP="0061270B">
      <w:pPr>
        <w:pStyle w:val="ListParagraph"/>
        <w:numPr>
          <w:ilvl w:val="3"/>
          <w:numId w:val="5"/>
        </w:numPr>
        <w:spacing w:after="200" w:line="276" w:lineRule="auto"/>
        <w:rPr>
          <w:rFonts w:ascii="Arial" w:hAnsi="Arial" w:cs="Arial"/>
          <w:sz w:val="24"/>
          <w:szCs w:val="24"/>
        </w:rPr>
      </w:pPr>
      <w:r w:rsidRPr="008C1DDC">
        <w:rPr>
          <w:rFonts w:ascii="Arial" w:hAnsi="Arial" w:cs="Arial"/>
          <w:sz w:val="24"/>
          <w:szCs w:val="24"/>
        </w:rPr>
        <w:t>Medway Councils selection criteria.</w:t>
      </w:r>
    </w:p>
    <w:p w14:paraId="2C25FAB0" w14:textId="77777777" w:rsidR="0061270B" w:rsidRPr="008C1DDC" w:rsidRDefault="0061270B" w:rsidP="0061270B">
      <w:pPr>
        <w:pStyle w:val="ListParagraph"/>
        <w:ind w:left="993"/>
        <w:rPr>
          <w:rFonts w:ascii="Arial" w:hAnsi="Arial" w:cs="Arial"/>
          <w:sz w:val="16"/>
          <w:szCs w:val="24"/>
        </w:rPr>
      </w:pPr>
    </w:p>
    <w:p w14:paraId="480F0F99" w14:textId="77777777" w:rsidR="0061270B" w:rsidRPr="008C1DDC" w:rsidRDefault="0061270B" w:rsidP="0061270B">
      <w:pPr>
        <w:pStyle w:val="ListParagraph"/>
        <w:numPr>
          <w:ilvl w:val="2"/>
          <w:numId w:val="1"/>
        </w:numPr>
        <w:spacing w:after="200" w:line="276" w:lineRule="auto"/>
        <w:ind w:left="993" w:hanging="851"/>
        <w:rPr>
          <w:rFonts w:ascii="Arial" w:hAnsi="Arial" w:cs="Arial"/>
          <w:sz w:val="24"/>
          <w:szCs w:val="24"/>
        </w:rPr>
      </w:pPr>
      <w:r w:rsidRPr="008C1DDC">
        <w:rPr>
          <w:rFonts w:ascii="Arial" w:hAnsi="Arial" w:cs="Arial"/>
          <w:sz w:val="24"/>
          <w:szCs w:val="24"/>
        </w:rPr>
        <w:t>Leaseholders/ RTAs will be given 30 days to make written observations about the works. The notice will specify the address to which those observations should be sent.</w:t>
      </w:r>
    </w:p>
    <w:p w14:paraId="04D63C60" w14:textId="77777777" w:rsidR="0061270B" w:rsidRPr="008C1DDC" w:rsidRDefault="0061270B" w:rsidP="0061270B">
      <w:pPr>
        <w:pStyle w:val="ListParagraph"/>
        <w:ind w:left="993"/>
        <w:rPr>
          <w:rFonts w:ascii="Arial" w:hAnsi="Arial" w:cs="Arial"/>
          <w:sz w:val="24"/>
          <w:szCs w:val="24"/>
        </w:rPr>
      </w:pPr>
    </w:p>
    <w:p w14:paraId="29D6CF8C" w14:textId="77777777" w:rsidR="0061270B" w:rsidRPr="008C1DDC" w:rsidRDefault="0061270B" w:rsidP="0061270B">
      <w:pPr>
        <w:pStyle w:val="ListParagraph"/>
        <w:numPr>
          <w:ilvl w:val="2"/>
          <w:numId w:val="1"/>
        </w:numPr>
        <w:spacing w:after="200" w:line="276" w:lineRule="auto"/>
        <w:ind w:left="993" w:hanging="851"/>
        <w:rPr>
          <w:rFonts w:ascii="Arial" w:hAnsi="Arial" w:cs="Arial"/>
          <w:sz w:val="24"/>
          <w:szCs w:val="24"/>
        </w:rPr>
      </w:pPr>
      <w:r w:rsidRPr="008C1DDC">
        <w:rPr>
          <w:rFonts w:ascii="Arial" w:hAnsi="Arial" w:cs="Arial"/>
          <w:sz w:val="24"/>
          <w:szCs w:val="24"/>
        </w:rPr>
        <w:t xml:space="preserve">The Home Ownership Officer can be contacted by telephone or email </w:t>
      </w:r>
      <w:r>
        <w:rPr>
          <w:rFonts w:ascii="Arial" w:hAnsi="Arial" w:cs="Arial"/>
          <w:sz w:val="24"/>
          <w:szCs w:val="24"/>
        </w:rPr>
        <w:t xml:space="preserve">to advise about the Section 20 procedure </w:t>
      </w:r>
      <w:r w:rsidRPr="008C1DDC">
        <w:rPr>
          <w:rFonts w:ascii="Arial" w:hAnsi="Arial" w:cs="Arial"/>
          <w:sz w:val="24"/>
          <w:szCs w:val="24"/>
        </w:rPr>
        <w:t>(Leaseholders will still be required to make any observations in writing, as per the prescribed timescales).</w:t>
      </w:r>
    </w:p>
    <w:p w14:paraId="30E4E8D4" w14:textId="77777777" w:rsidR="0061270B" w:rsidRPr="008C1DDC" w:rsidRDefault="0061270B" w:rsidP="0061270B">
      <w:pPr>
        <w:pStyle w:val="ListParagraph"/>
        <w:tabs>
          <w:tab w:val="left" w:pos="3067"/>
        </w:tabs>
        <w:ind w:left="993"/>
        <w:rPr>
          <w:rFonts w:ascii="Arial" w:hAnsi="Arial" w:cs="Arial"/>
          <w:sz w:val="16"/>
          <w:szCs w:val="24"/>
        </w:rPr>
      </w:pPr>
      <w:r w:rsidRPr="008C1DDC">
        <w:rPr>
          <w:rFonts w:ascii="Arial" w:hAnsi="Arial" w:cs="Arial"/>
          <w:sz w:val="16"/>
          <w:szCs w:val="24"/>
        </w:rPr>
        <w:tab/>
      </w:r>
    </w:p>
    <w:p w14:paraId="58C4E4FB" w14:textId="77777777" w:rsidR="0061270B" w:rsidRPr="008C1DDC" w:rsidRDefault="0061270B" w:rsidP="0061270B">
      <w:pPr>
        <w:pStyle w:val="ListParagraph"/>
        <w:numPr>
          <w:ilvl w:val="2"/>
          <w:numId w:val="1"/>
        </w:numPr>
        <w:spacing w:after="200" w:line="276" w:lineRule="auto"/>
        <w:ind w:left="993" w:hanging="851"/>
        <w:rPr>
          <w:rFonts w:ascii="Arial" w:hAnsi="Arial" w:cs="Arial"/>
          <w:sz w:val="24"/>
          <w:szCs w:val="24"/>
        </w:rPr>
      </w:pPr>
      <w:r w:rsidRPr="008C1DDC">
        <w:rPr>
          <w:rFonts w:ascii="Arial" w:hAnsi="Arial" w:cs="Arial"/>
          <w:sz w:val="24"/>
          <w:szCs w:val="24"/>
        </w:rPr>
        <w:t>Where applicable leaseholders/ RTAs will be given opportunity to nominate a contractor of their own choosing.  Any contractor nominated by a resident must meet all the conditions Medway Council have set for our contractors.  The nomination must be made in writing and within 30 days of the notice of intention being served.</w:t>
      </w:r>
    </w:p>
    <w:p w14:paraId="14915477" w14:textId="77777777" w:rsidR="0061270B" w:rsidRPr="008C1DDC" w:rsidRDefault="0061270B" w:rsidP="0061270B">
      <w:pPr>
        <w:pStyle w:val="ListParagraph"/>
        <w:ind w:left="993"/>
        <w:rPr>
          <w:rFonts w:ascii="Arial" w:hAnsi="Arial" w:cs="Arial"/>
          <w:sz w:val="16"/>
          <w:szCs w:val="24"/>
        </w:rPr>
      </w:pPr>
    </w:p>
    <w:p w14:paraId="2662268F" w14:textId="77777777" w:rsidR="0061270B" w:rsidRPr="008C1DDC" w:rsidRDefault="0061270B" w:rsidP="0061270B">
      <w:pPr>
        <w:pStyle w:val="ListParagraph"/>
        <w:numPr>
          <w:ilvl w:val="2"/>
          <w:numId w:val="1"/>
        </w:numPr>
        <w:spacing w:after="200" w:line="276" w:lineRule="auto"/>
        <w:ind w:left="993" w:hanging="851"/>
        <w:rPr>
          <w:rFonts w:ascii="Arial" w:hAnsi="Arial" w:cs="Arial"/>
          <w:sz w:val="24"/>
          <w:szCs w:val="24"/>
        </w:rPr>
      </w:pPr>
      <w:r w:rsidRPr="008C1DDC">
        <w:rPr>
          <w:rFonts w:ascii="Arial" w:hAnsi="Arial" w:cs="Arial"/>
          <w:sz w:val="24"/>
          <w:szCs w:val="24"/>
        </w:rPr>
        <w:t xml:space="preserve">Where a public notice is required leaseholders/RTAs will not be able to nominate a contractor. </w:t>
      </w:r>
    </w:p>
    <w:p w14:paraId="1E6E00D0" w14:textId="77777777" w:rsidR="0061270B" w:rsidRPr="008C1DDC" w:rsidRDefault="0061270B" w:rsidP="0061270B">
      <w:pPr>
        <w:pStyle w:val="ListParagraph"/>
        <w:rPr>
          <w:rFonts w:ascii="Arial" w:hAnsi="Arial" w:cs="Arial"/>
          <w:sz w:val="24"/>
          <w:szCs w:val="24"/>
        </w:rPr>
      </w:pPr>
    </w:p>
    <w:p w14:paraId="7D21DC43" w14:textId="77777777" w:rsidR="0061270B" w:rsidRPr="008C1DDC" w:rsidRDefault="0061270B" w:rsidP="0061270B">
      <w:pPr>
        <w:pStyle w:val="ListParagraph"/>
        <w:numPr>
          <w:ilvl w:val="2"/>
          <w:numId w:val="1"/>
        </w:numPr>
        <w:spacing w:after="200" w:line="276" w:lineRule="auto"/>
        <w:ind w:left="993" w:hanging="851"/>
        <w:rPr>
          <w:rFonts w:ascii="Arial" w:hAnsi="Arial" w:cs="Arial"/>
          <w:sz w:val="24"/>
          <w:szCs w:val="24"/>
        </w:rPr>
      </w:pPr>
      <w:r w:rsidRPr="008C1DDC">
        <w:rPr>
          <w:rFonts w:ascii="Arial" w:hAnsi="Arial" w:cs="Arial"/>
          <w:sz w:val="24"/>
          <w:szCs w:val="24"/>
        </w:rPr>
        <w:t>Landlord Services will consider observations received and will inform leaseholders or RTA’s of the decision in writing within 21 days.</w:t>
      </w:r>
    </w:p>
    <w:p w14:paraId="170BF918" w14:textId="77777777" w:rsidR="0061270B" w:rsidRPr="008C1DDC" w:rsidRDefault="0061270B" w:rsidP="0061270B">
      <w:pPr>
        <w:autoSpaceDE w:val="0"/>
        <w:autoSpaceDN w:val="0"/>
        <w:adjustRightInd w:val="0"/>
        <w:spacing w:after="0" w:line="240" w:lineRule="auto"/>
        <w:rPr>
          <w:rFonts w:ascii="Arial" w:hAnsi="Arial" w:cs="Arial"/>
          <w:sz w:val="2"/>
          <w:szCs w:val="24"/>
        </w:rPr>
      </w:pPr>
    </w:p>
    <w:p w14:paraId="415FBFD9" w14:textId="77777777" w:rsidR="0061270B" w:rsidRPr="008C1DDC" w:rsidRDefault="0061270B" w:rsidP="0061270B">
      <w:pPr>
        <w:pStyle w:val="Heading3"/>
      </w:pPr>
      <w:r w:rsidRPr="008C1DDC">
        <w:t>Stage 2 – Statement of Estimates</w:t>
      </w:r>
    </w:p>
    <w:p w14:paraId="114FAF2B" w14:textId="77777777" w:rsidR="0061270B" w:rsidRPr="008C1DDC" w:rsidRDefault="0061270B" w:rsidP="0061270B">
      <w:pPr>
        <w:pStyle w:val="ListParagraph"/>
        <w:ind w:left="567"/>
        <w:rPr>
          <w:rFonts w:ascii="Arial" w:hAnsi="Arial" w:cs="Arial"/>
          <w:sz w:val="24"/>
          <w:szCs w:val="24"/>
          <w:u w:val="single"/>
        </w:rPr>
      </w:pPr>
    </w:p>
    <w:p w14:paraId="38FFB51A" w14:textId="77777777" w:rsidR="0061270B" w:rsidRPr="00931839" w:rsidRDefault="0061270B" w:rsidP="00931839">
      <w:pPr>
        <w:pStyle w:val="ListParagraph"/>
        <w:numPr>
          <w:ilvl w:val="2"/>
          <w:numId w:val="8"/>
        </w:numPr>
        <w:spacing w:after="200" w:line="276" w:lineRule="auto"/>
        <w:rPr>
          <w:rFonts w:ascii="Arial" w:hAnsi="Arial" w:cs="Arial"/>
          <w:sz w:val="24"/>
          <w:szCs w:val="24"/>
        </w:rPr>
      </w:pPr>
      <w:r w:rsidRPr="00931839">
        <w:rPr>
          <w:rFonts w:ascii="Arial" w:hAnsi="Arial" w:cs="Arial"/>
          <w:sz w:val="24"/>
          <w:szCs w:val="24"/>
        </w:rPr>
        <w:t>At the expiration of the Stage 1 30 day consultation period, the Council will seek to obtain at least two estimates.  If nominations were made by a leaseholder/RTA within the consultation period, then at least one estimate will be obtained from a nominated contractor in accordance with government regulations.</w:t>
      </w:r>
    </w:p>
    <w:p w14:paraId="44D36DED" w14:textId="77777777" w:rsidR="0061270B" w:rsidRPr="008C1DDC" w:rsidRDefault="0061270B" w:rsidP="0061270B">
      <w:pPr>
        <w:pStyle w:val="ListParagraph"/>
        <w:ind w:left="993"/>
        <w:rPr>
          <w:rFonts w:ascii="Arial" w:hAnsi="Arial" w:cs="Arial"/>
          <w:sz w:val="24"/>
          <w:szCs w:val="24"/>
        </w:rPr>
      </w:pPr>
    </w:p>
    <w:p w14:paraId="7E2D01DF" w14:textId="77777777" w:rsidR="0061270B" w:rsidRDefault="0061270B" w:rsidP="00931839">
      <w:pPr>
        <w:pStyle w:val="ListParagraph"/>
        <w:numPr>
          <w:ilvl w:val="2"/>
          <w:numId w:val="8"/>
        </w:numPr>
        <w:spacing w:after="200" w:line="276" w:lineRule="auto"/>
        <w:ind w:left="993" w:hanging="851"/>
        <w:rPr>
          <w:rFonts w:ascii="Arial" w:hAnsi="Arial" w:cs="Arial"/>
          <w:sz w:val="24"/>
          <w:szCs w:val="24"/>
        </w:rPr>
      </w:pPr>
      <w:r w:rsidRPr="008C1DDC">
        <w:rPr>
          <w:rFonts w:ascii="Arial" w:hAnsi="Arial" w:cs="Arial"/>
          <w:sz w:val="24"/>
          <w:szCs w:val="24"/>
        </w:rPr>
        <w:t xml:space="preserve">The Council will send a </w:t>
      </w:r>
      <w:r>
        <w:rPr>
          <w:rFonts w:ascii="Arial" w:hAnsi="Arial" w:cs="Arial"/>
          <w:sz w:val="24"/>
          <w:szCs w:val="24"/>
        </w:rPr>
        <w:t>S</w:t>
      </w:r>
      <w:r w:rsidRPr="008C1DDC">
        <w:rPr>
          <w:rFonts w:ascii="Arial" w:hAnsi="Arial" w:cs="Arial"/>
          <w:sz w:val="24"/>
          <w:szCs w:val="24"/>
        </w:rPr>
        <w:t xml:space="preserve">tatement of </w:t>
      </w:r>
      <w:r>
        <w:rPr>
          <w:rFonts w:ascii="Arial" w:hAnsi="Arial" w:cs="Arial"/>
          <w:sz w:val="24"/>
          <w:szCs w:val="24"/>
        </w:rPr>
        <w:t>E</w:t>
      </w:r>
      <w:r w:rsidRPr="008C1DDC">
        <w:rPr>
          <w:rFonts w:ascii="Arial" w:hAnsi="Arial" w:cs="Arial"/>
          <w:sz w:val="24"/>
          <w:szCs w:val="24"/>
        </w:rPr>
        <w:t>stimates to affected leaseholders.  This notice will detail the estimates obtained, the leaseholders’ estimated contribution towards cost and summarises the written observations received during Stage 1.</w:t>
      </w:r>
    </w:p>
    <w:p w14:paraId="1FADD3FB" w14:textId="77777777" w:rsidR="0061270B" w:rsidRPr="00216208" w:rsidRDefault="0061270B" w:rsidP="0061270B">
      <w:pPr>
        <w:pStyle w:val="ListParagraph"/>
        <w:rPr>
          <w:rFonts w:ascii="Arial" w:hAnsi="Arial" w:cs="Arial"/>
          <w:sz w:val="24"/>
          <w:szCs w:val="24"/>
        </w:rPr>
      </w:pPr>
    </w:p>
    <w:p w14:paraId="6AAA0359" w14:textId="77777777" w:rsidR="0061270B" w:rsidRPr="008C1DDC" w:rsidRDefault="0061270B" w:rsidP="00931839">
      <w:pPr>
        <w:pStyle w:val="ListParagraph"/>
        <w:numPr>
          <w:ilvl w:val="2"/>
          <w:numId w:val="8"/>
        </w:numPr>
        <w:spacing w:after="200" w:line="276" w:lineRule="auto"/>
        <w:ind w:left="993" w:hanging="851"/>
        <w:rPr>
          <w:rFonts w:ascii="Arial" w:hAnsi="Arial" w:cs="Arial"/>
          <w:sz w:val="24"/>
          <w:szCs w:val="24"/>
        </w:rPr>
      </w:pPr>
      <w:r w:rsidRPr="008C1DDC">
        <w:rPr>
          <w:rFonts w:ascii="Arial" w:hAnsi="Arial" w:cs="Arial"/>
          <w:sz w:val="24"/>
          <w:szCs w:val="24"/>
        </w:rPr>
        <w:t xml:space="preserve">A Notice to </w:t>
      </w:r>
      <w:r>
        <w:rPr>
          <w:rFonts w:ascii="Arial" w:hAnsi="Arial" w:cs="Arial"/>
          <w:sz w:val="24"/>
          <w:szCs w:val="24"/>
        </w:rPr>
        <w:t>a</w:t>
      </w:r>
      <w:r w:rsidRPr="008C1DDC">
        <w:rPr>
          <w:rFonts w:ascii="Arial" w:hAnsi="Arial" w:cs="Arial"/>
          <w:sz w:val="24"/>
          <w:szCs w:val="24"/>
        </w:rPr>
        <w:t xml:space="preserve">ccompany the Statement of Estimates will also be served which sets out the hours and place where details of the estimates may be </w:t>
      </w:r>
      <w:r w:rsidRPr="008C1DDC">
        <w:rPr>
          <w:rFonts w:ascii="Arial" w:hAnsi="Arial" w:cs="Arial"/>
          <w:sz w:val="24"/>
          <w:szCs w:val="24"/>
        </w:rPr>
        <w:lastRenderedPageBreak/>
        <w:t>inspected, inviting lessees to make written observations on the estimates within 30 days</w:t>
      </w:r>
      <w:r>
        <w:rPr>
          <w:rFonts w:ascii="Arial" w:hAnsi="Arial" w:cs="Arial"/>
          <w:sz w:val="24"/>
          <w:szCs w:val="24"/>
        </w:rPr>
        <w:t xml:space="preserve"> and</w:t>
      </w:r>
      <w:r w:rsidRPr="008C1DDC">
        <w:rPr>
          <w:rFonts w:ascii="Arial" w:hAnsi="Arial" w:cs="Arial"/>
          <w:sz w:val="24"/>
          <w:szCs w:val="24"/>
        </w:rPr>
        <w:t xml:space="preserve"> specifying the address to which those observations should be sent.</w:t>
      </w:r>
    </w:p>
    <w:p w14:paraId="174F4BE5" w14:textId="77777777" w:rsidR="0061270B" w:rsidRPr="008C1DDC" w:rsidRDefault="0061270B" w:rsidP="0061270B">
      <w:pPr>
        <w:pStyle w:val="ListParagraph"/>
        <w:ind w:left="993"/>
        <w:rPr>
          <w:rFonts w:ascii="Arial" w:hAnsi="Arial" w:cs="Arial"/>
          <w:sz w:val="20"/>
          <w:szCs w:val="24"/>
        </w:rPr>
      </w:pPr>
    </w:p>
    <w:p w14:paraId="581F4C82" w14:textId="77777777" w:rsidR="0061270B" w:rsidRPr="008C1DDC" w:rsidRDefault="0061270B" w:rsidP="00931839">
      <w:pPr>
        <w:pStyle w:val="ListParagraph"/>
        <w:numPr>
          <w:ilvl w:val="2"/>
          <w:numId w:val="8"/>
        </w:numPr>
        <w:spacing w:after="200" w:line="276" w:lineRule="auto"/>
        <w:ind w:left="993" w:hanging="851"/>
        <w:rPr>
          <w:rFonts w:ascii="Arial" w:hAnsi="Arial" w:cs="Arial"/>
          <w:sz w:val="24"/>
          <w:szCs w:val="24"/>
        </w:rPr>
      </w:pPr>
      <w:r w:rsidRPr="008C1DDC">
        <w:rPr>
          <w:rFonts w:ascii="Arial" w:hAnsi="Arial" w:cs="Arial"/>
          <w:sz w:val="24"/>
          <w:szCs w:val="24"/>
        </w:rPr>
        <w:t>Landlord Services will consider observations received and will inform leaseholders or RTA’s of the decision in writing within 21 days</w:t>
      </w:r>
      <w:r>
        <w:rPr>
          <w:rFonts w:ascii="Arial" w:hAnsi="Arial" w:cs="Arial"/>
          <w:sz w:val="24"/>
          <w:szCs w:val="24"/>
        </w:rPr>
        <w:t xml:space="preserve"> of receipt</w:t>
      </w:r>
      <w:r w:rsidRPr="008C1DDC">
        <w:rPr>
          <w:rFonts w:ascii="Arial" w:hAnsi="Arial" w:cs="Arial"/>
          <w:sz w:val="24"/>
          <w:szCs w:val="24"/>
        </w:rPr>
        <w:t>.</w:t>
      </w:r>
    </w:p>
    <w:p w14:paraId="43C6F988" w14:textId="77777777" w:rsidR="0061270B" w:rsidRPr="007A2DDD" w:rsidRDefault="0061270B" w:rsidP="0061270B">
      <w:pPr>
        <w:pStyle w:val="ListParagraph"/>
        <w:rPr>
          <w:rFonts w:ascii="Arial" w:hAnsi="Arial" w:cs="Arial"/>
          <w:sz w:val="20"/>
          <w:szCs w:val="24"/>
        </w:rPr>
      </w:pPr>
    </w:p>
    <w:p w14:paraId="435FBC3C" w14:textId="77777777" w:rsidR="0061270B" w:rsidRPr="008C1DDC" w:rsidRDefault="0061270B" w:rsidP="00931839">
      <w:pPr>
        <w:pStyle w:val="Heading3"/>
      </w:pPr>
      <w:r w:rsidRPr="008C1DDC">
        <w:t>Stage 3 – Notice of Reasons</w:t>
      </w:r>
    </w:p>
    <w:p w14:paraId="4AC51DDE" w14:textId="77777777" w:rsidR="0061270B" w:rsidRPr="007A2DDD" w:rsidRDefault="0061270B" w:rsidP="0061270B">
      <w:pPr>
        <w:pStyle w:val="ListParagraph"/>
        <w:ind w:left="567"/>
        <w:rPr>
          <w:rFonts w:ascii="Arial" w:hAnsi="Arial" w:cs="Arial"/>
          <w:sz w:val="20"/>
          <w:szCs w:val="24"/>
          <w:u w:val="single"/>
        </w:rPr>
      </w:pPr>
    </w:p>
    <w:p w14:paraId="07179FD9" w14:textId="77777777" w:rsidR="0061270B" w:rsidRPr="00931839" w:rsidRDefault="0061270B" w:rsidP="00931839">
      <w:pPr>
        <w:pStyle w:val="ListParagraph"/>
        <w:numPr>
          <w:ilvl w:val="2"/>
          <w:numId w:val="9"/>
        </w:numPr>
        <w:spacing w:after="200" w:line="276" w:lineRule="auto"/>
        <w:rPr>
          <w:rFonts w:ascii="Arial" w:hAnsi="Arial" w:cs="Arial"/>
          <w:sz w:val="24"/>
          <w:szCs w:val="24"/>
        </w:rPr>
      </w:pPr>
      <w:r w:rsidRPr="00931839">
        <w:rPr>
          <w:rFonts w:ascii="Arial" w:hAnsi="Arial" w:cs="Arial"/>
          <w:sz w:val="24"/>
          <w:szCs w:val="24"/>
        </w:rPr>
        <w:t>If at the expiration of the consultation period, the chosen contractor did not provide the lowest estimate, then within 21 days of entering the contract a “Notice of Reasons” will be served upon all lessees explaining the reasons for this decision.</w:t>
      </w:r>
    </w:p>
    <w:p w14:paraId="305C0546" w14:textId="77777777" w:rsidR="0061270B" w:rsidRPr="008C1DDC" w:rsidRDefault="0061270B" w:rsidP="0061270B">
      <w:pPr>
        <w:pStyle w:val="ListParagraph"/>
        <w:ind w:left="993"/>
        <w:rPr>
          <w:rFonts w:ascii="Arial" w:hAnsi="Arial" w:cs="Arial"/>
          <w:sz w:val="20"/>
          <w:szCs w:val="24"/>
        </w:rPr>
      </w:pPr>
    </w:p>
    <w:p w14:paraId="5543262B" w14:textId="77777777" w:rsidR="0061270B" w:rsidRPr="008C1DDC" w:rsidRDefault="0061270B" w:rsidP="00931839">
      <w:pPr>
        <w:pStyle w:val="ListParagraph"/>
        <w:numPr>
          <w:ilvl w:val="2"/>
          <w:numId w:val="9"/>
        </w:numPr>
        <w:spacing w:after="200" w:line="276" w:lineRule="auto"/>
        <w:ind w:left="993" w:hanging="851"/>
        <w:rPr>
          <w:rFonts w:ascii="Arial" w:hAnsi="Arial" w:cs="Arial"/>
          <w:sz w:val="24"/>
          <w:szCs w:val="24"/>
        </w:rPr>
      </w:pPr>
      <w:r w:rsidRPr="008C1DDC">
        <w:rPr>
          <w:rFonts w:ascii="Arial" w:hAnsi="Arial" w:cs="Arial"/>
          <w:sz w:val="24"/>
          <w:szCs w:val="24"/>
        </w:rPr>
        <w:t>Landlord Services does not have to give a “Notice of Reasons” or respond to observations if the contract is awarded to a contractor suggested by a leaseholder/RTA or the contract went to the lowest priced tender.</w:t>
      </w:r>
    </w:p>
    <w:p w14:paraId="0C1C345D" w14:textId="77777777" w:rsidR="0061270B" w:rsidRPr="007A2DDD" w:rsidRDefault="0061270B" w:rsidP="0061270B">
      <w:pPr>
        <w:pStyle w:val="ListParagraph"/>
        <w:rPr>
          <w:rFonts w:ascii="Arial" w:hAnsi="Arial" w:cs="Arial"/>
          <w:sz w:val="20"/>
          <w:szCs w:val="24"/>
        </w:rPr>
      </w:pPr>
    </w:p>
    <w:p w14:paraId="3111871D" w14:textId="77777777" w:rsidR="0061270B" w:rsidRPr="008C1DDC" w:rsidRDefault="0061270B" w:rsidP="00931839">
      <w:pPr>
        <w:pStyle w:val="Heading2"/>
      </w:pPr>
      <w:r w:rsidRPr="008C1DDC">
        <w:t>Award of contract</w:t>
      </w:r>
    </w:p>
    <w:p w14:paraId="08792746" w14:textId="77777777" w:rsidR="0061270B" w:rsidRPr="008C1DDC" w:rsidRDefault="0061270B" w:rsidP="0061270B">
      <w:pPr>
        <w:pStyle w:val="ListParagraph"/>
        <w:ind w:left="993"/>
        <w:rPr>
          <w:rFonts w:ascii="Arial" w:hAnsi="Arial" w:cs="Arial"/>
          <w:sz w:val="20"/>
          <w:szCs w:val="24"/>
        </w:rPr>
      </w:pPr>
    </w:p>
    <w:p w14:paraId="2AE463B3" w14:textId="77777777" w:rsidR="0061270B" w:rsidRPr="008C1DDC" w:rsidRDefault="0061270B" w:rsidP="00931839">
      <w:pPr>
        <w:pStyle w:val="ListParagraph"/>
        <w:numPr>
          <w:ilvl w:val="1"/>
          <w:numId w:val="9"/>
        </w:numPr>
        <w:spacing w:after="200" w:line="276" w:lineRule="auto"/>
        <w:ind w:left="567" w:hanging="567"/>
        <w:rPr>
          <w:rFonts w:ascii="Arial" w:hAnsi="Arial" w:cs="Arial"/>
          <w:sz w:val="24"/>
          <w:szCs w:val="24"/>
        </w:rPr>
      </w:pPr>
      <w:r w:rsidRPr="008C1DDC">
        <w:rPr>
          <w:rFonts w:ascii="Arial" w:hAnsi="Arial" w:cs="Arial"/>
          <w:sz w:val="24"/>
          <w:szCs w:val="24"/>
        </w:rPr>
        <w:t xml:space="preserve">Landlord Services will inform leaseholders/ RTAs of the name of the contractor, estimated contract start date and contract length. </w:t>
      </w:r>
    </w:p>
    <w:p w14:paraId="16D19782" w14:textId="77777777" w:rsidR="0061270B" w:rsidRPr="008C1DDC" w:rsidRDefault="0061270B" w:rsidP="0061270B">
      <w:pPr>
        <w:pStyle w:val="ListParagraph"/>
        <w:ind w:left="993"/>
        <w:rPr>
          <w:rFonts w:ascii="Arial" w:hAnsi="Arial" w:cs="Arial"/>
          <w:sz w:val="20"/>
          <w:szCs w:val="24"/>
        </w:rPr>
      </w:pPr>
    </w:p>
    <w:p w14:paraId="01AE02AA" w14:textId="77777777" w:rsidR="0061270B" w:rsidRPr="008C1DDC" w:rsidRDefault="0061270B" w:rsidP="00931839">
      <w:pPr>
        <w:pStyle w:val="ListParagraph"/>
        <w:numPr>
          <w:ilvl w:val="1"/>
          <w:numId w:val="9"/>
        </w:numPr>
        <w:spacing w:after="200" w:line="276" w:lineRule="auto"/>
        <w:ind w:left="567" w:hanging="567"/>
        <w:rPr>
          <w:rFonts w:ascii="Arial" w:hAnsi="Arial" w:cs="Arial"/>
          <w:sz w:val="24"/>
          <w:szCs w:val="24"/>
        </w:rPr>
      </w:pPr>
      <w:r w:rsidRPr="008C1DDC">
        <w:rPr>
          <w:rFonts w:ascii="Arial" w:hAnsi="Arial" w:cs="Arial"/>
          <w:sz w:val="24"/>
          <w:szCs w:val="24"/>
        </w:rPr>
        <w:t>Landlord Services will aim to ensure that major works are completed within the published timescales and will advise leaseholders/RTAs of the reasons for any delay in completing the work.</w:t>
      </w:r>
    </w:p>
    <w:p w14:paraId="0BA8DC39" w14:textId="77777777" w:rsidR="0061270B" w:rsidRPr="007A2DDD" w:rsidRDefault="0061270B" w:rsidP="0061270B">
      <w:pPr>
        <w:pStyle w:val="ListParagraph"/>
        <w:rPr>
          <w:rFonts w:ascii="Arial" w:hAnsi="Arial" w:cs="Arial"/>
          <w:sz w:val="20"/>
          <w:szCs w:val="24"/>
        </w:rPr>
      </w:pPr>
    </w:p>
    <w:p w14:paraId="68152D7B" w14:textId="77777777" w:rsidR="0061270B" w:rsidRPr="008C1DDC" w:rsidRDefault="0061270B" w:rsidP="00931839">
      <w:pPr>
        <w:pStyle w:val="Heading2"/>
      </w:pPr>
      <w:r w:rsidRPr="008C1DDC">
        <w:t>Failure to consult</w:t>
      </w:r>
    </w:p>
    <w:p w14:paraId="0F7EB00D" w14:textId="77777777" w:rsidR="0061270B" w:rsidRPr="008C1DDC" w:rsidRDefault="0061270B" w:rsidP="0061270B">
      <w:pPr>
        <w:pStyle w:val="ListParagraph"/>
        <w:ind w:left="567"/>
        <w:rPr>
          <w:rFonts w:ascii="Arial" w:hAnsi="Arial" w:cs="Arial"/>
          <w:b/>
          <w:sz w:val="20"/>
          <w:szCs w:val="24"/>
        </w:rPr>
      </w:pPr>
    </w:p>
    <w:p w14:paraId="0A34AE41" w14:textId="77777777" w:rsidR="0061270B" w:rsidRPr="008C1DDC" w:rsidRDefault="0061270B" w:rsidP="00931839">
      <w:pPr>
        <w:pStyle w:val="ListParagraph"/>
        <w:numPr>
          <w:ilvl w:val="1"/>
          <w:numId w:val="9"/>
        </w:numPr>
        <w:spacing w:after="200" w:line="276" w:lineRule="auto"/>
        <w:ind w:left="567" w:hanging="567"/>
        <w:rPr>
          <w:rFonts w:ascii="Arial" w:hAnsi="Arial" w:cs="Arial"/>
          <w:sz w:val="24"/>
          <w:szCs w:val="24"/>
        </w:rPr>
      </w:pPr>
      <w:r w:rsidRPr="008C1DDC">
        <w:rPr>
          <w:rFonts w:ascii="Arial" w:hAnsi="Arial" w:cs="Arial"/>
          <w:sz w:val="24"/>
          <w:szCs w:val="24"/>
        </w:rPr>
        <w:t>Failure to follow the correct consultation procedure on Qualifying Work will mean that Landlord Services are only able to recover £250 of the value of the work.</w:t>
      </w:r>
    </w:p>
    <w:p w14:paraId="220DAAB0" w14:textId="77777777" w:rsidR="0061270B" w:rsidRPr="007A2DDD" w:rsidRDefault="0061270B" w:rsidP="0061270B">
      <w:pPr>
        <w:pStyle w:val="ListParagraph"/>
        <w:ind w:left="567"/>
        <w:rPr>
          <w:rFonts w:ascii="Arial" w:hAnsi="Arial" w:cs="Arial"/>
          <w:sz w:val="20"/>
          <w:szCs w:val="24"/>
        </w:rPr>
      </w:pPr>
    </w:p>
    <w:p w14:paraId="0159E8D3" w14:textId="77777777" w:rsidR="0061270B" w:rsidRPr="008C1DDC" w:rsidRDefault="0061270B" w:rsidP="00931839">
      <w:pPr>
        <w:pStyle w:val="ListParagraph"/>
        <w:numPr>
          <w:ilvl w:val="1"/>
          <w:numId w:val="9"/>
        </w:numPr>
        <w:spacing w:after="200" w:line="276" w:lineRule="auto"/>
        <w:ind w:left="567" w:hanging="567"/>
        <w:rPr>
          <w:rFonts w:ascii="Arial" w:hAnsi="Arial" w:cs="Arial"/>
          <w:sz w:val="24"/>
          <w:szCs w:val="24"/>
        </w:rPr>
      </w:pPr>
      <w:r w:rsidRPr="008C1DDC">
        <w:rPr>
          <w:rFonts w:ascii="Arial" w:hAnsi="Arial" w:cs="Arial"/>
          <w:sz w:val="24"/>
          <w:szCs w:val="24"/>
        </w:rPr>
        <w:t>Failure to follow the correct consultation procedure on Qualifying Long-term Agreements will mean that Landlord Services are only able to recover £100 of the value of the contract from any one leaseholder in any one financial year.</w:t>
      </w:r>
    </w:p>
    <w:p w14:paraId="714593AE" w14:textId="77777777" w:rsidR="0061270B" w:rsidRPr="008C1DDC" w:rsidRDefault="0061270B" w:rsidP="0061270B">
      <w:pPr>
        <w:pStyle w:val="ListParagraph"/>
        <w:autoSpaceDE w:val="0"/>
        <w:autoSpaceDN w:val="0"/>
        <w:adjustRightInd w:val="0"/>
        <w:spacing w:after="0" w:line="240" w:lineRule="auto"/>
        <w:ind w:left="540"/>
        <w:rPr>
          <w:rFonts w:ascii="Arial" w:hAnsi="Arial" w:cs="Arial"/>
          <w:sz w:val="20"/>
          <w:szCs w:val="24"/>
        </w:rPr>
      </w:pPr>
    </w:p>
    <w:p w14:paraId="153F80C9" w14:textId="77777777" w:rsidR="0061270B" w:rsidRPr="008C1DDC" w:rsidRDefault="0061270B" w:rsidP="00931839">
      <w:pPr>
        <w:pStyle w:val="Heading2"/>
      </w:pPr>
      <w:r w:rsidRPr="008C1DDC">
        <w:t>Exemptions from consultation requirements</w:t>
      </w:r>
    </w:p>
    <w:p w14:paraId="403C66BA" w14:textId="77777777" w:rsidR="0061270B" w:rsidRPr="007A2DDD" w:rsidRDefault="0061270B" w:rsidP="0061270B">
      <w:pPr>
        <w:pStyle w:val="ListParagraph"/>
        <w:rPr>
          <w:rFonts w:ascii="Arial" w:hAnsi="Arial" w:cs="Arial"/>
          <w:b/>
          <w:sz w:val="20"/>
          <w:szCs w:val="24"/>
        </w:rPr>
      </w:pPr>
    </w:p>
    <w:p w14:paraId="683DC0E3" w14:textId="77777777" w:rsidR="0061270B" w:rsidRPr="008C1DDC" w:rsidRDefault="0061270B" w:rsidP="00931839">
      <w:pPr>
        <w:pStyle w:val="ListParagraph"/>
        <w:numPr>
          <w:ilvl w:val="1"/>
          <w:numId w:val="9"/>
        </w:numPr>
        <w:spacing w:after="200" w:line="276" w:lineRule="auto"/>
        <w:ind w:left="567" w:hanging="567"/>
        <w:rPr>
          <w:rFonts w:ascii="Arial" w:hAnsi="Arial" w:cs="Arial"/>
          <w:sz w:val="24"/>
          <w:szCs w:val="24"/>
        </w:rPr>
      </w:pPr>
      <w:r w:rsidRPr="008C1DDC">
        <w:rPr>
          <w:rFonts w:ascii="Arial" w:hAnsi="Arial" w:cs="Arial"/>
          <w:sz w:val="24"/>
          <w:szCs w:val="24"/>
        </w:rPr>
        <w:t xml:space="preserve"> In some circumstances, it will not be possible to meet all the necessary consultation requirements. For example:</w:t>
      </w:r>
    </w:p>
    <w:p w14:paraId="241DC412" w14:textId="77777777" w:rsidR="0061270B" w:rsidRPr="008C1DDC" w:rsidRDefault="0061270B" w:rsidP="0061270B">
      <w:pPr>
        <w:pStyle w:val="ListParagraph"/>
        <w:numPr>
          <w:ilvl w:val="2"/>
          <w:numId w:val="6"/>
        </w:numPr>
        <w:spacing w:after="200" w:line="276" w:lineRule="auto"/>
        <w:rPr>
          <w:rFonts w:ascii="Arial" w:hAnsi="Arial" w:cs="Arial"/>
          <w:sz w:val="24"/>
          <w:szCs w:val="24"/>
        </w:rPr>
      </w:pPr>
      <w:r w:rsidRPr="008C1DDC">
        <w:rPr>
          <w:rFonts w:ascii="Arial" w:hAnsi="Arial" w:cs="Arial"/>
          <w:sz w:val="24"/>
          <w:szCs w:val="24"/>
        </w:rPr>
        <w:t>very urgent works (on the grounds of safety etc.)</w:t>
      </w:r>
    </w:p>
    <w:p w14:paraId="24F7A6D4" w14:textId="77777777" w:rsidR="0061270B" w:rsidRDefault="0061270B" w:rsidP="0061270B">
      <w:pPr>
        <w:pStyle w:val="ListParagraph"/>
        <w:numPr>
          <w:ilvl w:val="2"/>
          <w:numId w:val="6"/>
        </w:numPr>
        <w:spacing w:after="200" w:line="276" w:lineRule="auto"/>
        <w:rPr>
          <w:rFonts w:ascii="Arial" w:hAnsi="Arial" w:cs="Arial"/>
          <w:sz w:val="24"/>
          <w:szCs w:val="24"/>
        </w:rPr>
      </w:pPr>
      <w:r w:rsidRPr="008C1DDC">
        <w:rPr>
          <w:rFonts w:ascii="Arial" w:hAnsi="Arial" w:cs="Arial"/>
          <w:sz w:val="24"/>
          <w:szCs w:val="24"/>
        </w:rPr>
        <w:t>works for which it is difficult to obtain more than one estimate (should the works required</w:t>
      </w:r>
      <w:r>
        <w:rPr>
          <w:rFonts w:ascii="Arial" w:hAnsi="Arial" w:cs="Arial"/>
          <w:sz w:val="24"/>
          <w:szCs w:val="24"/>
        </w:rPr>
        <w:t xml:space="preserve"> be a specialist function)</w:t>
      </w:r>
    </w:p>
    <w:p w14:paraId="4BC7E703" w14:textId="77777777" w:rsidR="0061270B" w:rsidRPr="008C1DDC" w:rsidRDefault="0061270B" w:rsidP="0061270B">
      <w:pPr>
        <w:pStyle w:val="ListParagraph"/>
        <w:ind w:left="1224"/>
        <w:rPr>
          <w:rFonts w:ascii="Arial" w:hAnsi="Arial" w:cs="Arial"/>
          <w:sz w:val="24"/>
          <w:szCs w:val="24"/>
        </w:rPr>
      </w:pPr>
    </w:p>
    <w:p w14:paraId="4EF62951" w14:textId="77777777" w:rsidR="0061270B" w:rsidRPr="00931839" w:rsidRDefault="0061270B" w:rsidP="0061270B">
      <w:pPr>
        <w:pStyle w:val="ListParagraph"/>
        <w:numPr>
          <w:ilvl w:val="1"/>
          <w:numId w:val="9"/>
        </w:numPr>
        <w:spacing w:after="200" w:line="276" w:lineRule="auto"/>
        <w:ind w:left="567" w:hanging="567"/>
        <w:rPr>
          <w:rFonts w:ascii="Arial" w:hAnsi="Arial" w:cs="Arial"/>
          <w:sz w:val="24"/>
          <w:szCs w:val="24"/>
        </w:rPr>
      </w:pPr>
      <w:r w:rsidRPr="008C1DDC">
        <w:rPr>
          <w:rFonts w:ascii="Arial" w:hAnsi="Arial" w:cs="Arial"/>
          <w:sz w:val="24"/>
          <w:szCs w:val="24"/>
        </w:rPr>
        <w:t>Landlord Services will seek advice from the First-tier Tribunal (Property Chamber)</w:t>
      </w:r>
      <w:r w:rsidRPr="008C1DDC">
        <w:rPr>
          <w:rFonts w:ascii="Helvetica" w:hAnsi="Helvetica" w:cs="Arial"/>
          <w:color w:val="333333"/>
          <w:sz w:val="21"/>
          <w:szCs w:val="21"/>
        </w:rPr>
        <w:t xml:space="preserve"> </w:t>
      </w:r>
      <w:r w:rsidRPr="008C1DDC">
        <w:rPr>
          <w:rFonts w:ascii="Arial" w:hAnsi="Arial" w:cs="Arial"/>
          <w:sz w:val="24"/>
          <w:szCs w:val="24"/>
        </w:rPr>
        <w:t>(FFT) on how to proceed with consultation if it is felt that any of the requirements of Section 20 Consultation cannot be met.  Applications for exemption to the FFT will be made both in advance and retrospectively where necessary.</w:t>
      </w:r>
    </w:p>
    <w:p w14:paraId="549BF05A" w14:textId="77777777" w:rsidR="00AA150F" w:rsidRDefault="00AA150F" w:rsidP="00931839">
      <w:pPr>
        <w:pStyle w:val="Heading1"/>
        <w:numPr>
          <w:ilvl w:val="0"/>
          <w:numId w:val="9"/>
        </w:numPr>
      </w:pPr>
      <w:r>
        <w:t>Role, responsibilities and authority</w:t>
      </w:r>
    </w:p>
    <w:p w14:paraId="7D60840F" w14:textId="3A639A0B" w:rsidR="00931839" w:rsidRPr="00931839" w:rsidRDefault="00931839" w:rsidP="00931839">
      <w:pPr>
        <w:pStyle w:val="ListParagraph"/>
        <w:numPr>
          <w:ilvl w:val="1"/>
          <w:numId w:val="10"/>
        </w:numPr>
        <w:spacing w:after="200" w:line="276" w:lineRule="auto"/>
        <w:rPr>
          <w:rFonts w:ascii="Arial" w:hAnsi="Arial" w:cs="Arial"/>
          <w:sz w:val="24"/>
          <w:szCs w:val="24"/>
        </w:rPr>
      </w:pPr>
      <w:r w:rsidRPr="00931839">
        <w:rPr>
          <w:rFonts w:ascii="Arial" w:hAnsi="Arial" w:cs="Arial"/>
          <w:sz w:val="24"/>
          <w:szCs w:val="24"/>
        </w:rPr>
        <w:t xml:space="preserve">The Assistant Director </w:t>
      </w:r>
      <w:r w:rsidR="006E0E92">
        <w:rPr>
          <w:rFonts w:ascii="Arial" w:hAnsi="Arial" w:cs="Arial"/>
          <w:sz w:val="24"/>
          <w:szCs w:val="24"/>
        </w:rPr>
        <w:t xml:space="preserve">Culture and Community </w:t>
      </w:r>
      <w:r w:rsidRPr="00931839">
        <w:rPr>
          <w:rFonts w:ascii="Arial" w:hAnsi="Arial" w:cs="Arial"/>
          <w:sz w:val="24"/>
          <w:szCs w:val="24"/>
        </w:rPr>
        <w:t xml:space="preserve">retains the overall responsibility for the implementation of this policy. </w:t>
      </w:r>
    </w:p>
    <w:p w14:paraId="7AB72BB5" w14:textId="77777777" w:rsidR="00931839" w:rsidRPr="008C1DDC" w:rsidRDefault="00931839" w:rsidP="00931839">
      <w:pPr>
        <w:pStyle w:val="ListParagraph"/>
        <w:ind w:left="567"/>
        <w:rPr>
          <w:rFonts w:ascii="Arial" w:hAnsi="Arial" w:cs="Arial"/>
          <w:sz w:val="24"/>
          <w:szCs w:val="24"/>
        </w:rPr>
      </w:pPr>
    </w:p>
    <w:p w14:paraId="6014AD1F" w14:textId="1A19786E" w:rsidR="00CB11CD" w:rsidRPr="00931839" w:rsidRDefault="00931839" w:rsidP="00931839">
      <w:pPr>
        <w:pStyle w:val="ListParagraph"/>
        <w:numPr>
          <w:ilvl w:val="1"/>
          <w:numId w:val="10"/>
        </w:numPr>
        <w:spacing w:after="200" w:line="276" w:lineRule="auto"/>
        <w:rPr>
          <w:rFonts w:ascii="Arial" w:hAnsi="Arial" w:cs="Arial"/>
          <w:sz w:val="24"/>
          <w:szCs w:val="24"/>
        </w:rPr>
      </w:pPr>
      <w:r w:rsidRPr="008C1DDC">
        <w:rPr>
          <w:rFonts w:ascii="Arial" w:hAnsi="Arial" w:cs="Arial"/>
          <w:sz w:val="24"/>
          <w:szCs w:val="24"/>
        </w:rPr>
        <w:t>The Head of Housing is responsible for the operational delivery of this policy, the associated procedures and has the responsibility for ensuring that this policy complies with Regulatory and Legislative requirements.</w:t>
      </w:r>
    </w:p>
    <w:p w14:paraId="14426D89" w14:textId="77777777" w:rsidR="00AA150F" w:rsidRDefault="00AA150F" w:rsidP="00931839">
      <w:pPr>
        <w:pStyle w:val="Heading1"/>
        <w:numPr>
          <w:ilvl w:val="0"/>
          <w:numId w:val="10"/>
        </w:numPr>
      </w:pPr>
      <w:r>
        <w:t>Monitoring, review and evaluation</w:t>
      </w:r>
    </w:p>
    <w:p w14:paraId="5370CA21" w14:textId="77777777" w:rsidR="00931839" w:rsidRPr="008C1DDC" w:rsidRDefault="00931839" w:rsidP="00931839">
      <w:pPr>
        <w:pStyle w:val="ListParagraph"/>
        <w:numPr>
          <w:ilvl w:val="1"/>
          <w:numId w:val="10"/>
        </w:numPr>
        <w:spacing w:after="200" w:line="276" w:lineRule="auto"/>
        <w:rPr>
          <w:rFonts w:ascii="Arial" w:hAnsi="Arial" w:cs="Arial"/>
          <w:sz w:val="24"/>
          <w:szCs w:val="24"/>
        </w:rPr>
      </w:pPr>
      <w:r w:rsidRPr="008C1DDC">
        <w:rPr>
          <w:rFonts w:ascii="Arial" w:hAnsi="Arial" w:cs="Arial"/>
          <w:sz w:val="24"/>
          <w:szCs w:val="24"/>
        </w:rPr>
        <w:t>Senior management will monitor the Section 20 consultation process</w:t>
      </w:r>
    </w:p>
    <w:p w14:paraId="29073805" w14:textId="77777777" w:rsidR="00931839" w:rsidRPr="008C1DDC" w:rsidRDefault="00931839" w:rsidP="00931839">
      <w:pPr>
        <w:pStyle w:val="ListParagraph"/>
        <w:ind w:left="567"/>
        <w:rPr>
          <w:rFonts w:ascii="Arial" w:hAnsi="Arial" w:cs="Arial"/>
          <w:sz w:val="24"/>
          <w:szCs w:val="24"/>
        </w:rPr>
      </w:pPr>
    </w:p>
    <w:p w14:paraId="14FCDE1A" w14:textId="77777777" w:rsidR="00EB3E52" w:rsidRPr="00EB3E52" w:rsidRDefault="00931839" w:rsidP="00EB3E52">
      <w:pPr>
        <w:pStyle w:val="ListParagraph"/>
        <w:numPr>
          <w:ilvl w:val="1"/>
          <w:numId w:val="10"/>
        </w:numPr>
        <w:spacing w:after="200" w:line="276" w:lineRule="auto"/>
      </w:pPr>
      <w:r w:rsidRPr="008C1DDC">
        <w:rPr>
          <w:rFonts w:ascii="Arial" w:hAnsi="Arial" w:cs="Arial"/>
          <w:sz w:val="24"/>
          <w:szCs w:val="24"/>
        </w:rPr>
        <w:t>This policy will be reviewed every two years or in line with legislative or regulatory changes.</w:t>
      </w:r>
    </w:p>
    <w:p w14:paraId="43E14D75" w14:textId="77777777" w:rsidR="00EB3E52" w:rsidRDefault="00EB3E52" w:rsidP="00EB3E52">
      <w:pPr>
        <w:pStyle w:val="ListParagraph"/>
      </w:pPr>
    </w:p>
    <w:p w14:paraId="35655C51" w14:textId="5E2DE508" w:rsidR="00AA150F" w:rsidRDefault="00931839" w:rsidP="00EB3E52">
      <w:pPr>
        <w:spacing w:after="200" w:line="276" w:lineRule="auto"/>
      </w:pPr>
      <w:r>
        <w:t xml:space="preserve">This version published: </w:t>
      </w:r>
      <w:r w:rsidR="006E0E92">
        <w:t>November 2020</w:t>
      </w:r>
    </w:p>
    <w:p w14:paraId="0C936EF6" w14:textId="21B85247" w:rsidR="00AA150F" w:rsidRDefault="006E0E92" w:rsidP="00AA150F">
      <w:r>
        <w:t>Next review due: November 2022</w:t>
      </w:r>
    </w:p>
    <w:p w14:paraId="0F149D8D" w14:textId="77777777" w:rsidR="00AA150F" w:rsidRPr="00AA150F" w:rsidRDefault="00AA150F" w:rsidP="00AA150F"/>
    <w:sectPr w:rsidR="00AA150F" w:rsidRPr="00AA150F">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3C9BA1" w14:textId="77777777" w:rsidR="004B135C" w:rsidRDefault="004B135C" w:rsidP="004B135C">
      <w:pPr>
        <w:spacing w:after="0" w:line="240" w:lineRule="auto"/>
      </w:pPr>
      <w:r>
        <w:separator/>
      </w:r>
    </w:p>
  </w:endnote>
  <w:endnote w:type="continuationSeparator" w:id="0">
    <w:p w14:paraId="47C990D3" w14:textId="77777777" w:rsidR="004B135C" w:rsidRDefault="004B135C" w:rsidP="004B13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1052975"/>
      <w:docPartObj>
        <w:docPartGallery w:val="Page Numbers (Bottom of Page)"/>
        <w:docPartUnique/>
      </w:docPartObj>
    </w:sdtPr>
    <w:sdtEndPr/>
    <w:sdtContent>
      <w:sdt>
        <w:sdtPr>
          <w:id w:val="1728636285"/>
          <w:docPartObj>
            <w:docPartGallery w:val="Page Numbers (Top of Page)"/>
            <w:docPartUnique/>
          </w:docPartObj>
        </w:sdtPr>
        <w:sdtEndPr/>
        <w:sdtContent>
          <w:p w14:paraId="2775D7B4" w14:textId="77777777" w:rsidR="00FC05C0" w:rsidRDefault="00FC05C0">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F74694">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F74694">
              <w:rPr>
                <w:b/>
                <w:bCs/>
                <w:noProof/>
              </w:rPr>
              <w:t>6</w:t>
            </w:r>
            <w:r>
              <w:rPr>
                <w:b/>
                <w:bCs/>
                <w:sz w:val="24"/>
                <w:szCs w:val="24"/>
              </w:rPr>
              <w:fldChar w:fldCharType="end"/>
            </w:r>
          </w:p>
        </w:sdtContent>
      </w:sdt>
    </w:sdtContent>
  </w:sdt>
  <w:p w14:paraId="6EE0E0AA" w14:textId="77777777" w:rsidR="008B0E10" w:rsidRDefault="008B0E10" w:rsidP="008B0E1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ECD6F5" w14:textId="77777777" w:rsidR="004B135C" w:rsidRDefault="004B135C" w:rsidP="004B135C">
      <w:pPr>
        <w:spacing w:after="0" w:line="240" w:lineRule="auto"/>
      </w:pPr>
      <w:r>
        <w:separator/>
      </w:r>
    </w:p>
  </w:footnote>
  <w:footnote w:type="continuationSeparator" w:id="0">
    <w:p w14:paraId="56478B42" w14:textId="77777777" w:rsidR="004B135C" w:rsidRDefault="004B135C" w:rsidP="004B13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alias w:val="Subject"/>
      <w:tag w:val=""/>
      <w:id w:val="769897928"/>
      <w:placeholder>
        <w:docPart w:val="891472CF7EDA41EF8BBA19A4DD782D9D"/>
      </w:placeholder>
      <w:dataBinding w:prefixMappings="xmlns:ns0='http://purl.org/dc/elements/1.1/' xmlns:ns1='http://schemas.openxmlformats.org/package/2006/metadata/core-properties' " w:xpath="/ns1:coreProperties[1]/ns0:subject[1]" w:storeItemID="{6C3C8BC8-F283-45AE-878A-BAB7291924A1}"/>
      <w:text/>
    </w:sdtPr>
    <w:sdtEndPr/>
    <w:sdtContent>
      <w:p w14:paraId="31A37032" w14:textId="77777777" w:rsidR="00FC05C0" w:rsidRDefault="00A36E66" w:rsidP="00FC05C0">
        <w:pPr>
          <w:pStyle w:val="Header"/>
          <w:jc w:val="right"/>
        </w:pPr>
        <w:r>
          <w:t>Housing Policy</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B7415F"/>
    <w:multiLevelType w:val="multilevel"/>
    <w:tmpl w:val="1402F14C"/>
    <w:lvl w:ilvl="0">
      <w:start w:val="1"/>
      <w:numFmt w:val="decimal"/>
      <w:lvlText w:val="%1."/>
      <w:lvlJc w:val="left"/>
      <w:pPr>
        <w:ind w:left="720" w:hanging="360"/>
      </w:pPr>
      <w:rPr>
        <w:rFonts w:hint="default"/>
      </w:rPr>
    </w:lvl>
    <w:lvl w:ilvl="1">
      <w:start w:val="1"/>
      <w:numFmt w:val="decimal"/>
      <w:isLgl/>
      <w:lvlText w:val="%1.%2"/>
      <w:lvlJc w:val="left"/>
      <w:pPr>
        <w:ind w:left="785"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191B5EEA"/>
    <w:multiLevelType w:val="multilevel"/>
    <w:tmpl w:val="0436DE08"/>
    <w:lvl w:ilvl="0">
      <w:start w:val="5"/>
      <w:numFmt w:val="decimal"/>
      <w:lvlText w:val="%1"/>
      <w:lvlJc w:val="left"/>
      <w:pPr>
        <w:ind w:left="660" w:hanging="660"/>
      </w:pPr>
      <w:rPr>
        <w:rFonts w:hint="default"/>
      </w:rPr>
    </w:lvl>
    <w:lvl w:ilvl="1">
      <w:start w:val="18"/>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B281638"/>
    <w:multiLevelType w:val="multilevel"/>
    <w:tmpl w:val="10E6BBF6"/>
    <w:lvl w:ilvl="0">
      <w:start w:val="4"/>
      <w:numFmt w:val="decimal"/>
      <w:lvlText w:val="%1"/>
      <w:lvlJc w:val="left"/>
      <w:pPr>
        <w:ind w:left="525" w:hanging="525"/>
      </w:pPr>
      <w:rPr>
        <w:rFonts w:hint="default"/>
        <w:color w:val="000000"/>
      </w:rPr>
    </w:lvl>
    <w:lvl w:ilvl="1">
      <w:start w:val="1"/>
      <w:numFmt w:val="decimal"/>
      <w:lvlText w:val="%1.%2"/>
      <w:lvlJc w:val="left"/>
      <w:pPr>
        <w:ind w:left="1065" w:hanging="525"/>
      </w:pPr>
      <w:rPr>
        <w:rFonts w:hint="default"/>
        <w:color w:val="000000"/>
      </w:rPr>
    </w:lvl>
    <w:lvl w:ilvl="2">
      <w:start w:val="1"/>
      <w:numFmt w:val="decimal"/>
      <w:lvlText w:val="%1.%2.%3"/>
      <w:lvlJc w:val="left"/>
      <w:pPr>
        <w:ind w:left="1800" w:hanging="720"/>
      </w:pPr>
      <w:rPr>
        <w:rFonts w:hint="default"/>
        <w:color w:val="000000"/>
      </w:rPr>
    </w:lvl>
    <w:lvl w:ilvl="3">
      <w:start w:val="1"/>
      <w:numFmt w:val="decimal"/>
      <w:lvlText w:val="%1.%2.%3.%4"/>
      <w:lvlJc w:val="left"/>
      <w:pPr>
        <w:ind w:left="2700" w:hanging="1080"/>
      </w:pPr>
      <w:rPr>
        <w:rFonts w:hint="default"/>
        <w:color w:val="000000"/>
      </w:rPr>
    </w:lvl>
    <w:lvl w:ilvl="4">
      <w:start w:val="1"/>
      <w:numFmt w:val="decimal"/>
      <w:lvlText w:val="%1.%2.%3.%4.%5"/>
      <w:lvlJc w:val="left"/>
      <w:pPr>
        <w:ind w:left="3240" w:hanging="1080"/>
      </w:pPr>
      <w:rPr>
        <w:rFonts w:hint="default"/>
        <w:color w:val="000000"/>
      </w:rPr>
    </w:lvl>
    <w:lvl w:ilvl="5">
      <w:start w:val="1"/>
      <w:numFmt w:val="decimal"/>
      <w:lvlText w:val="%1.%2.%3.%4.%5.%6"/>
      <w:lvlJc w:val="left"/>
      <w:pPr>
        <w:ind w:left="4140" w:hanging="1440"/>
      </w:pPr>
      <w:rPr>
        <w:rFonts w:hint="default"/>
        <w:color w:val="000000"/>
      </w:rPr>
    </w:lvl>
    <w:lvl w:ilvl="6">
      <w:start w:val="1"/>
      <w:numFmt w:val="decimal"/>
      <w:lvlText w:val="%1.%2.%3.%4.%5.%6.%7"/>
      <w:lvlJc w:val="left"/>
      <w:pPr>
        <w:ind w:left="4680" w:hanging="1440"/>
      </w:pPr>
      <w:rPr>
        <w:rFonts w:hint="default"/>
        <w:color w:val="000000"/>
      </w:rPr>
    </w:lvl>
    <w:lvl w:ilvl="7">
      <w:start w:val="1"/>
      <w:numFmt w:val="decimal"/>
      <w:lvlText w:val="%1.%2.%3.%4.%5.%6.%7.%8"/>
      <w:lvlJc w:val="left"/>
      <w:pPr>
        <w:ind w:left="5580" w:hanging="1800"/>
      </w:pPr>
      <w:rPr>
        <w:rFonts w:hint="default"/>
        <w:color w:val="000000"/>
      </w:rPr>
    </w:lvl>
    <w:lvl w:ilvl="8">
      <w:start w:val="1"/>
      <w:numFmt w:val="decimal"/>
      <w:lvlText w:val="%1.%2.%3.%4.%5.%6.%7.%8.%9"/>
      <w:lvlJc w:val="left"/>
      <w:pPr>
        <w:ind w:left="6120" w:hanging="1800"/>
      </w:pPr>
      <w:rPr>
        <w:rFonts w:hint="default"/>
        <w:color w:val="000000"/>
      </w:rPr>
    </w:lvl>
  </w:abstractNum>
  <w:abstractNum w:abstractNumId="3" w15:restartNumberingAfterBreak="0">
    <w:nsid w:val="2D9A2D95"/>
    <w:multiLevelType w:val="multilevel"/>
    <w:tmpl w:val="7DB61822"/>
    <w:lvl w:ilvl="0">
      <w:start w:val="1"/>
      <w:numFmt w:val="decimal"/>
      <w:lvlText w:val="%1."/>
      <w:lvlJc w:val="left"/>
      <w:pPr>
        <w:ind w:left="360" w:hanging="360"/>
      </w:pPr>
    </w:lvl>
    <w:lvl w:ilvl="1">
      <w:start w:val="1"/>
      <w:numFmt w:val="decimal"/>
      <w:lvlText w:val="%1.%2."/>
      <w:lvlJc w:val="left"/>
      <w:pPr>
        <w:ind w:left="432" w:hanging="432"/>
      </w:pPr>
      <w:rPr>
        <w:b w:val="0"/>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E5A410D"/>
    <w:multiLevelType w:val="multilevel"/>
    <w:tmpl w:val="7DB61822"/>
    <w:lvl w:ilvl="0">
      <w:start w:val="1"/>
      <w:numFmt w:val="decimal"/>
      <w:lvlText w:val="%1."/>
      <w:lvlJc w:val="left"/>
      <w:pPr>
        <w:ind w:left="360" w:hanging="360"/>
      </w:pPr>
    </w:lvl>
    <w:lvl w:ilvl="1">
      <w:start w:val="1"/>
      <w:numFmt w:val="decimal"/>
      <w:lvlText w:val="%1.%2."/>
      <w:lvlJc w:val="left"/>
      <w:pPr>
        <w:ind w:left="432" w:hanging="432"/>
      </w:pPr>
      <w:rPr>
        <w:b w:val="0"/>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09271B8"/>
    <w:multiLevelType w:val="multilevel"/>
    <w:tmpl w:val="DD46508C"/>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bullet"/>
      <w:lvlText w:val=""/>
      <w:lvlJc w:val="left"/>
      <w:pPr>
        <w:ind w:left="1224" w:hanging="504"/>
      </w:pPr>
      <w:rPr>
        <w:rFonts w:ascii="Symbol" w:hAnsi="Symbol"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ADE6901"/>
    <w:multiLevelType w:val="multilevel"/>
    <w:tmpl w:val="DD46508C"/>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bullet"/>
      <w:lvlText w:val=""/>
      <w:lvlJc w:val="left"/>
      <w:pPr>
        <w:ind w:left="1224" w:hanging="504"/>
      </w:pPr>
      <w:rPr>
        <w:rFonts w:ascii="Symbol" w:hAnsi="Symbol"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E246E2C"/>
    <w:multiLevelType w:val="multilevel"/>
    <w:tmpl w:val="07C450A8"/>
    <w:lvl w:ilvl="0">
      <w:start w:val="1"/>
      <w:numFmt w:val="decimal"/>
      <w:lvlText w:val="%1."/>
      <w:lvlJc w:val="left"/>
      <w:pPr>
        <w:ind w:left="360" w:hanging="360"/>
      </w:pPr>
    </w:lvl>
    <w:lvl w:ilvl="1">
      <w:start w:val="1"/>
      <w:numFmt w:val="decimal"/>
      <w:lvlText w:val="%1.%2."/>
      <w:lvlJc w:val="left"/>
      <w:pPr>
        <w:ind w:left="43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64030B25"/>
    <w:multiLevelType w:val="multilevel"/>
    <w:tmpl w:val="5D5E4924"/>
    <w:lvl w:ilvl="0">
      <w:start w:val="5"/>
      <w:numFmt w:val="decimal"/>
      <w:lvlText w:val="%1"/>
      <w:lvlJc w:val="left"/>
      <w:pPr>
        <w:ind w:left="660" w:hanging="660"/>
      </w:pPr>
      <w:rPr>
        <w:rFonts w:hint="default"/>
      </w:rPr>
    </w:lvl>
    <w:lvl w:ilvl="1">
      <w:start w:val="17"/>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735B3A21"/>
    <w:multiLevelType w:val="multilevel"/>
    <w:tmpl w:val="A1C806B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2023119352">
    <w:abstractNumId w:val="0"/>
  </w:num>
  <w:num w:numId="2" w16cid:durableId="1293681166">
    <w:abstractNumId w:val="2"/>
  </w:num>
  <w:num w:numId="3" w16cid:durableId="1059669804">
    <w:abstractNumId w:val="7"/>
  </w:num>
  <w:num w:numId="4" w16cid:durableId="1381588432">
    <w:abstractNumId w:val="4"/>
  </w:num>
  <w:num w:numId="5" w16cid:durableId="20977328">
    <w:abstractNumId w:val="5"/>
  </w:num>
  <w:num w:numId="6" w16cid:durableId="1706327863">
    <w:abstractNumId w:val="6"/>
  </w:num>
  <w:num w:numId="7" w16cid:durableId="1316060482">
    <w:abstractNumId w:val="3"/>
  </w:num>
  <w:num w:numId="8" w16cid:durableId="618729883">
    <w:abstractNumId w:val="8"/>
  </w:num>
  <w:num w:numId="9" w16cid:durableId="967514593">
    <w:abstractNumId w:val="1"/>
  </w:num>
  <w:num w:numId="10" w16cid:durableId="116759495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454"/>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35C"/>
    <w:rsid w:val="00000770"/>
    <w:rsid w:val="00011DF0"/>
    <w:rsid w:val="00046942"/>
    <w:rsid w:val="00072269"/>
    <w:rsid w:val="00072657"/>
    <w:rsid w:val="000A08A4"/>
    <w:rsid w:val="001A3615"/>
    <w:rsid w:val="001C39EE"/>
    <w:rsid w:val="0029371B"/>
    <w:rsid w:val="002F0FCD"/>
    <w:rsid w:val="0039161F"/>
    <w:rsid w:val="004B135C"/>
    <w:rsid w:val="004C0B3F"/>
    <w:rsid w:val="004E1AEF"/>
    <w:rsid w:val="00537985"/>
    <w:rsid w:val="00612008"/>
    <w:rsid w:val="0061270B"/>
    <w:rsid w:val="006E0E92"/>
    <w:rsid w:val="007062ED"/>
    <w:rsid w:val="007963AC"/>
    <w:rsid w:val="007A42C7"/>
    <w:rsid w:val="00835EB0"/>
    <w:rsid w:val="00842357"/>
    <w:rsid w:val="00850BDE"/>
    <w:rsid w:val="008B0E10"/>
    <w:rsid w:val="00906BE9"/>
    <w:rsid w:val="00931839"/>
    <w:rsid w:val="00A36E66"/>
    <w:rsid w:val="00AA150F"/>
    <w:rsid w:val="00B56E1F"/>
    <w:rsid w:val="00CB11CD"/>
    <w:rsid w:val="00EB3E52"/>
    <w:rsid w:val="00EE3DA6"/>
    <w:rsid w:val="00F74694"/>
    <w:rsid w:val="00FC05C0"/>
    <w:rsid w:val="00FE3F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3EADF8"/>
  <w15:chartTrackingRefBased/>
  <w15:docId w15:val="{57323E86-75E2-4205-AEA6-B0385AFF6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B0E1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C0B3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53798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0E10"/>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8B0E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0E10"/>
  </w:style>
  <w:style w:type="paragraph" w:styleId="Footer">
    <w:name w:val="footer"/>
    <w:basedOn w:val="Normal"/>
    <w:link w:val="FooterChar"/>
    <w:uiPriority w:val="99"/>
    <w:unhideWhenUsed/>
    <w:rsid w:val="008B0E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0E10"/>
  </w:style>
  <w:style w:type="paragraph" w:styleId="Title">
    <w:name w:val="Title"/>
    <w:basedOn w:val="Normal"/>
    <w:next w:val="Normal"/>
    <w:link w:val="TitleChar"/>
    <w:uiPriority w:val="10"/>
    <w:qFormat/>
    <w:rsid w:val="00AA150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A150F"/>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AA150F"/>
    <w:pPr>
      <w:ind w:left="720"/>
      <w:contextualSpacing/>
    </w:pPr>
  </w:style>
  <w:style w:type="paragraph" w:styleId="BodyText">
    <w:name w:val="Body Text"/>
    <w:basedOn w:val="Normal"/>
    <w:link w:val="BodyTextChar"/>
    <w:semiHidden/>
    <w:rsid w:val="00CB11CD"/>
    <w:pPr>
      <w:spacing w:after="0" w:line="240" w:lineRule="auto"/>
      <w:jc w:val="both"/>
    </w:pPr>
    <w:rPr>
      <w:rFonts w:ascii="Arial" w:eastAsia="Times New Roman" w:hAnsi="Arial" w:cs="Arial"/>
      <w:sz w:val="24"/>
      <w:szCs w:val="24"/>
      <w:lang w:val="en-US"/>
    </w:rPr>
  </w:style>
  <w:style w:type="character" w:customStyle="1" w:styleId="BodyTextChar">
    <w:name w:val="Body Text Char"/>
    <w:basedOn w:val="DefaultParagraphFont"/>
    <w:link w:val="BodyText"/>
    <w:semiHidden/>
    <w:rsid w:val="00CB11CD"/>
    <w:rPr>
      <w:rFonts w:ascii="Arial" w:eastAsia="Times New Roman" w:hAnsi="Arial" w:cs="Arial"/>
      <w:sz w:val="24"/>
      <w:szCs w:val="24"/>
      <w:lang w:val="en-US"/>
    </w:rPr>
  </w:style>
  <w:style w:type="character" w:styleId="PlaceholderText">
    <w:name w:val="Placeholder Text"/>
    <w:basedOn w:val="DefaultParagraphFont"/>
    <w:uiPriority w:val="99"/>
    <w:semiHidden/>
    <w:rsid w:val="00835EB0"/>
    <w:rPr>
      <w:color w:val="808080"/>
    </w:rPr>
  </w:style>
  <w:style w:type="character" w:customStyle="1" w:styleId="Heading2Char">
    <w:name w:val="Heading 2 Char"/>
    <w:basedOn w:val="DefaultParagraphFont"/>
    <w:link w:val="Heading2"/>
    <w:uiPriority w:val="9"/>
    <w:rsid w:val="004C0B3F"/>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537985"/>
    <w:rPr>
      <w:rFonts w:asciiTheme="majorHAnsi" w:eastAsiaTheme="majorEastAsia" w:hAnsiTheme="majorHAnsi" w:cstheme="majorBidi"/>
      <w:color w:val="1F4D78" w:themeColor="accent1" w:themeShade="7F"/>
      <w:sz w:val="24"/>
      <w:szCs w:val="24"/>
    </w:rPr>
  </w:style>
  <w:style w:type="paragraph" w:styleId="Revision">
    <w:name w:val="Revision"/>
    <w:hidden/>
    <w:uiPriority w:val="99"/>
    <w:semiHidden/>
    <w:rsid w:val="001A361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91472CF7EDA41EF8BBA19A4DD782D9D"/>
        <w:category>
          <w:name w:val="General"/>
          <w:gallery w:val="placeholder"/>
        </w:category>
        <w:types>
          <w:type w:val="bbPlcHdr"/>
        </w:types>
        <w:behaviors>
          <w:behavior w:val="content"/>
        </w:behaviors>
        <w:guid w:val="{9DDC7EC9-D85C-4614-A769-A013B01B181F}"/>
      </w:docPartPr>
      <w:docPartBody>
        <w:p w:rsidR="005666DB" w:rsidRDefault="00605B72">
          <w:r w:rsidRPr="00AF4078">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3732"/>
    <w:rsid w:val="005666DB"/>
    <w:rsid w:val="00605B72"/>
    <w:rsid w:val="008C692B"/>
    <w:rsid w:val="00AD37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3732"/>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05B7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1527</Words>
  <Characters>8707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Housingolicy</vt:lpstr>
    </vt:vector>
  </TitlesOfParts>
  <Company/>
  <LinksUpToDate>false</LinksUpToDate>
  <CharactersWithSpaces>10214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Housingolicy</dc:title>
  <dc:subject>Housing Policy</dc:subject>
  <dc:creator>sims, aisling</dc:creator>
  <cp:keywords>Housing policy</cp:keywords>
  <dc:description/>
  <cp:lastModifiedBy>offord, adam</cp:lastModifiedBy>
  <cp:revision>2</cp:revision>
  <cp:lastPrinted>2020-06-22T14:09:00Z</cp:lastPrinted>
  <dcterms:created xsi:type="dcterms:W3CDTF">2022-09-21T14:35:00Z</dcterms:created>
  <dcterms:modified xsi:type="dcterms:W3CDTF">2022-09-21T14:35:00Z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