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903"/>
        <w:gridCol w:w="1260"/>
        <w:gridCol w:w="287"/>
        <w:gridCol w:w="1728"/>
        <w:gridCol w:w="325"/>
        <w:gridCol w:w="1403"/>
      </w:tblGrid>
      <w:tr w:rsidR="004D4385">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sidRPr="000A455E">
              <w:rPr>
                <w:rFonts w:cs="Arial"/>
                <w:i/>
                <w:iCs/>
                <w:sz w:val="16"/>
              </w:rPr>
              <w:t>Name / description of the issue being assessed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8C5BC9" w:rsidP="002356AA">
            <w:pPr>
              <w:pStyle w:val="Header"/>
              <w:tabs>
                <w:tab w:val="clear" w:pos="4153"/>
                <w:tab w:val="clear" w:pos="8306"/>
              </w:tabs>
            </w:pPr>
            <w:r>
              <w:t>Responsive repairs policy (</w:t>
            </w:r>
            <w:r w:rsidR="002356AA">
              <w:t>reviewed in 2019</w:t>
            </w:r>
            <w:r>
              <w:t>)</w:t>
            </w:r>
          </w:p>
        </w:tc>
      </w:tr>
      <w:tr w:rsidR="004D4385">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sidRPr="000A455E">
              <w:rPr>
                <w:rFonts w:cs="Arial"/>
                <w:i/>
                <w:iCs/>
                <w:sz w:val="16"/>
              </w:rPr>
              <w:t>Date the DIA is completed</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356AA">
            <w:pPr>
              <w:pStyle w:val="Header"/>
              <w:tabs>
                <w:tab w:val="clear" w:pos="4153"/>
                <w:tab w:val="clear" w:pos="8306"/>
              </w:tabs>
            </w:pPr>
            <w:r>
              <w:t>December 2019</w:t>
            </w:r>
          </w:p>
        </w:tc>
      </w:tr>
      <w:tr w:rsidR="004D4385">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sidRPr="000A455E">
              <w:rPr>
                <w:rFonts w:cs="Arial"/>
                <w:i/>
                <w:iCs/>
                <w:sz w:val="16"/>
              </w:rPr>
              <w:t>Name, title and dept of person responsible for carrying out the DIA</w:t>
            </w:r>
            <w:r>
              <w:rPr>
                <w:rFonts w:cs="Arial"/>
                <w:sz w:val="20"/>
              </w:rPr>
              <w:t>.</w:t>
            </w:r>
          </w:p>
        </w:tc>
        <w:tc>
          <w:tcPr>
            <w:tcW w:w="5003"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2356AA" w:rsidP="002356AA">
            <w:pPr>
              <w:pStyle w:val="Header"/>
              <w:tabs>
                <w:tab w:val="clear" w:pos="4153"/>
                <w:tab w:val="clear" w:pos="8306"/>
              </w:tabs>
            </w:pPr>
            <w:r>
              <w:t>Aisling Sims</w:t>
            </w:r>
            <w:r w:rsidR="008C5BC9">
              <w:t xml:space="preserve"> – </w:t>
            </w:r>
            <w:r>
              <w:t>Policy and Partnership Manager (HRA)</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er"/>
              <w:numPr>
                <w:ilvl w:val="0"/>
                <w:numId w:val="24"/>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3220E2" w:rsidRDefault="002356AA" w:rsidP="00A103AB">
            <w:pPr>
              <w:pStyle w:val="Header"/>
              <w:tabs>
                <w:tab w:val="clear" w:pos="4153"/>
                <w:tab w:val="clear" w:pos="8306"/>
              </w:tabs>
            </w:pPr>
            <w:r>
              <w:t>The Responsive Repairs Policy was reviewed in December 2019 as part of an ongoing pro</w:t>
            </w:r>
            <w:r w:rsidR="003220E2">
              <w:t xml:space="preserve">cess with no changes required. </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er"/>
              <w:numPr>
                <w:ilvl w:val="0"/>
                <w:numId w:val="24"/>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6517E" w:rsidRPr="000A455E" w:rsidRDefault="00B6517E">
            <w:pPr>
              <w:pStyle w:val="Header"/>
              <w:tabs>
                <w:tab w:val="clear" w:pos="4153"/>
                <w:tab w:val="clear" w:pos="8306"/>
              </w:tabs>
              <w:rPr>
                <w:rFonts w:cs="Arial"/>
                <w:b/>
                <w:sz w:val="22"/>
                <w:szCs w:val="22"/>
              </w:rPr>
            </w:pPr>
            <w:r w:rsidRPr="000A455E">
              <w:rPr>
                <w:rFonts w:cs="Arial"/>
                <w:b/>
                <w:sz w:val="22"/>
                <w:szCs w:val="22"/>
              </w:rPr>
              <w:t>Responsive repairs performance</w:t>
            </w:r>
          </w:p>
          <w:p w:rsidR="004D4385" w:rsidRPr="000A455E" w:rsidRDefault="007949FC">
            <w:pPr>
              <w:pStyle w:val="Header"/>
              <w:tabs>
                <w:tab w:val="clear" w:pos="4153"/>
                <w:tab w:val="clear" w:pos="8306"/>
              </w:tabs>
              <w:rPr>
                <w:rFonts w:cs="Arial"/>
                <w:sz w:val="22"/>
                <w:szCs w:val="22"/>
              </w:rPr>
            </w:pPr>
            <w:r w:rsidRPr="000A455E">
              <w:rPr>
                <w:rFonts w:cs="Arial"/>
                <w:sz w:val="22"/>
                <w:szCs w:val="22"/>
              </w:rPr>
              <w:t xml:space="preserve">During </w:t>
            </w:r>
            <w:r w:rsidR="00A103AB" w:rsidRPr="000A455E">
              <w:rPr>
                <w:rFonts w:cs="Arial"/>
                <w:sz w:val="22"/>
                <w:szCs w:val="22"/>
              </w:rPr>
              <w:t>September 2015 to August 2016</w:t>
            </w:r>
          </w:p>
          <w:p w:rsidR="00A47B6F" w:rsidRPr="000A455E" w:rsidRDefault="00A47B6F" w:rsidP="007949FC">
            <w:pPr>
              <w:pStyle w:val="Header"/>
              <w:numPr>
                <w:ilvl w:val="0"/>
                <w:numId w:val="22"/>
              </w:numPr>
              <w:tabs>
                <w:tab w:val="clear" w:pos="4153"/>
                <w:tab w:val="clear" w:pos="8306"/>
              </w:tabs>
              <w:rPr>
                <w:rFonts w:cs="Arial"/>
                <w:sz w:val="22"/>
                <w:szCs w:val="22"/>
              </w:rPr>
            </w:pPr>
            <w:r w:rsidRPr="000A455E">
              <w:rPr>
                <w:rFonts w:cs="Arial"/>
                <w:sz w:val="22"/>
                <w:szCs w:val="22"/>
              </w:rPr>
              <w:t>Customer satisfaction with the overall service 98.9% (1,833/1</w:t>
            </w:r>
            <w:r w:rsidR="007949FC" w:rsidRPr="000A455E">
              <w:rPr>
                <w:rFonts w:cs="Arial"/>
                <w:sz w:val="22"/>
                <w:szCs w:val="22"/>
              </w:rPr>
              <w:t>,</w:t>
            </w:r>
            <w:r w:rsidRPr="000A455E">
              <w:rPr>
                <w:rFonts w:cs="Arial"/>
                <w:sz w:val="22"/>
                <w:szCs w:val="22"/>
              </w:rPr>
              <w:t>852) against a target on 97%</w:t>
            </w:r>
          </w:p>
          <w:p w:rsidR="00A47B6F" w:rsidRPr="000A455E" w:rsidRDefault="00A47B6F" w:rsidP="007949FC">
            <w:pPr>
              <w:pStyle w:val="Header"/>
              <w:numPr>
                <w:ilvl w:val="0"/>
                <w:numId w:val="22"/>
              </w:numPr>
              <w:tabs>
                <w:tab w:val="clear" w:pos="4153"/>
                <w:tab w:val="clear" w:pos="8306"/>
              </w:tabs>
              <w:rPr>
                <w:rFonts w:cs="Arial"/>
                <w:sz w:val="22"/>
                <w:szCs w:val="22"/>
              </w:rPr>
            </w:pPr>
            <w:r w:rsidRPr="000A455E">
              <w:rPr>
                <w:rFonts w:cs="Arial"/>
                <w:sz w:val="22"/>
                <w:szCs w:val="22"/>
              </w:rPr>
              <w:t>7</w:t>
            </w:r>
            <w:r w:rsidR="007949FC" w:rsidRPr="000A455E">
              <w:rPr>
                <w:rFonts w:cs="Arial"/>
                <w:sz w:val="22"/>
                <w:szCs w:val="22"/>
              </w:rPr>
              <w:t>,</w:t>
            </w:r>
            <w:r w:rsidRPr="000A455E">
              <w:rPr>
                <w:rFonts w:cs="Arial"/>
                <w:sz w:val="22"/>
                <w:szCs w:val="22"/>
              </w:rPr>
              <w:t>919 responsive repairs completed</w:t>
            </w:r>
          </w:p>
          <w:p w:rsidR="00A47B6F" w:rsidRPr="000A455E" w:rsidRDefault="00A47B6F" w:rsidP="007949FC">
            <w:pPr>
              <w:pStyle w:val="Header"/>
              <w:numPr>
                <w:ilvl w:val="0"/>
                <w:numId w:val="22"/>
              </w:numPr>
              <w:tabs>
                <w:tab w:val="clear" w:pos="4153"/>
                <w:tab w:val="clear" w:pos="8306"/>
              </w:tabs>
              <w:rPr>
                <w:rFonts w:cs="Arial"/>
                <w:sz w:val="22"/>
                <w:szCs w:val="22"/>
              </w:rPr>
            </w:pPr>
            <w:r w:rsidRPr="000A455E">
              <w:rPr>
                <w:rFonts w:cs="Arial"/>
                <w:sz w:val="22"/>
                <w:szCs w:val="22"/>
              </w:rPr>
              <w:t>Average number of all responsive repairs per property = 2.6</w:t>
            </w:r>
          </w:p>
          <w:p w:rsidR="00A216D0" w:rsidRPr="000A455E" w:rsidRDefault="00A216D0" w:rsidP="007949FC">
            <w:pPr>
              <w:pStyle w:val="Header"/>
              <w:numPr>
                <w:ilvl w:val="0"/>
                <w:numId w:val="22"/>
              </w:numPr>
              <w:tabs>
                <w:tab w:val="clear" w:pos="4153"/>
                <w:tab w:val="clear" w:pos="8306"/>
              </w:tabs>
              <w:rPr>
                <w:rFonts w:cs="Arial"/>
                <w:sz w:val="22"/>
                <w:szCs w:val="22"/>
              </w:rPr>
            </w:pPr>
            <w:r w:rsidRPr="000A455E">
              <w:rPr>
                <w:rFonts w:cs="Arial"/>
                <w:sz w:val="22"/>
                <w:szCs w:val="22"/>
              </w:rPr>
              <w:t>675 out of hour emergency repairs completed</w:t>
            </w:r>
          </w:p>
          <w:p w:rsidR="00A216D0" w:rsidRPr="000A455E" w:rsidRDefault="00A216D0" w:rsidP="007949FC">
            <w:pPr>
              <w:pStyle w:val="Header"/>
              <w:numPr>
                <w:ilvl w:val="0"/>
                <w:numId w:val="22"/>
              </w:numPr>
              <w:tabs>
                <w:tab w:val="clear" w:pos="4153"/>
                <w:tab w:val="clear" w:pos="8306"/>
              </w:tabs>
              <w:rPr>
                <w:rFonts w:cs="Arial"/>
                <w:sz w:val="22"/>
                <w:szCs w:val="22"/>
              </w:rPr>
            </w:pPr>
            <w:r w:rsidRPr="000A455E">
              <w:rPr>
                <w:rFonts w:cs="Arial"/>
                <w:sz w:val="22"/>
                <w:szCs w:val="22"/>
              </w:rPr>
              <w:t>230 Handyperson jobs completed</w:t>
            </w:r>
          </w:p>
          <w:p w:rsidR="007949FC" w:rsidRPr="000A455E" w:rsidRDefault="007949FC">
            <w:pPr>
              <w:pStyle w:val="Header"/>
              <w:tabs>
                <w:tab w:val="clear" w:pos="4153"/>
                <w:tab w:val="clear" w:pos="8306"/>
              </w:tabs>
              <w:rPr>
                <w:rFonts w:cs="Arial"/>
                <w:sz w:val="16"/>
                <w:szCs w:val="22"/>
              </w:rPr>
            </w:pPr>
          </w:p>
          <w:p w:rsidR="00A216D0" w:rsidRPr="000A455E" w:rsidRDefault="00A216D0">
            <w:pPr>
              <w:pStyle w:val="Header"/>
              <w:tabs>
                <w:tab w:val="clear" w:pos="4153"/>
                <w:tab w:val="clear" w:pos="8306"/>
              </w:tabs>
              <w:rPr>
                <w:rFonts w:cs="Arial"/>
                <w:b/>
                <w:sz w:val="22"/>
                <w:szCs w:val="22"/>
              </w:rPr>
            </w:pPr>
            <w:r w:rsidRPr="000A455E">
              <w:rPr>
                <w:rFonts w:cs="Arial"/>
                <w:b/>
                <w:sz w:val="22"/>
                <w:szCs w:val="22"/>
              </w:rPr>
              <w:t>Star survey 2015</w:t>
            </w:r>
            <w:r w:rsidR="007949FC" w:rsidRPr="000A455E">
              <w:rPr>
                <w:rFonts w:cs="Arial"/>
                <w:b/>
                <w:sz w:val="22"/>
                <w:szCs w:val="22"/>
              </w:rPr>
              <w:t xml:space="preserve"> results</w:t>
            </w:r>
          </w:p>
          <w:p w:rsidR="00B6517E" w:rsidRPr="000A455E" w:rsidRDefault="00A216D0" w:rsidP="00B6517E">
            <w:pPr>
              <w:pStyle w:val="Header"/>
              <w:numPr>
                <w:ilvl w:val="0"/>
                <w:numId w:val="23"/>
              </w:numPr>
              <w:tabs>
                <w:tab w:val="clear" w:pos="4153"/>
                <w:tab w:val="clear" w:pos="8306"/>
              </w:tabs>
              <w:rPr>
                <w:rFonts w:cs="Arial"/>
                <w:sz w:val="22"/>
                <w:szCs w:val="22"/>
              </w:rPr>
            </w:pPr>
            <w:r w:rsidRPr="000A455E">
              <w:rPr>
                <w:rFonts w:cs="Arial"/>
                <w:sz w:val="22"/>
                <w:szCs w:val="22"/>
              </w:rPr>
              <w:t xml:space="preserve">Overall satisfaction with the Repairs and Maintenance service has increased from 82% (753/917) in 2013 to 87% (592/682) in 2015.  </w:t>
            </w:r>
          </w:p>
          <w:p w:rsidR="00B6517E" w:rsidRPr="000A455E" w:rsidRDefault="00A216D0" w:rsidP="00B6517E">
            <w:pPr>
              <w:pStyle w:val="Header"/>
              <w:numPr>
                <w:ilvl w:val="0"/>
                <w:numId w:val="23"/>
              </w:numPr>
              <w:tabs>
                <w:tab w:val="clear" w:pos="4153"/>
                <w:tab w:val="clear" w:pos="8306"/>
              </w:tabs>
              <w:rPr>
                <w:rFonts w:cs="Arial"/>
                <w:sz w:val="22"/>
                <w:szCs w:val="22"/>
              </w:rPr>
            </w:pPr>
            <w:r w:rsidRPr="000A455E">
              <w:rPr>
                <w:rFonts w:cs="Arial"/>
                <w:sz w:val="22"/>
                <w:szCs w:val="22"/>
              </w:rPr>
              <w:t xml:space="preserve">The percentage of people very satisfied with the service has also increased from 41% (381/917) in 2013 to 46% (315/682) in 2015.  </w:t>
            </w:r>
          </w:p>
          <w:p w:rsidR="00A216D0" w:rsidRPr="000A455E" w:rsidRDefault="00A216D0" w:rsidP="00B6517E">
            <w:pPr>
              <w:pStyle w:val="Header"/>
              <w:numPr>
                <w:ilvl w:val="0"/>
                <w:numId w:val="23"/>
              </w:numPr>
              <w:tabs>
                <w:tab w:val="clear" w:pos="4153"/>
                <w:tab w:val="clear" w:pos="8306"/>
              </w:tabs>
              <w:rPr>
                <w:rFonts w:cs="Arial"/>
                <w:sz w:val="22"/>
                <w:szCs w:val="22"/>
              </w:rPr>
            </w:pPr>
            <w:r w:rsidRPr="000A455E">
              <w:rPr>
                <w:rFonts w:cs="Arial"/>
                <w:sz w:val="22"/>
                <w:szCs w:val="22"/>
              </w:rPr>
              <w:t>Out of the residents that had a repair completed in the last year 87% (400/461) were also satisfied with the service and 47% of these were v</w:t>
            </w:r>
            <w:r w:rsidR="00B6517E" w:rsidRPr="000A455E">
              <w:rPr>
                <w:rFonts w:cs="Arial"/>
                <w:sz w:val="22"/>
                <w:szCs w:val="22"/>
              </w:rPr>
              <w:t>ery satisfied with the service.</w:t>
            </w:r>
          </w:p>
          <w:p w:rsidR="00B6517E" w:rsidRPr="000A455E" w:rsidRDefault="00B6517E" w:rsidP="00B6517E">
            <w:pPr>
              <w:pStyle w:val="Header"/>
              <w:tabs>
                <w:tab w:val="clear" w:pos="4153"/>
                <w:tab w:val="clear" w:pos="8306"/>
              </w:tabs>
              <w:rPr>
                <w:rFonts w:cs="Arial"/>
                <w:b/>
                <w:sz w:val="14"/>
                <w:szCs w:val="22"/>
              </w:rPr>
            </w:pPr>
          </w:p>
          <w:p w:rsidR="00B6517E" w:rsidRPr="000A455E" w:rsidRDefault="00B6517E" w:rsidP="00B6517E">
            <w:pPr>
              <w:pStyle w:val="Header"/>
              <w:tabs>
                <w:tab w:val="clear" w:pos="4153"/>
                <w:tab w:val="clear" w:pos="8306"/>
              </w:tabs>
              <w:rPr>
                <w:rFonts w:cs="Arial"/>
                <w:b/>
                <w:sz w:val="22"/>
                <w:szCs w:val="22"/>
              </w:rPr>
            </w:pPr>
            <w:r w:rsidRPr="000A455E">
              <w:rPr>
                <w:rFonts w:cs="Arial"/>
                <w:b/>
                <w:sz w:val="22"/>
                <w:szCs w:val="22"/>
              </w:rPr>
              <w:t>Star survey 2015 results – Overall satisfaction with the repairs service broken down by protected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35"/>
              <w:gridCol w:w="1080"/>
              <w:gridCol w:w="1440"/>
              <w:gridCol w:w="1260"/>
            </w:tblGrid>
            <w:tr w:rsidR="00636852" w:rsidRPr="000A455E" w:rsidTr="00B6517E">
              <w:tblPrEx>
                <w:tblCellMar>
                  <w:top w:w="0" w:type="dxa"/>
                  <w:bottom w:w="0" w:type="dxa"/>
                </w:tblCellMar>
              </w:tblPrEx>
              <w:trPr>
                <w:trHeight w:val="290"/>
              </w:trPr>
              <w:tc>
                <w:tcPr>
                  <w:tcW w:w="1435" w:type="dxa"/>
                </w:tcPr>
                <w:p w:rsidR="00636852" w:rsidRPr="000A455E" w:rsidRDefault="00B6517E"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Age</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Satisfied</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0"/>
                      <w:szCs w:val="22"/>
                      <w:lang w:eastAsia="en-GB"/>
                    </w:rPr>
                    <w:t>Total response</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 satisfied</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16 - 24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13</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62%</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25 - 34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29</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40</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73%</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35 - 44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45</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58</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78%</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45 - 54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84</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104</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81%</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55 - 64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98</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112</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88%</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65 to 74</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141</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152</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93%</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75 and over</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156</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168</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93%</w:t>
                  </w:r>
                </w:p>
              </w:tc>
            </w:tr>
          </w:tbl>
          <w:p w:rsidR="000A455E" w:rsidRDefault="000A455E" w:rsidP="00B37E04">
            <w:pPr>
              <w:pStyle w:val="Header"/>
              <w:tabs>
                <w:tab w:val="clear" w:pos="4153"/>
                <w:tab w:val="clear" w:pos="8306"/>
              </w:tabs>
              <w:rPr>
                <w:rFonts w:cs="Arial"/>
                <w:sz w:val="22"/>
                <w:szCs w:val="22"/>
              </w:rPr>
            </w:pPr>
          </w:p>
          <w:p w:rsidR="00636852" w:rsidRPr="000A455E" w:rsidRDefault="007602C4" w:rsidP="00B37E04">
            <w:pPr>
              <w:pStyle w:val="Header"/>
              <w:tabs>
                <w:tab w:val="clear" w:pos="4153"/>
                <w:tab w:val="clear" w:pos="8306"/>
              </w:tabs>
              <w:rPr>
                <w:rFonts w:cs="Arial"/>
                <w:sz w:val="22"/>
                <w:szCs w:val="22"/>
              </w:rPr>
            </w:pPr>
            <w:r w:rsidRPr="000A455E">
              <w:rPr>
                <w:rFonts w:cs="Arial"/>
                <w:sz w:val="22"/>
                <w:szCs w:val="22"/>
              </w:rPr>
              <w:t xml:space="preserve">Residents aged 44 and below seem less satisfied than older residents, however residents aged 44 and below make up a lower sample group. </w:t>
            </w:r>
          </w:p>
          <w:p w:rsidR="002160E8" w:rsidRPr="000A455E" w:rsidRDefault="002160E8" w:rsidP="00B37E04">
            <w:pPr>
              <w:pStyle w:val="Header"/>
              <w:tabs>
                <w:tab w:val="clear" w:pos="4153"/>
                <w:tab w:val="clear" w:pos="8306"/>
              </w:tabs>
              <w:rPr>
                <w:rFonts w:cs="Arial"/>
                <w:sz w:val="22"/>
                <w:szCs w:val="22"/>
              </w:rPr>
            </w:pPr>
          </w:p>
          <w:p w:rsidR="002160E8" w:rsidRPr="000A455E" w:rsidRDefault="002160E8" w:rsidP="00B37E04">
            <w:pPr>
              <w:pStyle w:val="Header"/>
              <w:tabs>
                <w:tab w:val="clear" w:pos="4153"/>
                <w:tab w:val="clear" w:pos="8306"/>
              </w:tabs>
              <w:rPr>
                <w:rFonts w:cs="Arial"/>
                <w:sz w:val="22"/>
                <w:szCs w:val="22"/>
              </w:rPr>
            </w:pPr>
            <w:r w:rsidRPr="000A455E">
              <w:rPr>
                <w:rFonts w:cs="Arial"/>
                <w:sz w:val="22"/>
                <w:szCs w:val="22"/>
              </w:rPr>
              <w:lastRenderedPageBreak/>
              <w:t xml:space="preserve">Of the 29 people </w:t>
            </w:r>
            <w:r w:rsidR="000A455E">
              <w:rPr>
                <w:rFonts w:cs="Arial"/>
                <w:sz w:val="22"/>
                <w:szCs w:val="22"/>
              </w:rPr>
              <w:t xml:space="preserve">aged 44 and below </w:t>
            </w:r>
            <w:r w:rsidRPr="000A455E">
              <w:rPr>
                <w:rFonts w:cs="Arial"/>
                <w:sz w:val="22"/>
                <w:szCs w:val="22"/>
              </w:rPr>
              <w:t xml:space="preserve">that were not satisfied with the overall repairs service, </w:t>
            </w:r>
            <w:r w:rsidR="00980C6C">
              <w:rPr>
                <w:rFonts w:cs="Arial"/>
                <w:sz w:val="22"/>
                <w:szCs w:val="22"/>
              </w:rPr>
              <w:t xml:space="preserve">22 stated they </w:t>
            </w:r>
            <w:r w:rsidR="00980C6C" w:rsidRPr="000A455E">
              <w:rPr>
                <w:rFonts w:cs="Arial"/>
                <w:sz w:val="22"/>
                <w:szCs w:val="22"/>
              </w:rPr>
              <w:t xml:space="preserve">had a repair completed in the past 12 months </w:t>
            </w:r>
            <w:r w:rsidR="00980C6C">
              <w:rPr>
                <w:rFonts w:cs="Arial"/>
                <w:sz w:val="22"/>
                <w:szCs w:val="22"/>
              </w:rPr>
              <w:t>and 72</w:t>
            </w:r>
            <w:r w:rsidR="000A455E" w:rsidRPr="000A455E">
              <w:rPr>
                <w:rFonts w:cs="Arial"/>
                <w:sz w:val="22"/>
                <w:szCs w:val="22"/>
              </w:rPr>
              <w:t>% (</w:t>
            </w:r>
            <w:r w:rsidR="000A455E">
              <w:rPr>
                <w:rFonts w:cs="Arial"/>
                <w:sz w:val="22"/>
                <w:szCs w:val="22"/>
              </w:rPr>
              <w:t>16</w:t>
            </w:r>
            <w:r w:rsidR="000A455E" w:rsidRPr="000A455E">
              <w:rPr>
                <w:rFonts w:cs="Arial"/>
                <w:sz w:val="22"/>
                <w:szCs w:val="22"/>
              </w:rPr>
              <w:t>/2</w:t>
            </w:r>
            <w:r w:rsidR="000A455E">
              <w:rPr>
                <w:rFonts w:cs="Arial"/>
                <w:sz w:val="22"/>
                <w:szCs w:val="22"/>
              </w:rPr>
              <w:t>2</w:t>
            </w:r>
            <w:r w:rsidR="000A455E" w:rsidRPr="000A455E">
              <w:rPr>
                <w:rFonts w:cs="Arial"/>
                <w:sz w:val="22"/>
                <w:szCs w:val="22"/>
              </w:rPr>
              <w:t xml:space="preserve">) </w:t>
            </w:r>
            <w:r w:rsidR="000A455E">
              <w:rPr>
                <w:rFonts w:cs="Arial"/>
                <w:sz w:val="22"/>
                <w:szCs w:val="22"/>
              </w:rPr>
              <w:t xml:space="preserve">of those </w:t>
            </w:r>
            <w:r w:rsidRPr="000A455E">
              <w:rPr>
                <w:rFonts w:cs="Arial"/>
                <w:sz w:val="22"/>
                <w:szCs w:val="22"/>
              </w:rPr>
              <w:t xml:space="preserve">were actually satisfied with the </w:t>
            </w:r>
            <w:r w:rsidR="00980C6C">
              <w:rPr>
                <w:rFonts w:cs="Arial"/>
                <w:sz w:val="22"/>
                <w:szCs w:val="22"/>
              </w:rPr>
              <w:t>service received</w:t>
            </w:r>
            <w:r w:rsidRPr="000A455E">
              <w:rPr>
                <w:rFonts w:cs="Arial"/>
                <w:sz w:val="22"/>
                <w:szCs w:val="22"/>
              </w:rPr>
              <w:t xml:space="preserve">. </w:t>
            </w:r>
          </w:p>
          <w:p w:rsidR="007602C4" w:rsidRPr="000A455E" w:rsidRDefault="007602C4" w:rsidP="00B37E04">
            <w:pPr>
              <w:pStyle w:val="Header"/>
              <w:tabs>
                <w:tab w:val="clear" w:pos="4153"/>
                <w:tab w:val="clear" w:pos="8306"/>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35"/>
              <w:gridCol w:w="1080"/>
              <w:gridCol w:w="1440"/>
              <w:gridCol w:w="1260"/>
            </w:tblGrid>
            <w:tr w:rsidR="00636852" w:rsidRPr="000A455E" w:rsidTr="00B6517E">
              <w:tblPrEx>
                <w:tblCellMar>
                  <w:top w:w="0" w:type="dxa"/>
                  <w:bottom w:w="0" w:type="dxa"/>
                </w:tblCellMar>
              </w:tblPrEx>
              <w:trPr>
                <w:trHeight w:val="290"/>
              </w:trPr>
              <w:tc>
                <w:tcPr>
                  <w:tcW w:w="1435" w:type="dxa"/>
                </w:tcPr>
                <w:p w:rsidR="00636852" w:rsidRPr="000A455E" w:rsidRDefault="00B6517E"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Sex</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Satisfied</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980C6C">
                    <w:rPr>
                      <w:rFonts w:cs="Arial"/>
                      <w:color w:val="000000"/>
                      <w:sz w:val="20"/>
                      <w:szCs w:val="22"/>
                      <w:lang w:eastAsia="en-GB"/>
                    </w:rPr>
                    <w:t>Total response</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 satisfied</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Female</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359</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413</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87%</w:t>
                  </w:r>
                </w:p>
              </w:tc>
            </w:tr>
            <w:tr w:rsidR="00636852" w:rsidRPr="000A455E" w:rsidTr="00B6517E">
              <w:tblPrEx>
                <w:tblCellMar>
                  <w:top w:w="0" w:type="dxa"/>
                  <w:bottom w:w="0" w:type="dxa"/>
                </w:tblCellMar>
              </w:tblPrEx>
              <w:trPr>
                <w:trHeight w:val="290"/>
              </w:trPr>
              <w:tc>
                <w:tcPr>
                  <w:tcW w:w="1435"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Male</w:t>
                  </w:r>
                </w:p>
              </w:tc>
              <w:tc>
                <w:tcPr>
                  <w:tcW w:w="108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204</w:t>
                  </w:r>
                </w:p>
              </w:tc>
              <w:tc>
                <w:tcPr>
                  <w:tcW w:w="144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239</w:t>
                  </w:r>
                </w:p>
              </w:tc>
              <w:tc>
                <w:tcPr>
                  <w:tcW w:w="1260" w:type="dxa"/>
                </w:tcPr>
                <w:p w:rsidR="00636852" w:rsidRPr="000A455E" w:rsidRDefault="00636852" w:rsidP="00B6517E">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85%</w:t>
                  </w:r>
                </w:p>
              </w:tc>
            </w:tr>
          </w:tbl>
          <w:p w:rsidR="00B37E04" w:rsidRPr="000A455E" w:rsidRDefault="007602C4">
            <w:pPr>
              <w:pStyle w:val="Header"/>
              <w:tabs>
                <w:tab w:val="clear" w:pos="4153"/>
                <w:tab w:val="clear" w:pos="8306"/>
              </w:tabs>
              <w:rPr>
                <w:rFonts w:cs="Arial"/>
                <w:sz w:val="22"/>
                <w:szCs w:val="22"/>
              </w:rPr>
            </w:pPr>
            <w:r w:rsidRPr="000A455E">
              <w:rPr>
                <w:rFonts w:cs="Arial"/>
                <w:sz w:val="22"/>
                <w:szCs w:val="22"/>
              </w:rPr>
              <w:t xml:space="preserve">No significant difference </w:t>
            </w:r>
            <w:r w:rsidR="00980C6C">
              <w:rPr>
                <w:rFonts w:cs="Arial"/>
                <w:sz w:val="22"/>
                <w:szCs w:val="22"/>
              </w:rPr>
              <w:t xml:space="preserve">in </w:t>
            </w:r>
            <w:r w:rsidRPr="000A455E">
              <w:rPr>
                <w:rFonts w:cs="Arial"/>
                <w:sz w:val="22"/>
                <w:szCs w:val="22"/>
              </w:rPr>
              <w:t>satisfaction levels</w:t>
            </w:r>
            <w:r w:rsidR="00980C6C">
              <w:rPr>
                <w:rFonts w:cs="Arial"/>
                <w:sz w:val="22"/>
                <w:szCs w:val="22"/>
              </w:rPr>
              <w:t xml:space="preserve"> between sex</w:t>
            </w:r>
          </w:p>
          <w:p w:rsidR="007602C4" w:rsidRPr="000A455E" w:rsidRDefault="007602C4">
            <w:pPr>
              <w:pStyle w:val="Header"/>
              <w:tabs>
                <w:tab w:val="clear" w:pos="4153"/>
                <w:tab w:val="clear" w:pos="8306"/>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07"/>
              <w:gridCol w:w="1008"/>
              <w:gridCol w:w="1440"/>
              <w:gridCol w:w="1260"/>
            </w:tblGrid>
            <w:tr w:rsidR="00E45213" w:rsidRPr="000A455E" w:rsidTr="00980C6C">
              <w:tblPrEx>
                <w:tblCellMar>
                  <w:top w:w="0" w:type="dxa"/>
                  <w:bottom w:w="0" w:type="dxa"/>
                </w:tblCellMar>
              </w:tblPrEx>
              <w:trPr>
                <w:trHeight w:val="290"/>
              </w:trPr>
              <w:tc>
                <w:tcPr>
                  <w:tcW w:w="1507" w:type="dxa"/>
                </w:tcPr>
                <w:p w:rsidR="00E45213" w:rsidRPr="000A455E" w:rsidRDefault="00B6517E"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Disability</w:t>
                  </w:r>
                </w:p>
              </w:tc>
              <w:tc>
                <w:tcPr>
                  <w:tcW w:w="1008"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Satisfied</w:t>
                  </w:r>
                </w:p>
              </w:tc>
              <w:tc>
                <w:tcPr>
                  <w:tcW w:w="1440" w:type="dxa"/>
                </w:tcPr>
                <w:p w:rsidR="00E45213" w:rsidRPr="000A455E" w:rsidRDefault="00E45213" w:rsidP="00980C6C">
                  <w:pPr>
                    <w:autoSpaceDE w:val="0"/>
                    <w:autoSpaceDN w:val="0"/>
                    <w:adjustRightInd w:val="0"/>
                    <w:jc w:val="right"/>
                    <w:rPr>
                      <w:rFonts w:cs="Arial"/>
                      <w:color w:val="000000"/>
                      <w:sz w:val="22"/>
                      <w:szCs w:val="22"/>
                      <w:lang w:eastAsia="en-GB"/>
                    </w:rPr>
                  </w:pPr>
                  <w:r w:rsidRPr="00980C6C">
                    <w:rPr>
                      <w:rFonts w:cs="Arial"/>
                      <w:color w:val="000000"/>
                      <w:sz w:val="20"/>
                      <w:szCs w:val="22"/>
                      <w:lang w:eastAsia="en-GB"/>
                    </w:rPr>
                    <w:t>Total response</w:t>
                  </w:r>
                </w:p>
              </w:tc>
              <w:tc>
                <w:tcPr>
                  <w:tcW w:w="1260"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 satisfied</w:t>
                  </w:r>
                </w:p>
              </w:tc>
            </w:tr>
            <w:tr w:rsidR="00E45213" w:rsidRPr="000A455E" w:rsidTr="00980C6C">
              <w:tblPrEx>
                <w:tblCellMar>
                  <w:top w:w="0" w:type="dxa"/>
                  <w:bottom w:w="0" w:type="dxa"/>
                </w:tblCellMar>
              </w:tblPrEx>
              <w:trPr>
                <w:trHeight w:val="290"/>
              </w:trPr>
              <w:tc>
                <w:tcPr>
                  <w:tcW w:w="1507"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No - disability</w:t>
                  </w:r>
                </w:p>
              </w:tc>
              <w:tc>
                <w:tcPr>
                  <w:tcW w:w="1008"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174</w:t>
                  </w:r>
                </w:p>
              </w:tc>
              <w:tc>
                <w:tcPr>
                  <w:tcW w:w="1440"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202</w:t>
                  </w:r>
                </w:p>
              </w:tc>
              <w:tc>
                <w:tcPr>
                  <w:tcW w:w="1260"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86%</w:t>
                  </w:r>
                </w:p>
              </w:tc>
            </w:tr>
            <w:tr w:rsidR="00E45213" w:rsidRPr="000A455E" w:rsidTr="00980C6C">
              <w:tblPrEx>
                <w:tblCellMar>
                  <w:top w:w="0" w:type="dxa"/>
                  <w:bottom w:w="0" w:type="dxa"/>
                </w:tblCellMar>
              </w:tblPrEx>
              <w:trPr>
                <w:trHeight w:val="290"/>
              </w:trPr>
              <w:tc>
                <w:tcPr>
                  <w:tcW w:w="1507"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Yes - disability</w:t>
                  </w:r>
                </w:p>
              </w:tc>
              <w:tc>
                <w:tcPr>
                  <w:tcW w:w="1008"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354</w:t>
                  </w:r>
                </w:p>
              </w:tc>
              <w:tc>
                <w:tcPr>
                  <w:tcW w:w="1440"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410</w:t>
                  </w:r>
                </w:p>
              </w:tc>
              <w:tc>
                <w:tcPr>
                  <w:tcW w:w="1260" w:type="dxa"/>
                </w:tcPr>
                <w:p w:rsidR="00E45213" w:rsidRPr="000A455E" w:rsidRDefault="00E45213" w:rsidP="00980C6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86%</w:t>
                  </w:r>
                </w:p>
              </w:tc>
            </w:tr>
          </w:tbl>
          <w:p w:rsidR="00980C6C" w:rsidRPr="000A455E" w:rsidRDefault="00D3231D" w:rsidP="00980C6C">
            <w:pPr>
              <w:pStyle w:val="Header"/>
              <w:tabs>
                <w:tab w:val="clear" w:pos="4153"/>
                <w:tab w:val="clear" w:pos="8306"/>
              </w:tabs>
              <w:rPr>
                <w:rFonts w:cs="Arial"/>
                <w:sz w:val="22"/>
                <w:szCs w:val="22"/>
              </w:rPr>
            </w:pPr>
            <w:r w:rsidRPr="000A455E">
              <w:rPr>
                <w:rFonts w:cs="Arial"/>
                <w:sz w:val="22"/>
                <w:szCs w:val="22"/>
              </w:rPr>
              <w:t xml:space="preserve">No significant </w:t>
            </w:r>
            <w:r w:rsidR="00980C6C" w:rsidRPr="000A455E">
              <w:rPr>
                <w:rFonts w:cs="Arial"/>
                <w:sz w:val="22"/>
                <w:szCs w:val="22"/>
              </w:rPr>
              <w:t xml:space="preserve">difference </w:t>
            </w:r>
            <w:r w:rsidR="00980C6C">
              <w:rPr>
                <w:rFonts w:cs="Arial"/>
                <w:sz w:val="22"/>
                <w:szCs w:val="22"/>
              </w:rPr>
              <w:t xml:space="preserve">in </w:t>
            </w:r>
            <w:r w:rsidR="00980C6C" w:rsidRPr="000A455E">
              <w:rPr>
                <w:rFonts w:cs="Arial"/>
                <w:sz w:val="22"/>
                <w:szCs w:val="22"/>
              </w:rPr>
              <w:t>satisfaction levels</w:t>
            </w:r>
            <w:r w:rsidR="00980C6C">
              <w:rPr>
                <w:rFonts w:cs="Arial"/>
                <w:sz w:val="22"/>
                <w:szCs w:val="22"/>
              </w:rPr>
              <w:t xml:space="preserve"> between those with or without disabilities</w:t>
            </w:r>
          </w:p>
          <w:p w:rsidR="00980C6C" w:rsidRPr="000A455E" w:rsidRDefault="00980C6C" w:rsidP="00980C6C">
            <w:pPr>
              <w:pStyle w:val="Header"/>
              <w:tabs>
                <w:tab w:val="clear" w:pos="4153"/>
                <w:tab w:val="clear" w:pos="8306"/>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911"/>
              <w:gridCol w:w="1470"/>
              <w:gridCol w:w="1214"/>
            </w:tblGrid>
            <w:tr w:rsidR="006B25A2" w:rsidRPr="000A455E" w:rsidTr="006B25A2">
              <w:tblPrEx>
                <w:tblCellMar>
                  <w:top w:w="0" w:type="dxa"/>
                  <w:bottom w:w="0" w:type="dxa"/>
                </w:tblCellMar>
              </w:tblPrEx>
              <w:trPr>
                <w:trHeight w:val="290"/>
              </w:trPr>
              <w:tc>
                <w:tcPr>
                  <w:tcW w:w="3060" w:type="dxa"/>
                </w:tcPr>
                <w:p w:rsidR="007949FC" w:rsidRPr="000A455E" w:rsidRDefault="007602C4" w:rsidP="00D53F81">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Ethnicity</w:t>
                  </w:r>
                </w:p>
              </w:tc>
              <w:tc>
                <w:tcPr>
                  <w:tcW w:w="911" w:type="dxa"/>
                </w:tcPr>
                <w:p w:rsidR="007949FC" w:rsidRPr="000A455E" w:rsidRDefault="007949FC" w:rsidP="00D53F81">
                  <w:pPr>
                    <w:autoSpaceDE w:val="0"/>
                    <w:autoSpaceDN w:val="0"/>
                    <w:adjustRightInd w:val="0"/>
                    <w:rPr>
                      <w:rFonts w:cs="Arial"/>
                      <w:color w:val="000000"/>
                      <w:sz w:val="22"/>
                      <w:szCs w:val="22"/>
                      <w:lang w:eastAsia="en-GB"/>
                    </w:rPr>
                  </w:pPr>
                  <w:r w:rsidRPr="000A455E">
                    <w:rPr>
                      <w:rFonts w:cs="Arial"/>
                      <w:color w:val="000000"/>
                      <w:sz w:val="22"/>
                      <w:szCs w:val="22"/>
                      <w:lang w:eastAsia="en-GB"/>
                    </w:rPr>
                    <w:t>Satisfied</w:t>
                  </w:r>
                </w:p>
              </w:tc>
              <w:tc>
                <w:tcPr>
                  <w:tcW w:w="1470" w:type="dxa"/>
                </w:tcPr>
                <w:p w:rsidR="007949FC" w:rsidRPr="000A455E" w:rsidRDefault="007949FC" w:rsidP="007949FC">
                  <w:pPr>
                    <w:autoSpaceDE w:val="0"/>
                    <w:autoSpaceDN w:val="0"/>
                    <w:adjustRightInd w:val="0"/>
                    <w:jc w:val="right"/>
                    <w:rPr>
                      <w:rFonts w:cs="Arial"/>
                      <w:color w:val="000000"/>
                      <w:sz w:val="22"/>
                      <w:szCs w:val="22"/>
                      <w:lang w:eastAsia="en-GB"/>
                    </w:rPr>
                  </w:pPr>
                  <w:r w:rsidRPr="006B25A2">
                    <w:rPr>
                      <w:rFonts w:cs="Arial"/>
                      <w:color w:val="000000"/>
                      <w:sz w:val="20"/>
                      <w:szCs w:val="22"/>
                      <w:lang w:eastAsia="en-GB"/>
                    </w:rPr>
                    <w:t>Total response</w:t>
                  </w:r>
                </w:p>
              </w:tc>
              <w:tc>
                <w:tcPr>
                  <w:tcW w:w="1214" w:type="dxa"/>
                </w:tcPr>
                <w:p w:rsidR="007949FC" w:rsidRPr="000A455E" w:rsidRDefault="007949FC" w:rsidP="007949FC">
                  <w:pPr>
                    <w:autoSpaceDE w:val="0"/>
                    <w:autoSpaceDN w:val="0"/>
                    <w:adjustRightInd w:val="0"/>
                    <w:jc w:val="right"/>
                    <w:rPr>
                      <w:rFonts w:cs="Arial"/>
                      <w:color w:val="000000"/>
                      <w:sz w:val="22"/>
                      <w:szCs w:val="22"/>
                      <w:lang w:eastAsia="en-GB"/>
                    </w:rPr>
                  </w:pPr>
                  <w:r w:rsidRPr="000A455E">
                    <w:rPr>
                      <w:rFonts w:cs="Arial"/>
                      <w:color w:val="000000"/>
                      <w:sz w:val="22"/>
                      <w:szCs w:val="22"/>
                      <w:lang w:eastAsia="en-GB"/>
                    </w:rPr>
                    <w:t>% satisfied</w:t>
                  </w:r>
                </w:p>
              </w:tc>
            </w:tr>
            <w:tr w:rsidR="007602C4" w:rsidRPr="000A455E" w:rsidTr="006B25A2">
              <w:tblPrEx>
                <w:tblCellMar>
                  <w:top w:w="0" w:type="dxa"/>
                  <w:left w:w="108" w:type="dxa"/>
                  <w:bottom w:w="0" w:type="dxa"/>
                  <w:right w:w="108" w:type="dxa"/>
                </w:tblCellMar>
                <w:tblLook w:val="04A0" w:firstRow="1" w:lastRow="0" w:firstColumn="1" w:lastColumn="0" w:noHBand="0" w:noVBand="1"/>
              </w:tblPrEx>
              <w:trPr>
                <w:trHeight w:val="300"/>
              </w:trPr>
              <w:tc>
                <w:tcPr>
                  <w:tcW w:w="3060" w:type="dxa"/>
                  <w:shd w:val="clear" w:color="auto" w:fill="auto"/>
                  <w:noWrap/>
                  <w:vAlign w:val="bottom"/>
                  <w:hideMark/>
                </w:tcPr>
                <w:p w:rsidR="007949FC" w:rsidRPr="007949FC" w:rsidRDefault="007949FC" w:rsidP="007949FC">
                  <w:pPr>
                    <w:rPr>
                      <w:rFonts w:cs="Arial"/>
                      <w:color w:val="000000"/>
                      <w:sz w:val="22"/>
                      <w:szCs w:val="22"/>
                      <w:lang w:eastAsia="en-GB"/>
                    </w:rPr>
                  </w:pPr>
                  <w:r w:rsidRPr="007949FC">
                    <w:rPr>
                      <w:rFonts w:cs="Arial"/>
                      <w:color w:val="000000"/>
                      <w:sz w:val="20"/>
                      <w:szCs w:val="22"/>
                      <w:lang w:eastAsia="en-GB"/>
                    </w:rPr>
                    <w:t>White - English/ Welsh/ Scottish/ Northern Irish/ British</w:t>
                  </w:r>
                </w:p>
              </w:tc>
              <w:tc>
                <w:tcPr>
                  <w:tcW w:w="911"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522</w:t>
                  </w:r>
                </w:p>
              </w:tc>
              <w:tc>
                <w:tcPr>
                  <w:tcW w:w="1470"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604</w:t>
                  </w:r>
                </w:p>
              </w:tc>
              <w:tc>
                <w:tcPr>
                  <w:tcW w:w="1214"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86%</w:t>
                  </w:r>
                </w:p>
              </w:tc>
            </w:tr>
            <w:tr w:rsidR="007602C4" w:rsidRPr="000A455E" w:rsidTr="006B25A2">
              <w:tblPrEx>
                <w:tblCellMar>
                  <w:top w:w="0" w:type="dxa"/>
                  <w:left w:w="108" w:type="dxa"/>
                  <w:bottom w:w="0" w:type="dxa"/>
                  <w:right w:w="108" w:type="dxa"/>
                </w:tblCellMar>
                <w:tblLook w:val="04A0" w:firstRow="1" w:lastRow="0" w:firstColumn="1" w:lastColumn="0" w:noHBand="0" w:noVBand="1"/>
              </w:tblPrEx>
              <w:trPr>
                <w:trHeight w:val="300"/>
              </w:trPr>
              <w:tc>
                <w:tcPr>
                  <w:tcW w:w="3060" w:type="dxa"/>
                  <w:shd w:val="clear" w:color="auto" w:fill="auto"/>
                  <w:noWrap/>
                  <w:vAlign w:val="bottom"/>
                  <w:hideMark/>
                </w:tcPr>
                <w:p w:rsidR="007949FC" w:rsidRPr="007949FC" w:rsidRDefault="007949FC" w:rsidP="007949FC">
                  <w:pPr>
                    <w:rPr>
                      <w:rFonts w:cs="Arial"/>
                      <w:color w:val="000000"/>
                      <w:sz w:val="22"/>
                      <w:szCs w:val="22"/>
                      <w:lang w:eastAsia="en-GB"/>
                    </w:rPr>
                  </w:pPr>
                  <w:r w:rsidRPr="007949FC">
                    <w:rPr>
                      <w:rFonts w:cs="Arial"/>
                      <w:color w:val="000000"/>
                      <w:sz w:val="22"/>
                      <w:szCs w:val="22"/>
                      <w:lang w:eastAsia="en-GB"/>
                    </w:rPr>
                    <w:t>Minority Ethnic</w:t>
                  </w:r>
                </w:p>
              </w:tc>
              <w:tc>
                <w:tcPr>
                  <w:tcW w:w="911"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30</w:t>
                  </w:r>
                </w:p>
              </w:tc>
              <w:tc>
                <w:tcPr>
                  <w:tcW w:w="1470"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37</w:t>
                  </w:r>
                </w:p>
              </w:tc>
              <w:tc>
                <w:tcPr>
                  <w:tcW w:w="1214" w:type="dxa"/>
                  <w:shd w:val="clear" w:color="auto" w:fill="auto"/>
                  <w:noWrap/>
                  <w:vAlign w:val="bottom"/>
                  <w:hideMark/>
                </w:tcPr>
                <w:p w:rsidR="007949FC" w:rsidRPr="007949FC" w:rsidRDefault="007949FC" w:rsidP="007949FC">
                  <w:pPr>
                    <w:jc w:val="right"/>
                    <w:rPr>
                      <w:rFonts w:cs="Arial"/>
                      <w:color w:val="000000"/>
                      <w:sz w:val="22"/>
                      <w:szCs w:val="22"/>
                      <w:lang w:eastAsia="en-GB"/>
                    </w:rPr>
                  </w:pPr>
                  <w:r w:rsidRPr="007949FC">
                    <w:rPr>
                      <w:rFonts w:cs="Arial"/>
                      <w:color w:val="000000"/>
                      <w:sz w:val="22"/>
                      <w:szCs w:val="22"/>
                      <w:lang w:eastAsia="en-GB"/>
                    </w:rPr>
                    <w:t>81%</w:t>
                  </w:r>
                </w:p>
              </w:tc>
            </w:tr>
          </w:tbl>
          <w:p w:rsidR="007949FC" w:rsidRPr="000A455E" w:rsidRDefault="007949FC">
            <w:pPr>
              <w:pStyle w:val="Header"/>
              <w:tabs>
                <w:tab w:val="clear" w:pos="4153"/>
                <w:tab w:val="clear" w:pos="8306"/>
              </w:tabs>
              <w:rPr>
                <w:rFonts w:cs="Arial"/>
                <w:sz w:val="22"/>
                <w:szCs w:val="22"/>
              </w:rPr>
            </w:pPr>
          </w:p>
          <w:p w:rsidR="00D3231D" w:rsidRPr="000A455E" w:rsidRDefault="00D3231D" w:rsidP="00D3231D">
            <w:pPr>
              <w:pStyle w:val="Header"/>
              <w:tabs>
                <w:tab w:val="clear" w:pos="4153"/>
                <w:tab w:val="clear" w:pos="8306"/>
              </w:tabs>
              <w:rPr>
                <w:rFonts w:cs="Arial"/>
                <w:sz w:val="22"/>
                <w:szCs w:val="22"/>
              </w:rPr>
            </w:pPr>
            <w:r w:rsidRPr="000A455E">
              <w:rPr>
                <w:rFonts w:cs="Arial"/>
                <w:sz w:val="22"/>
                <w:szCs w:val="22"/>
              </w:rPr>
              <w:t xml:space="preserve">White British residents seem more satisfied than minority ethnic residents; however minority ethnic residents make up a significantly lower sample group. </w:t>
            </w:r>
          </w:p>
          <w:p w:rsidR="00D3231D" w:rsidRPr="000A455E" w:rsidRDefault="006B25A2">
            <w:pPr>
              <w:pStyle w:val="Header"/>
              <w:tabs>
                <w:tab w:val="clear" w:pos="4153"/>
                <w:tab w:val="clear" w:pos="8306"/>
              </w:tabs>
              <w:rPr>
                <w:rFonts w:cs="Arial"/>
                <w:sz w:val="22"/>
                <w:szCs w:val="22"/>
              </w:rPr>
            </w:pPr>
            <w:r>
              <w:rPr>
                <w:rFonts w:cs="Arial"/>
                <w:sz w:val="22"/>
                <w:szCs w:val="22"/>
              </w:rPr>
              <w:t>M</w:t>
            </w:r>
            <w:r w:rsidRPr="000A455E">
              <w:rPr>
                <w:rFonts w:cs="Arial"/>
                <w:sz w:val="22"/>
                <w:szCs w:val="22"/>
              </w:rPr>
              <w:t xml:space="preserve">inority ethnic groups </w:t>
            </w:r>
            <w:r>
              <w:rPr>
                <w:rFonts w:cs="Arial"/>
                <w:sz w:val="22"/>
                <w:szCs w:val="22"/>
              </w:rPr>
              <w:t xml:space="preserve">have a </w:t>
            </w:r>
            <w:r w:rsidR="00D3231D" w:rsidRPr="000A455E">
              <w:rPr>
                <w:rFonts w:cs="Arial"/>
                <w:sz w:val="22"/>
                <w:szCs w:val="22"/>
              </w:rPr>
              <w:t xml:space="preserve">81% satisfaction </w:t>
            </w:r>
            <w:r>
              <w:rPr>
                <w:rFonts w:cs="Arial"/>
                <w:sz w:val="22"/>
                <w:szCs w:val="22"/>
              </w:rPr>
              <w:t>rate with the service which is still</w:t>
            </w:r>
            <w:r w:rsidR="00D3231D" w:rsidRPr="000A455E">
              <w:rPr>
                <w:rFonts w:cs="Arial"/>
                <w:sz w:val="22"/>
                <w:szCs w:val="22"/>
              </w:rPr>
              <w:t xml:space="preserve"> relatively high, if this drops in the 2017 Star survey this may need to be reviewed.</w:t>
            </w:r>
          </w:p>
          <w:p w:rsidR="007949FC" w:rsidRPr="000A455E" w:rsidRDefault="007949FC">
            <w:pPr>
              <w:pStyle w:val="Header"/>
              <w:tabs>
                <w:tab w:val="clear" w:pos="4153"/>
                <w:tab w:val="clear" w:pos="8306"/>
              </w:tabs>
              <w:rPr>
                <w:rFonts w:cs="Arial"/>
                <w:sz w:val="22"/>
                <w:szCs w:val="22"/>
              </w:rPr>
            </w:pPr>
          </w:p>
          <w:p w:rsidR="00A103AB" w:rsidRPr="000A455E" w:rsidRDefault="00E36D0F" w:rsidP="008D3AF2">
            <w:pPr>
              <w:pStyle w:val="Header"/>
              <w:tabs>
                <w:tab w:val="clear" w:pos="4153"/>
                <w:tab w:val="clear" w:pos="8306"/>
              </w:tabs>
              <w:rPr>
                <w:rFonts w:cs="Arial"/>
                <w:sz w:val="22"/>
                <w:szCs w:val="22"/>
              </w:rPr>
            </w:pPr>
            <w:r w:rsidRPr="000A455E">
              <w:rPr>
                <w:rFonts w:cs="Arial"/>
                <w:sz w:val="22"/>
                <w:szCs w:val="22"/>
              </w:rPr>
              <w:t xml:space="preserve">It is intended that the </w:t>
            </w:r>
            <w:r w:rsidR="00A103AB" w:rsidRPr="000A455E">
              <w:rPr>
                <w:rFonts w:cs="Arial"/>
                <w:sz w:val="22"/>
                <w:szCs w:val="22"/>
              </w:rPr>
              <w:t>policy</w:t>
            </w:r>
            <w:r w:rsidRPr="000A455E">
              <w:rPr>
                <w:rFonts w:cs="Arial"/>
                <w:sz w:val="22"/>
                <w:szCs w:val="22"/>
              </w:rPr>
              <w:t xml:space="preserve"> will </w:t>
            </w:r>
            <w:r w:rsidR="00A103AB" w:rsidRPr="000A455E">
              <w:rPr>
                <w:rFonts w:cs="Arial"/>
                <w:sz w:val="22"/>
                <w:szCs w:val="22"/>
              </w:rPr>
              <w:t>appl</w:t>
            </w:r>
            <w:r w:rsidRPr="000A455E">
              <w:rPr>
                <w:rFonts w:cs="Arial"/>
                <w:sz w:val="22"/>
                <w:szCs w:val="22"/>
              </w:rPr>
              <w:t xml:space="preserve">y </w:t>
            </w:r>
            <w:r w:rsidR="00A103AB" w:rsidRPr="000A455E">
              <w:rPr>
                <w:rFonts w:cs="Arial"/>
                <w:sz w:val="22"/>
                <w:szCs w:val="22"/>
              </w:rPr>
              <w:t>to all tenure and occupancy types and Medway Council staff involved in repair duties including contractors and sub contractors used on the Councils behalf.</w:t>
            </w:r>
          </w:p>
          <w:p w:rsidR="004D4385" w:rsidRPr="000A455E" w:rsidRDefault="004D4385">
            <w:pPr>
              <w:pStyle w:val="Header"/>
              <w:tabs>
                <w:tab w:val="clear" w:pos="4153"/>
                <w:tab w:val="clear" w:pos="8306"/>
              </w:tabs>
              <w:rPr>
                <w:rFonts w:cs="Arial"/>
                <w:sz w:val="22"/>
                <w:szCs w:val="22"/>
              </w:rPr>
            </w:pPr>
          </w:p>
          <w:p w:rsidR="004D4385" w:rsidRPr="000A455E" w:rsidRDefault="00A103AB">
            <w:pPr>
              <w:pStyle w:val="Header"/>
              <w:tabs>
                <w:tab w:val="clear" w:pos="4153"/>
                <w:tab w:val="clear" w:pos="8306"/>
              </w:tabs>
              <w:rPr>
                <w:rFonts w:cs="Arial"/>
                <w:sz w:val="22"/>
                <w:szCs w:val="22"/>
              </w:rPr>
            </w:pPr>
            <w:r w:rsidRPr="000A455E">
              <w:rPr>
                <w:rFonts w:cs="Arial"/>
                <w:sz w:val="22"/>
                <w:szCs w:val="22"/>
              </w:rPr>
              <w:t>Housing Services will ensure that customers can report repairs to us using a variety of methods including a free phone telephone number</w:t>
            </w:r>
            <w:r w:rsidR="00E36D0F" w:rsidRPr="000A455E">
              <w:rPr>
                <w:rFonts w:cs="Arial"/>
                <w:sz w:val="22"/>
                <w:szCs w:val="22"/>
              </w:rPr>
              <w:t>, in person to a housing officer, email, and letter or via a scheme support officer</w:t>
            </w:r>
            <w:r w:rsidRPr="000A455E">
              <w:rPr>
                <w:rFonts w:cs="Arial"/>
                <w:sz w:val="22"/>
                <w:szCs w:val="22"/>
              </w:rPr>
              <w:t>.</w:t>
            </w:r>
          </w:p>
          <w:p w:rsidR="004D4385" w:rsidRPr="000A455E" w:rsidRDefault="004D4385">
            <w:pPr>
              <w:pStyle w:val="Header"/>
              <w:tabs>
                <w:tab w:val="clear" w:pos="4153"/>
                <w:tab w:val="clear" w:pos="8306"/>
              </w:tabs>
              <w:rPr>
                <w:rFonts w:cs="Arial"/>
                <w:b/>
                <w:bCs/>
                <w:sz w:val="22"/>
                <w:szCs w:val="22"/>
              </w:rPr>
            </w:pPr>
          </w:p>
          <w:p w:rsidR="00A103AB" w:rsidRPr="000A455E" w:rsidRDefault="00A103AB" w:rsidP="00E36D0F">
            <w:pPr>
              <w:autoSpaceDE w:val="0"/>
              <w:autoSpaceDN w:val="0"/>
              <w:adjustRightInd w:val="0"/>
              <w:jc w:val="both"/>
              <w:rPr>
                <w:rFonts w:cs="Arial"/>
                <w:sz w:val="22"/>
                <w:szCs w:val="22"/>
                <w:lang w:val="en-US"/>
              </w:rPr>
            </w:pPr>
            <w:r w:rsidRPr="000A455E">
              <w:rPr>
                <w:rFonts w:cs="Arial"/>
                <w:sz w:val="22"/>
                <w:szCs w:val="22"/>
                <w:lang w:val="en-US"/>
              </w:rPr>
              <w:t>Housing Services will provide an out of hour’s service for emergency repairs.</w:t>
            </w:r>
          </w:p>
          <w:p w:rsidR="00E36D0F" w:rsidRPr="000A455E" w:rsidRDefault="00E36D0F">
            <w:pPr>
              <w:pStyle w:val="Header"/>
              <w:tabs>
                <w:tab w:val="clear" w:pos="4153"/>
                <w:tab w:val="clear" w:pos="8306"/>
              </w:tabs>
              <w:rPr>
                <w:rFonts w:cs="Arial"/>
                <w:b/>
                <w:bCs/>
                <w:sz w:val="22"/>
                <w:szCs w:val="22"/>
              </w:rPr>
            </w:pPr>
          </w:p>
          <w:p w:rsidR="00A103AB" w:rsidRPr="000A455E" w:rsidRDefault="00A103AB">
            <w:pPr>
              <w:pStyle w:val="Header"/>
              <w:tabs>
                <w:tab w:val="clear" w:pos="4153"/>
                <w:tab w:val="clear" w:pos="8306"/>
              </w:tabs>
              <w:rPr>
                <w:rFonts w:cs="Arial"/>
                <w:sz w:val="22"/>
                <w:szCs w:val="22"/>
              </w:rPr>
            </w:pPr>
            <w:r w:rsidRPr="000A455E">
              <w:rPr>
                <w:rFonts w:cs="Arial"/>
                <w:sz w:val="22"/>
                <w:szCs w:val="22"/>
              </w:rPr>
              <w:t xml:space="preserve">Housing Services will offer a </w:t>
            </w:r>
            <w:r w:rsidR="00C51BBD" w:rsidRPr="000A455E">
              <w:rPr>
                <w:rFonts w:cs="Arial"/>
                <w:sz w:val="22"/>
                <w:szCs w:val="22"/>
              </w:rPr>
              <w:t xml:space="preserve">free </w:t>
            </w:r>
            <w:r w:rsidRPr="000A455E">
              <w:rPr>
                <w:rFonts w:cs="Arial"/>
                <w:sz w:val="22"/>
                <w:szCs w:val="22"/>
              </w:rPr>
              <w:t>handyman service available to customers for a fixed time period and frequency for those that are not in breach of the terms of their tenancy.</w:t>
            </w:r>
            <w:r w:rsidR="00D43B1A" w:rsidRPr="000A455E">
              <w:rPr>
                <w:rFonts w:cs="Arial"/>
                <w:sz w:val="22"/>
                <w:szCs w:val="22"/>
              </w:rPr>
              <w:t xml:space="preserve">  This enables tenants assistance with minor decorations will provide those tenants </w:t>
            </w:r>
          </w:p>
          <w:p w:rsidR="00A103AB" w:rsidRPr="000A455E" w:rsidRDefault="00A103AB">
            <w:pPr>
              <w:pStyle w:val="Header"/>
              <w:tabs>
                <w:tab w:val="clear" w:pos="4153"/>
                <w:tab w:val="clear" w:pos="8306"/>
              </w:tabs>
              <w:rPr>
                <w:rFonts w:cs="Arial"/>
                <w:sz w:val="22"/>
                <w:szCs w:val="22"/>
              </w:rPr>
            </w:pPr>
          </w:p>
          <w:p w:rsidR="00A103AB" w:rsidRDefault="00A103AB" w:rsidP="006A008C">
            <w:pPr>
              <w:pStyle w:val="Header"/>
              <w:tabs>
                <w:tab w:val="clear" w:pos="4153"/>
                <w:tab w:val="clear" w:pos="8306"/>
              </w:tabs>
              <w:rPr>
                <w:b/>
                <w:bCs/>
              </w:rPr>
            </w:pPr>
            <w:r w:rsidRPr="000A455E">
              <w:rPr>
                <w:rFonts w:cs="Arial"/>
                <w:sz w:val="22"/>
                <w:szCs w:val="22"/>
              </w:rPr>
              <w:t xml:space="preserve">Housing Services will </w:t>
            </w:r>
            <w:r w:rsidR="00C51BBD" w:rsidRPr="000A455E">
              <w:rPr>
                <w:rFonts w:cs="Arial"/>
                <w:sz w:val="22"/>
                <w:szCs w:val="22"/>
              </w:rPr>
              <w:t xml:space="preserve">adjust the service </w:t>
            </w:r>
            <w:r w:rsidRPr="000A455E">
              <w:rPr>
                <w:rFonts w:cs="Arial"/>
                <w:sz w:val="22"/>
                <w:szCs w:val="22"/>
              </w:rPr>
              <w:t>to take account of the specific needs of some customers or where extra consideration and support may be needed, therefore our staff will be empowered to deliver an enhanced responsive repairs service for specific vulnerable groups.</w:t>
            </w:r>
            <w:r w:rsidR="00C51BBD" w:rsidRPr="000A455E">
              <w:rPr>
                <w:rFonts w:cs="Arial"/>
                <w:sz w:val="22"/>
                <w:szCs w:val="22"/>
              </w:rPr>
              <w:t xml:space="preserve">  For example Mears will fit light bulbs for elderly residents or residents with mobility issues.</w:t>
            </w:r>
          </w:p>
        </w:tc>
      </w:tr>
      <w:tr w:rsidR="004D4385">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3220E2">
            <w:pPr>
              <w:pStyle w:val="Heading2"/>
              <w:numPr>
                <w:ilvl w:val="0"/>
                <w:numId w:val="24"/>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Pr="006B25A2" w:rsidRDefault="004D4385" w:rsidP="006B25A2">
            <w:pPr>
              <w:pStyle w:val="Header"/>
              <w:numPr>
                <w:ilvl w:val="0"/>
                <w:numId w:val="8"/>
              </w:numPr>
              <w:tabs>
                <w:tab w:val="clear" w:pos="4153"/>
                <w:tab w:val="clear" w:pos="8306"/>
              </w:tabs>
              <w:rPr>
                <w:i/>
                <w:iCs/>
                <w:sz w:val="20"/>
              </w:rPr>
            </w:pPr>
            <w:r>
              <w:rPr>
                <w:i/>
                <w:iCs/>
                <w:sz w:val="20"/>
              </w:rPr>
              <w:t>Foster good relations between people who share a protected characteristic and those who don’t?</w:t>
            </w: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728"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noProof/>
                <w:sz w:val="22"/>
                <w:lang w:val="en-US"/>
              </w:rPr>
            </w:pPr>
            <w:r>
              <w:rPr>
                <w:rFonts w:cs="Arial"/>
                <w:b/>
                <w:bCs/>
                <w:noProof/>
                <w:sz w:val="22"/>
                <w:lang w:val="en-US"/>
              </w:rPr>
              <w:t xml:space="preserve">Age </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A008C">
            <w:pPr>
              <w:jc w:val="center"/>
              <w:rPr>
                <w:rFonts w:cs="Arial"/>
                <w:b/>
                <w:bCs/>
                <w:noProof/>
                <w:lang w:val="en-US"/>
              </w:rPr>
            </w:pPr>
            <w:r w:rsidRPr="006A008C">
              <w:rPr>
                <w:b/>
                <w:bCs/>
                <w:i/>
                <w:iCs/>
                <w:sz w:val="32"/>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noProof/>
                <w:sz w:val="22"/>
                <w:lang w:val="en-US"/>
              </w:rPr>
            </w:pPr>
            <w:r>
              <w:rPr>
                <w:rFonts w:cs="Arial"/>
                <w:b/>
                <w:bCs/>
                <w:noProof/>
                <w:sz w:val="22"/>
                <w:lang w:val="en-US"/>
              </w:rPr>
              <w:t>Disabilty</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A008C">
            <w:pPr>
              <w:jc w:val="center"/>
              <w:rPr>
                <w:rFonts w:cs="Arial"/>
                <w:b/>
                <w:bCs/>
              </w:rPr>
            </w:pPr>
            <w:r w:rsidRPr="006A008C">
              <w:rPr>
                <w:b/>
                <w:bCs/>
                <w:i/>
                <w:iCs/>
                <w:sz w:val="32"/>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6B25A2">
              <w:rPr>
                <w:rFonts w:cs="Arial"/>
                <w:b/>
                <w:bCs/>
                <w:noProof/>
                <w:sz w:val="22"/>
                <w:lang w:val="en-US"/>
              </w:rPr>
              <w:t xml:space="preserve"> </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rPr>
          <w:trHeight w:val="253"/>
        </w:trPr>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6B25A2" w:rsidRDefault="006B25A2">
            <w:pPr>
              <w:rPr>
                <w:rFonts w:cs="Arial"/>
                <w:b/>
                <w:bCs/>
                <w:sz w:val="22"/>
              </w:rPr>
            </w:pPr>
            <w:r>
              <w:rPr>
                <w:rFonts w:cs="Arial"/>
                <w:b/>
                <w:bCs/>
                <w:sz w:val="22"/>
              </w:rPr>
              <w:t>Pregnancy/maternity</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noProof/>
                <w:sz w:val="22"/>
                <w:lang w:val="en-US"/>
              </w:rPr>
            </w:pPr>
            <w:r>
              <w:rPr>
                <w:rFonts w:cs="Arial"/>
                <w:b/>
                <w:bCs/>
                <w:noProof/>
                <w:sz w:val="22"/>
                <w:lang w:val="en-US"/>
              </w:rPr>
              <w:t>Race</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6B25A2" w:rsidRDefault="006B25A2" w:rsidP="006B25A2">
            <w:pPr>
              <w:pStyle w:val="Heading6"/>
              <w:rPr>
                <w:rFonts w:cs="Arial"/>
              </w:rPr>
            </w:pPr>
            <w:r>
              <w:rPr>
                <w:rFonts w:cs="Arial"/>
              </w:rPr>
              <w:t>Religion/belief</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sz w:val="22"/>
              </w:rPr>
            </w:pPr>
            <w:r>
              <w:rPr>
                <w:rFonts w:cs="Arial"/>
                <w:b/>
                <w:bCs/>
                <w:sz w:val="22"/>
              </w:rPr>
              <w:t>Sex</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sz w:val="22"/>
              </w:rPr>
            </w:pPr>
            <w:r>
              <w:rPr>
                <w:rFonts w:cs="Arial"/>
                <w:b/>
                <w:bCs/>
                <w:sz w:val="22"/>
              </w:rPr>
              <w:t>Sexual orientation</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B25A2">
        <w:tblPrEx>
          <w:tblCellMar>
            <w:top w:w="0" w:type="dxa"/>
            <w:bottom w:w="0" w:type="dxa"/>
          </w:tblCellMar>
        </w:tblPrEx>
        <w:tc>
          <w:tcPr>
            <w:tcW w:w="35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6B25A2">
            <w:pPr>
              <w:rPr>
                <w:rFonts w:cs="Arial"/>
                <w:b/>
                <w:bCs/>
                <w:sz w:val="22"/>
              </w:rPr>
            </w:pPr>
            <w:r>
              <w:rPr>
                <w:rFonts w:cs="Arial"/>
                <w:b/>
                <w:bCs/>
                <w:sz w:val="22"/>
              </w:rPr>
              <w:t>Other (eg low income groups)</w:t>
            </w:r>
          </w:p>
        </w:tc>
        <w:tc>
          <w:tcPr>
            <w:tcW w:w="1547"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97AA4">
            <w:pPr>
              <w:jc w:val="center"/>
              <w:rPr>
                <w:rFonts w:cs="Arial"/>
                <w:b/>
                <w:bCs/>
                <w:noProof/>
                <w:lang w:val="en-US"/>
              </w:rPr>
            </w:pPr>
            <w:r w:rsidRPr="006A008C">
              <w:rPr>
                <w:b/>
                <w:bCs/>
                <w:i/>
                <w:iCs/>
                <w:sz w:val="32"/>
              </w:rPr>
              <w:sym w:font="Wingdings" w:char="F0FC"/>
            </w:r>
          </w:p>
        </w:tc>
        <w:tc>
          <w:tcPr>
            <w:tcW w:w="1728"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er"/>
              <w:numPr>
                <w:ilvl w:val="0"/>
                <w:numId w:val="24"/>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773EAA">
        <w:tblPrEx>
          <w:tblCellMar>
            <w:top w:w="0" w:type="dxa"/>
            <w:bottom w:w="0" w:type="dxa"/>
          </w:tblCellMar>
        </w:tblPrEx>
        <w:trPr>
          <w:trHeight w:val="5246"/>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02083A" w:rsidRDefault="00B65ACE">
            <w:pPr>
              <w:pStyle w:val="Header"/>
              <w:tabs>
                <w:tab w:val="clear" w:pos="4153"/>
                <w:tab w:val="clear" w:pos="8306"/>
              </w:tabs>
            </w:pPr>
            <w:r>
              <w:t xml:space="preserve">A </w:t>
            </w:r>
            <w:r w:rsidR="00561E68">
              <w:t>landlord’s</w:t>
            </w:r>
            <w:r>
              <w:t xml:space="preserve"> </w:t>
            </w:r>
            <w:r w:rsidR="00371499">
              <w:t xml:space="preserve">requirement to </w:t>
            </w:r>
            <w:r>
              <w:t>complete repairs is set out in g</w:t>
            </w:r>
            <w:r w:rsidR="00371499">
              <w:t>overnment legislation a</w:t>
            </w:r>
            <w:r>
              <w:t xml:space="preserve">nd as </w:t>
            </w:r>
            <w:r w:rsidR="00371499">
              <w:t>such the</w:t>
            </w:r>
            <w:r w:rsidR="0002083A">
              <w:t xml:space="preserve"> responsive repairs policy</w:t>
            </w:r>
            <w:r w:rsidR="00371499">
              <w:t xml:space="preserve"> </w:t>
            </w:r>
            <w:r w:rsidR="0002083A">
              <w:t xml:space="preserve">will be applied to all tenants.  </w:t>
            </w:r>
            <w:r w:rsidR="006B25A2">
              <w:t xml:space="preserve">There is no direct discrimination identified in the policy via this DIA.  </w:t>
            </w:r>
            <w:r w:rsidR="0002083A">
              <w:t>There have been some enhancements made to the service</w:t>
            </w:r>
            <w:r w:rsidR="006B25A2">
              <w:t>, such as the H</w:t>
            </w:r>
            <w:r w:rsidR="0002083A">
              <w:t>andy</w:t>
            </w:r>
            <w:r w:rsidR="006B25A2">
              <w:t xml:space="preserve">person </w:t>
            </w:r>
            <w:r w:rsidR="0002083A">
              <w:t>service and the discretionary assistance for vulnerable tenants that will help advance equality for disabled and older tenants.</w:t>
            </w:r>
          </w:p>
          <w:p w:rsidR="0002083A" w:rsidRDefault="0002083A">
            <w:pPr>
              <w:pStyle w:val="Header"/>
              <w:tabs>
                <w:tab w:val="clear" w:pos="4153"/>
                <w:tab w:val="clear" w:pos="8306"/>
              </w:tabs>
              <w:rPr>
                <w:sz w:val="18"/>
              </w:rPr>
            </w:pPr>
          </w:p>
          <w:p w:rsidR="00376BDF" w:rsidRDefault="00497AA4" w:rsidP="00497AA4">
            <w:r w:rsidRPr="002A6B28">
              <w:t xml:space="preserve">There is currently a clause in the handypersons service that states tenants can only receive the service if they are not in arrears.  </w:t>
            </w:r>
            <w:r w:rsidR="002A6B28">
              <w:t xml:space="preserve">Housing Services </w:t>
            </w:r>
            <w:r w:rsidRPr="002A6B28">
              <w:t xml:space="preserve">accept that </w:t>
            </w:r>
            <w:r w:rsidR="00376BDF">
              <w:t>this</w:t>
            </w:r>
            <w:r w:rsidRPr="002A6B28">
              <w:t xml:space="preserve"> may be a slight disadvantage to people with arrears</w:t>
            </w:r>
            <w:r w:rsidR="00376BDF">
              <w:t>,</w:t>
            </w:r>
            <w:r w:rsidRPr="002A6B28">
              <w:t xml:space="preserve"> but that it serves a better purpose as an incentive for people to pay their rent on time.</w:t>
            </w:r>
          </w:p>
          <w:p w:rsidR="00497AA4" w:rsidRPr="002A6B28" w:rsidRDefault="00497AA4" w:rsidP="00497AA4">
            <w:r w:rsidRPr="002A6B28">
              <w:t>We would still deliver our normal responsive service to everyone, th</w:t>
            </w:r>
            <w:r w:rsidR="00376BDF">
              <w:t xml:space="preserve">e handy person </w:t>
            </w:r>
            <w:r w:rsidRPr="002A6B28">
              <w:t>is just an enhancement to the service.</w:t>
            </w:r>
          </w:p>
          <w:p w:rsidR="00497AA4" w:rsidRDefault="00497AA4">
            <w:pPr>
              <w:pStyle w:val="Header"/>
              <w:tabs>
                <w:tab w:val="clear" w:pos="4153"/>
                <w:tab w:val="clear" w:pos="8306"/>
              </w:tabs>
              <w:rPr>
                <w:sz w:val="18"/>
              </w:rPr>
            </w:pPr>
          </w:p>
          <w:p w:rsidR="00561E68" w:rsidRPr="000B784B" w:rsidRDefault="0002083A">
            <w:pPr>
              <w:pStyle w:val="Header"/>
              <w:tabs>
                <w:tab w:val="clear" w:pos="4153"/>
                <w:tab w:val="clear" w:pos="8306"/>
              </w:tabs>
            </w:pPr>
            <w:r>
              <w:t xml:space="preserve">Allowing </w:t>
            </w:r>
            <w:r w:rsidR="00D32457">
              <w:t xml:space="preserve">tenants </w:t>
            </w:r>
            <w:r>
              <w:t>different ways o</w:t>
            </w:r>
            <w:r w:rsidR="00561E68">
              <w:t>f</w:t>
            </w:r>
            <w:r>
              <w:t xml:space="preserve"> reporting a repair will also </w:t>
            </w:r>
            <w:r w:rsidR="00561E68">
              <w:t xml:space="preserve">advance </w:t>
            </w:r>
            <w:r w:rsidR="00561E68" w:rsidRPr="000B784B">
              <w:t>equalities for those with disabilities.</w:t>
            </w:r>
            <w:r w:rsidR="00CE01DA">
              <w:t xml:space="preserve">  Tenants w</w:t>
            </w:r>
            <w:r w:rsidR="006B25A2">
              <w:t>ill</w:t>
            </w:r>
            <w:r w:rsidR="00CE01DA">
              <w:t xml:space="preserve"> also be allowed advocates that can report repairs on their behalf.</w:t>
            </w:r>
          </w:p>
          <w:p w:rsidR="004D4385" w:rsidRPr="006B25A2" w:rsidRDefault="004D4385" w:rsidP="00561E68">
            <w:pPr>
              <w:pStyle w:val="Header"/>
              <w:tabs>
                <w:tab w:val="clear" w:pos="4153"/>
                <w:tab w:val="clear" w:pos="8306"/>
              </w:tabs>
              <w:rPr>
                <w:bCs/>
                <w:sz w:val="18"/>
              </w:rPr>
            </w:pPr>
          </w:p>
          <w:p w:rsidR="00561E68" w:rsidRDefault="00561E68" w:rsidP="006B25A2">
            <w:pPr>
              <w:pStyle w:val="Header"/>
              <w:tabs>
                <w:tab w:val="clear" w:pos="4153"/>
                <w:tab w:val="clear" w:pos="8306"/>
              </w:tabs>
              <w:rPr>
                <w:b/>
                <w:bCs/>
              </w:rPr>
            </w:pPr>
            <w:r w:rsidRPr="000B784B">
              <w:rPr>
                <w:bCs/>
              </w:rPr>
              <w:t xml:space="preserve">The repairs service also offers an appointment </w:t>
            </w:r>
            <w:r w:rsidR="006B25A2" w:rsidRPr="000B784B">
              <w:rPr>
                <w:bCs/>
              </w:rPr>
              <w:t>system;</w:t>
            </w:r>
            <w:r w:rsidRPr="000B784B">
              <w:rPr>
                <w:bCs/>
              </w:rPr>
              <w:t xml:space="preserve"> this means people that work or have care responsibilities </w:t>
            </w:r>
            <w:r w:rsidR="006B25A2">
              <w:rPr>
                <w:bCs/>
              </w:rPr>
              <w:t xml:space="preserve">during the day </w:t>
            </w:r>
            <w:r w:rsidRPr="000B784B">
              <w:rPr>
                <w:bCs/>
              </w:rPr>
              <w:t>do not have</w:t>
            </w:r>
            <w:r w:rsidR="000B784B" w:rsidRPr="000B784B">
              <w:rPr>
                <w:bCs/>
              </w:rPr>
              <w:t xml:space="preserve"> to </w:t>
            </w:r>
            <w:r w:rsidR="006B25A2">
              <w:rPr>
                <w:bCs/>
              </w:rPr>
              <w:t xml:space="preserve">unreasonably </w:t>
            </w:r>
            <w:r w:rsidR="000B784B" w:rsidRPr="000B784B">
              <w:rPr>
                <w:bCs/>
              </w:rPr>
              <w:t>disrupt their schedule.</w:t>
            </w:r>
            <w:r w:rsidR="000B784B">
              <w:rPr>
                <w:b/>
                <w:bCs/>
              </w:rPr>
              <w:t xml:space="preserve"> </w:t>
            </w:r>
          </w:p>
          <w:p w:rsidR="00773EAA" w:rsidRDefault="00773EAA" w:rsidP="006B25A2">
            <w:pPr>
              <w:pStyle w:val="Header"/>
              <w:tabs>
                <w:tab w:val="clear" w:pos="4153"/>
                <w:tab w:val="clear" w:pos="8306"/>
              </w:tabs>
              <w:rPr>
                <w:b/>
                <w:bCs/>
              </w:rPr>
            </w:pP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er"/>
              <w:numPr>
                <w:ilvl w:val="0"/>
                <w:numId w:val="24"/>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rsidP="00B44DFA">
            <w:pPr>
              <w:pStyle w:val="Header"/>
              <w:tabs>
                <w:tab w:val="clear" w:pos="4153"/>
                <w:tab w:val="clear" w:pos="8306"/>
              </w:tabs>
            </w:pPr>
            <w:r>
              <w:t>No mitigating actions as such are required</w:t>
            </w:r>
            <w:r w:rsidR="00B44DFA">
              <w:t xml:space="preserve">. </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ing2"/>
              <w:numPr>
                <w:ilvl w:val="0"/>
                <w:numId w:val="24"/>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773EAA">
        <w:tblPrEx>
          <w:tblCellMar>
            <w:top w:w="0" w:type="dxa"/>
            <w:bottom w:w="0" w:type="dxa"/>
          </w:tblCellMar>
        </w:tblPrEx>
        <w:tc>
          <w:tcPr>
            <w:tcW w:w="478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3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40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773EAA">
        <w:tblPrEx>
          <w:tblCellMar>
            <w:top w:w="0" w:type="dxa"/>
            <w:bottom w:w="0" w:type="dxa"/>
          </w:tblCellMar>
        </w:tblPrEx>
        <w:tc>
          <w:tcPr>
            <w:tcW w:w="4788"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2356AA">
            <w:pPr>
              <w:rPr>
                <w:rFonts w:cs="Arial"/>
                <w:sz w:val="22"/>
              </w:rPr>
            </w:pPr>
            <w:r>
              <w:rPr>
                <w:rFonts w:cs="Arial"/>
                <w:sz w:val="22"/>
              </w:rPr>
              <w:t>Monitor customer satisfaction of the repairs service</w:t>
            </w:r>
          </w:p>
        </w:tc>
        <w:tc>
          <w:tcPr>
            <w:tcW w:w="234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rsidP="00773EAA">
            <w:pPr>
              <w:jc w:val="center"/>
              <w:rPr>
                <w:rFonts w:cs="Arial"/>
                <w:sz w:val="20"/>
              </w:rPr>
            </w:pPr>
            <w:r w:rsidRPr="00773EAA">
              <w:rPr>
                <w:rFonts w:cs="Arial"/>
                <w:sz w:val="20"/>
              </w:rPr>
              <w:t xml:space="preserve">Policy and Partnership Officer </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2356AA">
            <w:pPr>
              <w:jc w:val="center"/>
              <w:rPr>
                <w:rFonts w:cs="Arial"/>
                <w:sz w:val="22"/>
              </w:rPr>
            </w:pPr>
            <w:r>
              <w:rPr>
                <w:rFonts w:cs="Arial"/>
                <w:sz w:val="22"/>
              </w:rPr>
              <w:t>Ongoing</w:t>
            </w:r>
          </w:p>
        </w:tc>
      </w:tr>
      <w:tr w:rsidR="004D4385" w:rsidTr="00773EAA">
        <w:tblPrEx>
          <w:tblCellMar>
            <w:top w:w="0" w:type="dxa"/>
            <w:bottom w:w="0" w:type="dxa"/>
          </w:tblCellMar>
        </w:tblPrEx>
        <w:tc>
          <w:tcPr>
            <w:tcW w:w="4788"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0B784B">
            <w:pPr>
              <w:rPr>
                <w:rFonts w:cs="Arial"/>
                <w:sz w:val="22"/>
              </w:rPr>
            </w:pPr>
            <w:r w:rsidRPr="00773EAA">
              <w:rPr>
                <w:rFonts w:cs="Arial"/>
                <w:sz w:val="22"/>
              </w:rPr>
              <w:t>Monitor complaint trends</w:t>
            </w:r>
          </w:p>
        </w:tc>
        <w:tc>
          <w:tcPr>
            <w:tcW w:w="234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rsidP="00773EAA">
            <w:pPr>
              <w:jc w:val="center"/>
              <w:rPr>
                <w:rFonts w:cs="Arial"/>
                <w:sz w:val="20"/>
              </w:rPr>
            </w:pPr>
            <w:r w:rsidRPr="00773EAA">
              <w:rPr>
                <w:rFonts w:cs="Arial"/>
                <w:sz w:val="20"/>
              </w:rPr>
              <w:t xml:space="preserve">Policy and Partnership Officer </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pPr>
              <w:jc w:val="center"/>
              <w:rPr>
                <w:rFonts w:cs="Arial"/>
                <w:sz w:val="22"/>
              </w:rPr>
            </w:pPr>
            <w:r w:rsidRPr="00773EAA">
              <w:rPr>
                <w:rFonts w:cs="Arial"/>
                <w:sz w:val="22"/>
              </w:rPr>
              <w:t>Ongoing</w:t>
            </w:r>
          </w:p>
        </w:tc>
      </w:tr>
      <w:tr w:rsidR="004D4385" w:rsidTr="00773EAA">
        <w:tblPrEx>
          <w:tblCellMar>
            <w:top w:w="0" w:type="dxa"/>
            <w:bottom w:w="0" w:type="dxa"/>
          </w:tblCellMar>
        </w:tblPrEx>
        <w:tc>
          <w:tcPr>
            <w:tcW w:w="4788"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0B784B">
            <w:pPr>
              <w:rPr>
                <w:rFonts w:cs="Arial"/>
                <w:sz w:val="22"/>
              </w:rPr>
            </w:pPr>
            <w:r w:rsidRPr="00773EAA">
              <w:rPr>
                <w:rFonts w:cs="Arial"/>
                <w:sz w:val="22"/>
              </w:rPr>
              <w:t xml:space="preserve">Roll out </w:t>
            </w:r>
            <w:r w:rsidR="00773EAA" w:rsidRPr="00773EAA">
              <w:rPr>
                <w:rFonts w:cs="Arial"/>
                <w:sz w:val="22"/>
              </w:rPr>
              <w:t>Digi</w:t>
            </w:r>
            <w:r w:rsidRPr="00773EAA">
              <w:rPr>
                <w:rFonts w:cs="Arial"/>
                <w:sz w:val="22"/>
              </w:rPr>
              <w:t xml:space="preserve"> transformation of the repairs service</w:t>
            </w:r>
          </w:p>
        </w:tc>
        <w:tc>
          <w:tcPr>
            <w:tcW w:w="234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pPr>
              <w:jc w:val="center"/>
              <w:rPr>
                <w:rFonts w:cs="Arial"/>
                <w:sz w:val="20"/>
              </w:rPr>
            </w:pPr>
            <w:r w:rsidRPr="00773EAA">
              <w:rPr>
                <w:rFonts w:cs="Arial"/>
                <w:sz w:val="20"/>
              </w:rPr>
              <w:t>HRA Service</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773EAA" w:rsidRDefault="00773EAA">
            <w:pPr>
              <w:jc w:val="center"/>
              <w:rPr>
                <w:rFonts w:cs="Arial"/>
                <w:sz w:val="22"/>
              </w:rPr>
            </w:pPr>
            <w:r w:rsidRPr="00773EAA">
              <w:rPr>
                <w:rFonts w:cs="Arial"/>
                <w:sz w:val="22"/>
              </w:rPr>
              <w:t>Ongoing</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ing2"/>
              <w:numPr>
                <w:ilvl w:val="0"/>
                <w:numId w:val="24"/>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tblPrEx>
          <w:tblCellMar>
            <w:top w:w="0" w:type="dxa"/>
            <w:bottom w:w="0" w:type="dxa"/>
          </w:tblCellMar>
        </w:tblPrEx>
        <w:trPr>
          <w:cantSplit/>
        </w:trPr>
        <w:tc>
          <w:tcPr>
            <w:tcW w:w="8531"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3220E2" w:rsidRDefault="002356AA" w:rsidP="003220E2">
            <w:pPr>
              <w:pStyle w:val="Heading2"/>
              <w:rPr>
                <w:rFonts w:cs="Arial"/>
                <w:b w:val="0"/>
                <w:bCs w:val="0"/>
                <w:sz w:val="24"/>
              </w:rPr>
            </w:pPr>
            <w:r>
              <w:rPr>
                <w:rFonts w:cs="Arial"/>
                <w:b w:val="0"/>
                <w:bCs w:val="0"/>
                <w:sz w:val="24"/>
              </w:rPr>
              <w:t>Continue to implement the Responsive Repairs Policy</w:t>
            </w:r>
          </w:p>
        </w:tc>
      </w:tr>
      <w:tr w:rsidR="004D4385">
        <w:tblPrEx>
          <w:tblCellMar>
            <w:top w:w="0" w:type="dxa"/>
            <w:bottom w:w="0" w:type="dxa"/>
          </w:tblCellMar>
        </w:tblPrEx>
        <w:tc>
          <w:tcPr>
            <w:tcW w:w="8531" w:type="dxa"/>
            <w:gridSpan w:val="7"/>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3220E2">
            <w:pPr>
              <w:pStyle w:val="Heading2"/>
              <w:numPr>
                <w:ilvl w:val="0"/>
                <w:numId w:val="24"/>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D004DA">
            <w:pPr>
              <w:rPr>
                <w:rFonts w:cs="Arial"/>
                <w:b/>
                <w:bCs/>
              </w:rPr>
            </w:pPr>
            <w:r>
              <w:rPr>
                <w:rFonts w:cs="Arial"/>
                <w:b/>
                <w:bCs/>
              </w:rPr>
              <w:t>Service Manager</w:t>
            </w:r>
          </w:p>
          <w:p w:rsidR="004D4385" w:rsidRDefault="004D4385">
            <w:pPr>
              <w:rPr>
                <w:rFonts w:cs="Arial"/>
                <w:b/>
                <w:bCs/>
              </w:rPr>
            </w:pP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CommentText"/>
              <w:rPr>
                <w:rFonts w:cs="Arial"/>
                <w:sz w:val="24"/>
                <w:szCs w:val="24"/>
              </w:rPr>
            </w:pPr>
          </w:p>
          <w:p w:rsidR="00865498" w:rsidRPr="00865498" w:rsidRDefault="00865498">
            <w:pPr>
              <w:pStyle w:val="CommentText"/>
              <w:rPr>
                <w:rFonts w:cs="Arial"/>
                <w:sz w:val="24"/>
                <w:szCs w:val="24"/>
              </w:rPr>
            </w:pPr>
          </w:p>
        </w:tc>
      </w:tr>
      <w:tr w:rsidR="004D4385">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2356AA">
            <w:pPr>
              <w:pStyle w:val="CommentText"/>
              <w:rPr>
                <w:rFonts w:cs="Arial"/>
                <w:sz w:val="24"/>
                <w:szCs w:val="24"/>
              </w:rPr>
            </w:pPr>
            <w:r>
              <w:rPr>
                <w:rFonts w:cs="Arial"/>
                <w:sz w:val="24"/>
                <w:szCs w:val="24"/>
              </w:rPr>
              <w:t>December 2019</w:t>
            </w:r>
          </w:p>
          <w:p w:rsidR="004D4385" w:rsidRPr="00865498" w:rsidRDefault="004D4385">
            <w:pPr>
              <w:rPr>
                <w:rFonts w:cs="Arial"/>
                <w:b/>
                <w:bCs/>
              </w:rPr>
            </w:pPr>
          </w:p>
        </w:tc>
      </w:tr>
    </w:tbl>
    <w:p w:rsidR="003220E2" w:rsidRDefault="003220E2">
      <w:pPr>
        <w:rPr>
          <w:rFonts w:cs="Arial"/>
          <w:b/>
          <w:bCs/>
          <w:iCs/>
          <w:sz w:val="16"/>
          <w:szCs w:val="16"/>
        </w:rPr>
      </w:pPr>
      <w:bookmarkStart w:id="0" w:name="_GoBack"/>
      <w:bookmarkEnd w:id="0"/>
    </w:p>
    <w:sectPr w:rsidR="003220E2" w:rsidSect="000A455E">
      <w:headerReference w:type="default" r:id="rId7"/>
      <w:footerReference w:type="default" r:id="rId8"/>
      <w:type w:val="continuous"/>
      <w:pgSz w:w="11906" w:h="16838"/>
      <w:pgMar w:top="1985" w:right="1797" w:bottom="1079" w:left="1797"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3" w:rsidRDefault="00B25C43">
      <w:r>
        <w:separator/>
      </w:r>
    </w:p>
  </w:endnote>
  <w:endnote w:type="continuationSeparator" w:id="0">
    <w:p w:rsidR="00B25C43" w:rsidRDefault="00B2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D2" w:rsidRDefault="00274AD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A6146">
      <w:rPr>
        <w:rStyle w:val="PageNumber"/>
        <w:noProof/>
      </w:rPr>
      <w:t>4</w:t>
    </w:r>
    <w:r>
      <w:rPr>
        <w:rStyle w:val="PageNumber"/>
      </w:rPr>
      <w:fldChar w:fldCharType="end"/>
    </w:r>
  </w:p>
  <w:p w:rsidR="00274AD2" w:rsidRDefault="00274A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3" w:rsidRDefault="00B25C43">
      <w:r>
        <w:separator/>
      </w:r>
    </w:p>
  </w:footnote>
  <w:footnote w:type="continuationSeparator" w:id="0">
    <w:p w:rsidR="00B25C43" w:rsidRDefault="00B2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AD2" w:rsidRDefault="00274AD2">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842351" r:id="rId2"/>
      </w:object>
    </w:r>
    <w:r>
      <w:rPr>
        <w:b/>
        <w:bCs/>
        <w:sz w:val="44"/>
      </w:rPr>
      <w:t>Diversity</w:t>
    </w:r>
  </w:p>
  <w:p w:rsidR="00274AD2" w:rsidRDefault="00274AD2">
    <w:pPr>
      <w:pStyle w:val="Header"/>
      <w:jc w:val="center"/>
      <w:rPr>
        <w:b/>
        <w:bCs/>
        <w:sz w:val="36"/>
      </w:rPr>
    </w:pPr>
    <w:r>
      <w:rPr>
        <w:b/>
        <w:bCs/>
        <w:sz w:val="44"/>
      </w:rPr>
      <w:t xml:space="preserve"> impact assessment </w:t>
    </w:r>
  </w:p>
  <w:p w:rsidR="00274AD2" w:rsidRDefault="00274AD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7AE"/>
    <w:multiLevelType w:val="hybridMultilevel"/>
    <w:tmpl w:val="201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EB05AB"/>
    <w:multiLevelType w:val="multilevel"/>
    <w:tmpl w:val="56767278"/>
    <w:lvl w:ilvl="0">
      <w:start w:val="1"/>
      <w:numFmt w:val="decimal"/>
      <w:lvlText w:val="%1."/>
      <w:lvlJc w:val="left"/>
      <w:pPr>
        <w:ind w:left="481" w:hanging="360"/>
      </w:pPr>
      <w:rPr>
        <w:rFonts w:cs="Times New Roman"/>
      </w:rPr>
    </w:lvl>
    <w:lvl w:ilvl="1">
      <w:start w:val="1"/>
      <w:numFmt w:val="decimal"/>
      <w:isLgl/>
      <w:lvlText w:val="%1.%2"/>
      <w:lvlJc w:val="left"/>
      <w:pPr>
        <w:ind w:left="481" w:hanging="360"/>
      </w:pPr>
      <w:rPr>
        <w:rFonts w:cs="Times New Roman" w:hint="default"/>
        <w:i w:val="0"/>
        <w:color w:val="auto"/>
      </w:rPr>
    </w:lvl>
    <w:lvl w:ilvl="2">
      <w:start w:val="1"/>
      <w:numFmt w:val="decimal"/>
      <w:isLgl/>
      <w:lvlText w:val="%1.%2.%3"/>
      <w:lvlJc w:val="left"/>
      <w:pPr>
        <w:ind w:left="841" w:hanging="720"/>
      </w:pPr>
      <w:rPr>
        <w:rFonts w:cs="Times New Roman" w:hint="default"/>
        <w:i w:val="0"/>
        <w:color w:val="auto"/>
      </w:rPr>
    </w:lvl>
    <w:lvl w:ilvl="3">
      <w:start w:val="1"/>
      <w:numFmt w:val="decimal"/>
      <w:isLgl/>
      <w:lvlText w:val="%1.%2.%3.%4"/>
      <w:lvlJc w:val="left"/>
      <w:pPr>
        <w:ind w:left="1201" w:hanging="1080"/>
      </w:pPr>
      <w:rPr>
        <w:rFonts w:cs="Times New Roman" w:hint="default"/>
        <w:i w:val="0"/>
        <w:color w:val="auto"/>
      </w:rPr>
    </w:lvl>
    <w:lvl w:ilvl="4">
      <w:start w:val="1"/>
      <w:numFmt w:val="decimal"/>
      <w:isLgl/>
      <w:lvlText w:val="%1.%2.%3.%4.%5"/>
      <w:lvlJc w:val="left"/>
      <w:pPr>
        <w:ind w:left="1201" w:hanging="1080"/>
      </w:pPr>
      <w:rPr>
        <w:rFonts w:cs="Times New Roman" w:hint="default"/>
        <w:i w:val="0"/>
        <w:color w:val="auto"/>
      </w:rPr>
    </w:lvl>
    <w:lvl w:ilvl="5">
      <w:start w:val="1"/>
      <w:numFmt w:val="decimal"/>
      <w:isLgl/>
      <w:lvlText w:val="%1.%2.%3.%4.%5.%6"/>
      <w:lvlJc w:val="left"/>
      <w:pPr>
        <w:ind w:left="1561" w:hanging="1440"/>
      </w:pPr>
      <w:rPr>
        <w:rFonts w:cs="Times New Roman" w:hint="default"/>
        <w:i w:val="0"/>
        <w:color w:val="auto"/>
      </w:rPr>
    </w:lvl>
    <w:lvl w:ilvl="6">
      <w:start w:val="1"/>
      <w:numFmt w:val="decimal"/>
      <w:isLgl/>
      <w:lvlText w:val="%1.%2.%3.%4.%5.%6.%7"/>
      <w:lvlJc w:val="left"/>
      <w:pPr>
        <w:ind w:left="1561" w:hanging="1440"/>
      </w:pPr>
      <w:rPr>
        <w:rFonts w:cs="Times New Roman" w:hint="default"/>
        <w:i w:val="0"/>
        <w:color w:val="auto"/>
      </w:rPr>
    </w:lvl>
    <w:lvl w:ilvl="7">
      <w:start w:val="1"/>
      <w:numFmt w:val="decimal"/>
      <w:isLgl/>
      <w:lvlText w:val="%1.%2.%3.%4.%5.%6.%7.%8"/>
      <w:lvlJc w:val="left"/>
      <w:pPr>
        <w:ind w:left="1921" w:hanging="1800"/>
      </w:pPr>
      <w:rPr>
        <w:rFonts w:cs="Times New Roman" w:hint="default"/>
        <w:i w:val="0"/>
        <w:color w:val="auto"/>
      </w:rPr>
    </w:lvl>
    <w:lvl w:ilvl="8">
      <w:start w:val="1"/>
      <w:numFmt w:val="decimal"/>
      <w:isLgl/>
      <w:lvlText w:val="%1.%2.%3.%4.%5.%6.%7.%8.%9"/>
      <w:lvlJc w:val="left"/>
      <w:pPr>
        <w:ind w:left="1921" w:hanging="1800"/>
      </w:pPr>
      <w:rPr>
        <w:rFonts w:cs="Times New Roman" w:hint="default"/>
        <w:i w:val="0"/>
        <w:color w:val="auto"/>
      </w:rPr>
    </w:lvl>
  </w:abstractNum>
  <w:abstractNum w:abstractNumId="6"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5F758B"/>
    <w:multiLevelType w:val="hybridMultilevel"/>
    <w:tmpl w:val="6C3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476BFE"/>
    <w:multiLevelType w:val="hybridMultilevel"/>
    <w:tmpl w:val="175A4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1"/>
  </w:num>
  <w:num w:numId="3">
    <w:abstractNumId w:val="8"/>
  </w:num>
  <w:num w:numId="4">
    <w:abstractNumId w:val="1"/>
  </w:num>
  <w:num w:numId="5">
    <w:abstractNumId w:val="11"/>
  </w:num>
  <w:num w:numId="6">
    <w:abstractNumId w:val="10"/>
  </w:num>
  <w:num w:numId="7">
    <w:abstractNumId w:val="16"/>
  </w:num>
  <w:num w:numId="8">
    <w:abstractNumId w:val="9"/>
  </w:num>
  <w:num w:numId="9">
    <w:abstractNumId w:val="0"/>
  </w:num>
  <w:num w:numId="10">
    <w:abstractNumId w:val="6"/>
  </w:num>
  <w:num w:numId="11">
    <w:abstractNumId w:val="13"/>
  </w:num>
  <w:num w:numId="12">
    <w:abstractNumId w:val="4"/>
  </w:num>
  <w:num w:numId="13">
    <w:abstractNumId w:val="23"/>
  </w:num>
  <w:num w:numId="14">
    <w:abstractNumId w:val="2"/>
  </w:num>
  <w:num w:numId="15">
    <w:abstractNumId w:val="18"/>
  </w:num>
  <w:num w:numId="16">
    <w:abstractNumId w:val="17"/>
  </w:num>
  <w:num w:numId="17">
    <w:abstractNumId w:val="14"/>
  </w:num>
  <w:num w:numId="18">
    <w:abstractNumId w:val="20"/>
  </w:num>
  <w:num w:numId="19">
    <w:abstractNumId w:val="19"/>
  </w:num>
  <w:num w:numId="20">
    <w:abstractNumId w:val="7"/>
  </w:num>
  <w:num w:numId="21">
    <w:abstractNumId w:val="5"/>
  </w:num>
  <w:num w:numId="22">
    <w:abstractNumId w:val="12"/>
  </w:num>
  <w:num w:numId="23">
    <w:abstractNumId w:val="3"/>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2083A"/>
    <w:rsid w:val="000A455E"/>
    <w:rsid w:val="000B784B"/>
    <w:rsid w:val="001A626C"/>
    <w:rsid w:val="002160E8"/>
    <w:rsid w:val="002356AA"/>
    <w:rsid w:val="00274AD2"/>
    <w:rsid w:val="00286ECE"/>
    <w:rsid w:val="002A6B28"/>
    <w:rsid w:val="002D3330"/>
    <w:rsid w:val="003220E2"/>
    <w:rsid w:val="00371499"/>
    <w:rsid w:val="00376BDF"/>
    <w:rsid w:val="00435E08"/>
    <w:rsid w:val="00497AA4"/>
    <w:rsid w:val="004C5F24"/>
    <w:rsid w:val="004D4385"/>
    <w:rsid w:val="00561E68"/>
    <w:rsid w:val="00636852"/>
    <w:rsid w:val="006A008C"/>
    <w:rsid w:val="006B25A2"/>
    <w:rsid w:val="006F59FB"/>
    <w:rsid w:val="007602C4"/>
    <w:rsid w:val="0077036C"/>
    <w:rsid w:val="00773EAA"/>
    <w:rsid w:val="007949FC"/>
    <w:rsid w:val="00841B25"/>
    <w:rsid w:val="00865498"/>
    <w:rsid w:val="008C5BC9"/>
    <w:rsid w:val="008D3AF2"/>
    <w:rsid w:val="008F3510"/>
    <w:rsid w:val="00980C6C"/>
    <w:rsid w:val="00A103AB"/>
    <w:rsid w:val="00A216D0"/>
    <w:rsid w:val="00A47B6F"/>
    <w:rsid w:val="00B25C43"/>
    <w:rsid w:val="00B37E04"/>
    <w:rsid w:val="00B44DFA"/>
    <w:rsid w:val="00B6517E"/>
    <w:rsid w:val="00B65ACE"/>
    <w:rsid w:val="00C51BBD"/>
    <w:rsid w:val="00CB0958"/>
    <w:rsid w:val="00CE01DA"/>
    <w:rsid w:val="00D004DA"/>
    <w:rsid w:val="00D3231D"/>
    <w:rsid w:val="00D32457"/>
    <w:rsid w:val="00D43B1A"/>
    <w:rsid w:val="00D53F81"/>
    <w:rsid w:val="00E34A78"/>
    <w:rsid w:val="00E36D0F"/>
    <w:rsid w:val="00E45213"/>
    <w:rsid w:val="00E87C87"/>
    <w:rsid w:val="00EA6146"/>
    <w:rsid w:val="00ED5B76"/>
    <w:rsid w:val="00FB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3916F5C1"/>
  <w15:chartTrackingRefBased/>
  <w15:docId w15:val="{562DD2DC-79B6-410E-A72B-22F69E9B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2038">
      <w:bodyDiv w:val="1"/>
      <w:marLeft w:val="0"/>
      <w:marRight w:val="0"/>
      <w:marTop w:val="0"/>
      <w:marBottom w:val="0"/>
      <w:divBdr>
        <w:top w:val="none" w:sz="0" w:space="0" w:color="auto"/>
        <w:left w:val="none" w:sz="0" w:space="0" w:color="auto"/>
        <w:bottom w:val="none" w:sz="0" w:space="0" w:color="auto"/>
        <w:right w:val="none" w:sz="0" w:space="0" w:color="auto"/>
      </w:divBdr>
    </w:div>
    <w:div w:id="1529414352">
      <w:bodyDiv w:val="1"/>
      <w:marLeft w:val="0"/>
      <w:marRight w:val="0"/>
      <w:marTop w:val="0"/>
      <w:marBottom w:val="0"/>
      <w:divBdr>
        <w:top w:val="none" w:sz="0" w:space="0" w:color="auto"/>
        <w:left w:val="none" w:sz="0" w:space="0" w:color="auto"/>
        <w:bottom w:val="none" w:sz="0" w:space="0" w:color="auto"/>
        <w:right w:val="none" w:sz="0" w:space="0" w:color="auto"/>
      </w:divBdr>
    </w:div>
    <w:div w:id="1666321575">
      <w:bodyDiv w:val="1"/>
      <w:marLeft w:val="0"/>
      <w:marRight w:val="0"/>
      <w:marTop w:val="0"/>
      <w:marBottom w:val="0"/>
      <w:divBdr>
        <w:top w:val="none" w:sz="0" w:space="0" w:color="auto"/>
        <w:left w:val="none" w:sz="0" w:space="0" w:color="auto"/>
        <w:bottom w:val="none" w:sz="0" w:space="0" w:color="auto"/>
        <w:right w:val="none" w:sz="0" w:space="0" w:color="auto"/>
      </w:divBdr>
    </w:div>
    <w:div w:id="17550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6372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7544</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2014-04-04T10:41:00Z</cp:lastPrinted>
  <dcterms:created xsi:type="dcterms:W3CDTF">2020-07-21T12:13:00Z</dcterms:created>
  <dcterms:modified xsi:type="dcterms:W3CDTF">2020-07-21T12:13:00Z</dcterms:modified>
</cp:coreProperties>
</file>