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611FE" w14:textId="77777777" w:rsidR="00A75A51" w:rsidRDefault="00A75A51" w:rsidP="005E04A9">
      <w:pPr>
        <w:pStyle w:val="Title"/>
        <w:jc w:val="both"/>
      </w:pPr>
      <w:r>
        <w:t>Void Policy</w:t>
      </w:r>
    </w:p>
    <w:p w14:paraId="365D23ED" w14:textId="77777777" w:rsidR="00AA150F" w:rsidRDefault="00AA150F" w:rsidP="005E04A9">
      <w:pPr>
        <w:jc w:val="both"/>
      </w:pPr>
    </w:p>
    <w:p w14:paraId="2E380F3E" w14:textId="77777777" w:rsidR="00AA150F" w:rsidRDefault="00AA150F" w:rsidP="005E04A9">
      <w:pPr>
        <w:pStyle w:val="Heading1"/>
        <w:numPr>
          <w:ilvl w:val="0"/>
          <w:numId w:val="1"/>
        </w:numPr>
        <w:jc w:val="both"/>
      </w:pPr>
      <w:r>
        <w:t>Introduction</w:t>
      </w:r>
    </w:p>
    <w:p w14:paraId="37AD96B0" w14:textId="77777777" w:rsidR="00AA150F" w:rsidRPr="00AA150F" w:rsidRDefault="00A75A51" w:rsidP="005E04A9">
      <w:pPr>
        <w:pStyle w:val="ListParagraph"/>
        <w:numPr>
          <w:ilvl w:val="2"/>
          <w:numId w:val="1"/>
        </w:numPr>
        <w:jc w:val="both"/>
      </w:pPr>
      <w:r>
        <w:t xml:space="preserve">The policy outlines the way in which Medway Council (the Council) Housing Services will control and manage empty (void) properties within its stock. </w:t>
      </w:r>
    </w:p>
    <w:p w14:paraId="197ABDA0" w14:textId="77777777" w:rsidR="00AA150F" w:rsidRDefault="00AA150F" w:rsidP="005E04A9">
      <w:pPr>
        <w:pStyle w:val="Heading1"/>
        <w:numPr>
          <w:ilvl w:val="0"/>
          <w:numId w:val="1"/>
        </w:numPr>
        <w:jc w:val="both"/>
      </w:pPr>
      <w:r>
        <w:t>Purpose</w:t>
      </w:r>
    </w:p>
    <w:p w14:paraId="14C954E1" w14:textId="77777777" w:rsidR="00A75A51" w:rsidRDefault="00A75A51" w:rsidP="005E04A9">
      <w:pPr>
        <w:pStyle w:val="ListParagraph"/>
        <w:numPr>
          <w:ilvl w:val="2"/>
          <w:numId w:val="1"/>
        </w:numPr>
        <w:jc w:val="both"/>
      </w:pPr>
      <w:r>
        <w:t xml:space="preserve">The purpose of this policy is to set out Housing Services position on the management of void properties. </w:t>
      </w:r>
    </w:p>
    <w:p w14:paraId="0ACA0698" w14:textId="3BA1A8FD" w:rsidR="00A75A51" w:rsidRDefault="00A75A51" w:rsidP="005E04A9">
      <w:pPr>
        <w:pStyle w:val="ListParagraph"/>
        <w:numPr>
          <w:ilvl w:val="2"/>
          <w:numId w:val="1"/>
        </w:numPr>
        <w:jc w:val="both"/>
      </w:pPr>
      <w:r>
        <w:t>The specific objectives of the Void Management Policy are</w:t>
      </w:r>
      <w:r w:rsidR="00B86014">
        <w:t>.</w:t>
      </w:r>
    </w:p>
    <w:p w14:paraId="43DCC1F0" w14:textId="77777777" w:rsidR="00236323" w:rsidRDefault="00236323" w:rsidP="00236323">
      <w:pPr>
        <w:pStyle w:val="ListParagraph"/>
        <w:ind w:left="1080"/>
        <w:jc w:val="both"/>
      </w:pPr>
    </w:p>
    <w:p w14:paraId="036BBA4F" w14:textId="644CE78F" w:rsidR="00A75A51" w:rsidRDefault="00A75A51" w:rsidP="00236323">
      <w:pPr>
        <w:pStyle w:val="ListParagraph"/>
        <w:numPr>
          <w:ilvl w:val="2"/>
          <w:numId w:val="5"/>
        </w:numPr>
        <w:jc w:val="both"/>
      </w:pPr>
      <w:r>
        <w:t>To ensure tenants are aware of their end of tenancy obligations</w:t>
      </w:r>
      <w:r w:rsidR="00B86014">
        <w:t>.</w:t>
      </w:r>
    </w:p>
    <w:p w14:paraId="56D707F1" w14:textId="6FAA634F" w:rsidR="00A75A51" w:rsidRDefault="00A75A51" w:rsidP="00236323">
      <w:pPr>
        <w:pStyle w:val="ListParagraph"/>
        <w:numPr>
          <w:ilvl w:val="2"/>
          <w:numId w:val="5"/>
        </w:numPr>
        <w:jc w:val="both"/>
      </w:pPr>
      <w:r>
        <w:t>To ensure that properties let by Medway Council meet the agreed void standards</w:t>
      </w:r>
      <w:r w:rsidR="00B86014">
        <w:t>.</w:t>
      </w:r>
    </w:p>
    <w:p w14:paraId="12589EF1" w14:textId="73B61841" w:rsidR="00A75A51" w:rsidRDefault="00A75A51" w:rsidP="00236323">
      <w:pPr>
        <w:pStyle w:val="ListParagraph"/>
        <w:numPr>
          <w:ilvl w:val="2"/>
          <w:numId w:val="5"/>
        </w:numPr>
        <w:jc w:val="both"/>
      </w:pPr>
      <w:r>
        <w:t>To ensure that rent loss through vacant housing is minimised</w:t>
      </w:r>
      <w:r w:rsidR="00B86014">
        <w:t>.</w:t>
      </w:r>
    </w:p>
    <w:p w14:paraId="6CD636B9" w14:textId="77777777" w:rsidR="00AA150F" w:rsidRPr="00AA150F" w:rsidRDefault="00A75A51" w:rsidP="00236323">
      <w:pPr>
        <w:pStyle w:val="ListParagraph"/>
        <w:numPr>
          <w:ilvl w:val="2"/>
          <w:numId w:val="5"/>
        </w:numPr>
        <w:jc w:val="both"/>
      </w:pPr>
      <w:r>
        <w:t xml:space="preserve">To ensure that Medway Council makes the most effective use of the housing resources available to it, to meet housing need. </w:t>
      </w:r>
    </w:p>
    <w:p w14:paraId="70FE59BB" w14:textId="77777777" w:rsidR="00AA150F" w:rsidRDefault="00AA150F" w:rsidP="005E04A9">
      <w:pPr>
        <w:pStyle w:val="Heading1"/>
        <w:numPr>
          <w:ilvl w:val="0"/>
          <w:numId w:val="1"/>
        </w:numPr>
        <w:jc w:val="both"/>
      </w:pPr>
      <w:r>
        <w:t>Scope</w:t>
      </w:r>
    </w:p>
    <w:p w14:paraId="68C544F4" w14:textId="77777777" w:rsidR="00A75A51" w:rsidRDefault="00A75A51" w:rsidP="005E04A9">
      <w:pPr>
        <w:pStyle w:val="ListParagraph"/>
        <w:numPr>
          <w:ilvl w:val="2"/>
          <w:numId w:val="1"/>
        </w:numPr>
        <w:jc w:val="both"/>
      </w:pPr>
      <w:r>
        <w:t xml:space="preserve">The Void Management Policy applies to all property owned by Medway Council Housing Services. </w:t>
      </w:r>
    </w:p>
    <w:p w14:paraId="72F345BD" w14:textId="77777777" w:rsidR="00A75A51" w:rsidRDefault="00A75A51" w:rsidP="005E04A9">
      <w:pPr>
        <w:pStyle w:val="ListParagraph"/>
        <w:numPr>
          <w:ilvl w:val="2"/>
          <w:numId w:val="1"/>
        </w:numPr>
        <w:jc w:val="both"/>
      </w:pPr>
      <w:r>
        <w:t xml:space="preserve">This policy applies to all tenure and occupancy types and Medway Council staff involved in void management duties including contractors and sub-contractors used on the Councils behalf. </w:t>
      </w:r>
    </w:p>
    <w:p w14:paraId="79C76296" w14:textId="77777777" w:rsidR="00AA150F" w:rsidRDefault="00AA150F" w:rsidP="005E04A9">
      <w:pPr>
        <w:pStyle w:val="Heading1"/>
        <w:numPr>
          <w:ilvl w:val="0"/>
          <w:numId w:val="1"/>
        </w:numPr>
        <w:jc w:val="both"/>
      </w:pPr>
      <w:r>
        <w:t>Legislation and Guidance</w:t>
      </w:r>
    </w:p>
    <w:p w14:paraId="711E094D" w14:textId="77777777" w:rsidR="00A75A51" w:rsidRDefault="00A75A51" w:rsidP="005E04A9">
      <w:pPr>
        <w:pStyle w:val="ListParagraph"/>
        <w:numPr>
          <w:ilvl w:val="2"/>
          <w:numId w:val="1"/>
        </w:numPr>
        <w:jc w:val="both"/>
      </w:pPr>
      <w:r>
        <w:t>External</w:t>
      </w:r>
    </w:p>
    <w:p w14:paraId="2857D612" w14:textId="77777777" w:rsidR="00A75A51" w:rsidRDefault="00A75A51" w:rsidP="005E04A9">
      <w:pPr>
        <w:pStyle w:val="ListParagraph"/>
        <w:numPr>
          <w:ilvl w:val="2"/>
          <w:numId w:val="1"/>
        </w:numPr>
        <w:jc w:val="both"/>
      </w:pPr>
      <w:r>
        <w:t>Health and Safety Rating System 2006 (HHSRS)</w:t>
      </w:r>
    </w:p>
    <w:p w14:paraId="4CBC3732" w14:textId="77777777" w:rsidR="00A75A51" w:rsidRDefault="00A75A51" w:rsidP="005E04A9">
      <w:pPr>
        <w:pStyle w:val="ListParagraph"/>
        <w:numPr>
          <w:ilvl w:val="2"/>
          <w:numId w:val="1"/>
        </w:numPr>
        <w:jc w:val="both"/>
      </w:pPr>
      <w:r>
        <w:t>Internal</w:t>
      </w:r>
    </w:p>
    <w:p w14:paraId="6B9E5E04" w14:textId="77777777" w:rsidR="00A75A51" w:rsidRDefault="00A75A51" w:rsidP="005E04A9">
      <w:pPr>
        <w:pStyle w:val="ListParagraph"/>
        <w:numPr>
          <w:ilvl w:val="2"/>
          <w:numId w:val="1"/>
        </w:numPr>
        <w:jc w:val="both"/>
      </w:pPr>
      <w:r>
        <w:t>Tenancy management policy and procedure</w:t>
      </w:r>
    </w:p>
    <w:p w14:paraId="3589AC06" w14:textId="77777777" w:rsidR="00A75A51" w:rsidRDefault="00A75A51" w:rsidP="005E04A9">
      <w:pPr>
        <w:pStyle w:val="ListParagraph"/>
        <w:numPr>
          <w:ilvl w:val="2"/>
          <w:numId w:val="1"/>
        </w:numPr>
        <w:jc w:val="both"/>
      </w:pPr>
      <w:r>
        <w:t>Rechargeable repairs policy and procedure</w:t>
      </w:r>
    </w:p>
    <w:p w14:paraId="7D9943A8" w14:textId="77777777" w:rsidR="00A75A51" w:rsidRDefault="00A75A51" w:rsidP="005E04A9">
      <w:pPr>
        <w:pStyle w:val="ListParagraph"/>
        <w:numPr>
          <w:ilvl w:val="2"/>
          <w:numId w:val="1"/>
        </w:numPr>
        <w:jc w:val="both"/>
      </w:pPr>
      <w:r>
        <w:t>Allocations policy</w:t>
      </w:r>
    </w:p>
    <w:p w14:paraId="7BC5904B" w14:textId="77777777" w:rsidR="00A75A51" w:rsidRDefault="00A75A51" w:rsidP="005E04A9">
      <w:pPr>
        <w:pStyle w:val="ListParagraph"/>
        <w:numPr>
          <w:ilvl w:val="2"/>
          <w:numId w:val="1"/>
        </w:numPr>
        <w:jc w:val="both"/>
      </w:pPr>
      <w:r>
        <w:t>Responsive repairs policy and procedure</w:t>
      </w:r>
    </w:p>
    <w:p w14:paraId="653D8EA5" w14:textId="77777777" w:rsidR="00A75A51" w:rsidRDefault="00A75A51" w:rsidP="005E04A9">
      <w:pPr>
        <w:pStyle w:val="ListParagraph"/>
        <w:numPr>
          <w:ilvl w:val="2"/>
          <w:numId w:val="1"/>
        </w:numPr>
        <w:jc w:val="both"/>
      </w:pPr>
      <w:r>
        <w:t>Medway Council Tenancy Agreement(s)</w:t>
      </w:r>
    </w:p>
    <w:p w14:paraId="05964475" w14:textId="77777777" w:rsidR="00A75A51" w:rsidRDefault="00A75A51" w:rsidP="005E04A9">
      <w:pPr>
        <w:pStyle w:val="ListParagraph"/>
        <w:numPr>
          <w:ilvl w:val="2"/>
          <w:numId w:val="1"/>
        </w:numPr>
        <w:jc w:val="both"/>
      </w:pPr>
      <w:r>
        <w:t>Asset Management Strategy</w:t>
      </w:r>
    </w:p>
    <w:p w14:paraId="70CD0149" w14:textId="77777777" w:rsidR="00AA150F" w:rsidRDefault="00AA150F" w:rsidP="005E04A9">
      <w:pPr>
        <w:pStyle w:val="Heading1"/>
        <w:numPr>
          <w:ilvl w:val="0"/>
          <w:numId w:val="1"/>
        </w:numPr>
        <w:jc w:val="both"/>
      </w:pPr>
      <w:r>
        <w:t>Policy</w:t>
      </w:r>
    </w:p>
    <w:p w14:paraId="03B743FC" w14:textId="77777777" w:rsidR="00A75A51" w:rsidRDefault="00A75A51" w:rsidP="005E04A9">
      <w:pPr>
        <w:pStyle w:val="ListParagraph"/>
        <w:numPr>
          <w:ilvl w:val="2"/>
          <w:numId w:val="1"/>
        </w:numPr>
        <w:jc w:val="both"/>
      </w:pPr>
      <w:r>
        <w:t xml:space="preserve">Tenants must end their tenancy in accordance with the Medway Council’s Housing Services Tenancy Management Policy. </w:t>
      </w:r>
    </w:p>
    <w:p w14:paraId="28B7D4C5" w14:textId="77777777" w:rsidR="00A75A51" w:rsidRDefault="00A75A51" w:rsidP="005E04A9">
      <w:pPr>
        <w:pStyle w:val="ListParagraph"/>
        <w:numPr>
          <w:ilvl w:val="2"/>
          <w:numId w:val="1"/>
        </w:numPr>
        <w:jc w:val="both"/>
      </w:pPr>
      <w:r>
        <w:t xml:space="preserve">Where Housing Services suspects a property to be abandoned the statutory procedures will be followed as detailed on our Tenancy Management Policy. </w:t>
      </w:r>
    </w:p>
    <w:p w14:paraId="2F6A4237" w14:textId="77777777" w:rsidR="00A75A51" w:rsidRDefault="00A75A51" w:rsidP="005E04A9">
      <w:pPr>
        <w:pStyle w:val="ListParagraph"/>
        <w:numPr>
          <w:ilvl w:val="2"/>
          <w:numId w:val="1"/>
        </w:numPr>
        <w:jc w:val="both"/>
      </w:pPr>
      <w:r>
        <w:t>Upon receipt of a valid notice from a tenant our repairs and maintenance contractor will conduct a ‘pre-termination’ visit with the tenant before they vacate the property to ascertain the condition of the property</w:t>
      </w:r>
    </w:p>
    <w:p w14:paraId="1A7AF7BF" w14:textId="77777777" w:rsidR="00A75A51" w:rsidRDefault="00A75A51" w:rsidP="005E04A9">
      <w:pPr>
        <w:pStyle w:val="ListParagraph"/>
        <w:numPr>
          <w:ilvl w:val="2"/>
          <w:numId w:val="1"/>
        </w:numPr>
        <w:jc w:val="both"/>
      </w:pPr>
      <w:r>
        <w:lastRenderedPageBreak/>
        <w:t xml:space="preserve">Outgoing tenants will be asked to sign a ‘pre termination property inspection form’ during this visit. This form will be taken as an agreement that they will adhere to the following conditions: </w:t>
      </w:r>
    </w:p>
    <w:p w14:paraId="7A7F23F7" w14:textId="77777777" w:rsidR="00A75A51" w:rsidRDefault="00A75A51" w:rsidP="005E04A9">
      <w:pPr>
        <w:pStyle w:val="ListParagraph"/>
        <w:numPr>
          <w:ilvl w:val="2"/>
          <w:numId w:val="1"/>
        </w:numPr>
        <w:jc w:val="both"/>
      </w:pPr>
      <w:r>
        <w:t xml:space="preserve">I need to complete the work highlighted during </w:t>
      </w:r>
      <w:proofErr w:type="gramStart"/>
      <w:r>
        <w:t>inspection</w:t>
      </w:r>
      <w:proofErr w:type="gramEnd"/>
    </w:p>
    <w:p w14:paraId="7A93A2CD" w14:textId="77777777" w:rsidR="00A75A51" w:rsidRDefault="00A75A51" w:rsidP="005E04A9">
      <w:pPr>
        <w:pStyle w:val="ListParagraph"/>
        <w:numPr>
          <w:ilvl w:val="2"/>
          <w:numId w:val="1"/>
        </w:numPr>
        <w:jc w:val="both"/>
      </w:pPr>
      <w:r>
        <w:t xml:space="preserve">I need to make sure that the property and garden are emptied and cleared of all items and </w:t>
      </w:r>
      <w:proofErr w:type="gramStart"/>
      <w:r>
        <w:t>rubbish</w:t>
      </w:r>
      <w:proofErr w:type="gramEnd"/>
    </w:p>
    <w:p w14:paraId="0CD99E38" w14:textId="77777777" w:rsidR="00A75A51" w:rsidRDefault="00A75A51" w:rsidP="005E04A9">
      <w:pPr>
        <w:pStyle w:val="ListParagraph"/>
        <w:numPr>
          <w:ilvl w:val="2"/>
          <w:numId w:val="1"/>
        </w:numPr>
        <w:jc w:val="both"/>
      </w:pPr>
      <w:r>
        <w:t xml:space="preserve">I need to ensure that my rent and any other payment due to the Council are paid in full or an agreement reached. </w:t>
      </w:r>
    </w:p>
    <w:p w14:paraId="139774AE" w14:textId="77777777" w:rsidR="00A75A51" w:rsidRDefault="00A75A51" w:rsidP="005E04A9">
      <w:pPr>
        <w:pStyle w:val="ListParagraph"/>
        <w:numPr>
          <w:ilvl w:val="2"/>
          <w:numId w:val="1"/>
        </w:numPr>
        <w:jc w:val="both"/>
      </w:pPr>
      <w:r>
        <w:t xml:space="preserve">Outgoing tenants will be responsible for the full costs of clearing out the property and any other rechargeable repairs as laid out in the Rechargeable Repairs Policy. </w:t>
      </w:r>
    </w:p>
    <w:p w14:paraId="346402BD" w14:textId="77777777" w:rsidR="00A75A51" w:rsidRDefault="00A75A51" w:rsidP="005E04A9">
      <w:pPr>
        <w:pStyle w:val="ListParagraph"/>
        <w:numPr>
          <w:ilvl w:val="2"/>
          <w:numId w:val="1"/>
        </w:numPr>
        <w:jc w:val="both"/>
      </w:pPr>
      <w:r>
        <w:t xml:space="preserve">If the outgoing tenant wishes to dispute the rechargeable repairs that have been applied to the property they must do so in writing, addressing it to their previous Housing Officer, who will escalate it appropriately. The final decision on whether charges should apply will be communicated to the former tenant of the property in writing in accordance with our corporate service standards. </w:t>
      </w:r>
    </w:p>
    <w:p w14:paraId="7BC9EA18" w14:textId="77777777" w:rsidR="00A75A51" w:rsidRDefault="00A75A51" w:rsidP="005E04A9">
      <w:pPr>
        <w:pStyle w:val="ListParagraph"/>
        <w:numPr>
          <w:ilvl w:val="2"/>
          <w:numId w:val="1"/>
        </w:numPr>
        <w:jc w:val="both"/>
      </w:pPr>
      <w:r>
        <w:t xml:space="preserve">A further inspection will take place by the contractor once the tenant has vacated the property to identify any outstanding repair issues and/or rechargeable work. </w:t>
      </w:r>
    </w:p>
    <w:p w14:paraId="0C2687F8" w14:textId="77777777" w:rsidR="00A75A51" w:rsidRDefault="00A75A51" w:rsidP="005E04A9">
      <w:pPr>
        <w:pStyle w:val="ListParagraph"/>
        <w:numPr>
          <w:ilvl w:val="2"/>
          <w:numId w:val="1"/>
        </w:numPr>
        <w:jc w:val="both"/>
      </w:pPr>
      <w:r>
        <w:t xml:space="preserve">Void property works will be implemented immediately on receipt of the keys from the tenant to enable the property to be re-let as soon as possible. </w:t>
      </w:r>
    </w:p>
    <w:p w14:paraId="3D3AE247" w14:textId="77777777" w:rsidR="00A75A51" w:rsidRDefault="00A75A51" w:rsidP="005E04A9">
      <w:pPr>
        <w:pStyle w:val="ListParagraph"/>
        <w:numPr>
          <w:ilvl w:val="2"/>
          <w:numId w:val="1"/>
        </w:numPr>
        <w:jc w:val="both"/>
      </w:pPr>
      <w:r>
        <w:t xml:space="preserve">Void properties will be checked against the planned works programme to make most </w:t>
      </w:r>
      <w:proofErr w:type="gramStart"/>
      <w:r>
        <w:t>cost effective</w:t>
      </w:r>
      <w:proofErr w:type="gramEnd"/>
      <w:r>
        <w:t xml:space="preserve"> use of resources.</w:t>
      </w:r>
    </w:p>
    <w:p w14:paraId="17078594" w14:textId="77777777" w:rsidR="00A75A51" w:rsidRDefault="00A75A51" w:rsidP="005E04A9">
      <w:pPr>
        <w:pStyle w:val="ListParagraph"/>
        <w:numPr>
          <w:ilvl w:val="2"/>
          <w:numId w:val="1"/>
        </w:numPr>
        <w:jc w:val="both"/>
      </w:pPr>
      <w:r>
        <w:t>All works undertaken in the property will be completed to the Medway Void Standard (Appendix 1) and to the Medway Standard as set out in the Asset Management Strategy.</w:t>
      </w:r>
    </w:p>
    <w:p w14:paraId="169C32B2" w14:textId="2FA56639" w:rsidR="00A75A51" w:rsidRDefault="00A75A51" w:rsidP="005E04A9">
      <w:pPr>
        <w:pStyle w:val="ListParagraph"/>
        <w:numPr>
          <w:ilvl w:val="2"/>
          <w:numId w:val="1"/>
        </w:numPr>
        <w:jc w:val="both"/>
      </w:pPr>
      <w:r>
        <w:t>All void properties must have had a gas</w:t>
      </w:r>
      <w:r w:rsidR="00A77995">
        <w:t xml:space="preserve">, </w:t>
      </w:r>
      <w:r>
        <w:t>electrical</w:t>
      </w:r>
      <w:r w:rsidR="00A77995">
        <w:t xml:space="preserve"> and EPC</w:t>
      </w:r>
      <w:r>
        <w:t xml:space="preserve"> check</w:t>
      </w:r>
      <w:r w:rsidR="009005BC">
        <w:t>,</w:t>
      </w:r>
      <w:r>
        <w:t xml:space="preserve"> and have the necessary certificates in place before they can be deemed as ready to let. Copies of these will be given to the new tenant as part of the </w:t>
      </w:r>
      <w:proofErr w:type="gramStart"/>
      <w:r>
        <w:t>sign up</w:t>
      </w:r>
      <w:proofErr w:type="gramEnd"/>
      <w:r>
        <w:t xml:space="preserve"> process. </w:t>
      </w:r>
    </w:p>
    <w:p w14:paraId="0151856C" w14:textId="77777777" w:rsidR="00A75A51" w:rsidRDefault="00A75A51" w:rsidP="005E04A9">
      <w:pPr>
        <w:pStyle w:val="ListParagraph"/>
        <w:numPr>
          <w:ilvl w:val="2"/>
          <w:numId w:val="1"/>
        </w:numPr>
        <w:jc w:val="both"/>
      </w:pPr>
      <w:r>
        <w:t xml:space="preserve">Major and Health and Safety works that would cause a high level of disruption to tenants or put their safety at risk, such as necessary removal of asbestos, damp and rot treatments will be completed prior to the start of the new tenancy. </w:t>
      </w:r>
    </w:p>
    <w:p w14:paraId="2F7840E6" w14:textId="77777777" w:rsidR="00A75A51" w:rsidRDefault="00A75A51" w:rsidP="005E04A9">
      <w:pPr>
        <w:pStyle w:val="ListParagraph"/>
        <w:numPr>
          <w:ilvl w:val="2"/>
          <w:numId w:val="1"/>
        </w:numPr>
        <w:jc w:val="both"/>
      </w:pPr>
      <w:r>
        <w:t xml:space="preserve">Every attempt will be made to complete all repairs prior to the new tenant taking up their tenancy, however, in some circumstances minor, non-essential repairs will be undertaken once the tenancy has commenced. These repairs will be undertaken once the tenancy has commenced. These repairs and the timescales for their completion will be in accordance with our Responsive Repairs Policy. </w:t>
      </w:r>
    </w:p>
    <w:p w14:paraId="335E8808" w14:textId="77777777" w:rsidR="00A75A51" w:rsidRDefault="00A75A51" w:rsidP="005E04A9">
      <w:pPr>
        <w:pStyle w:val="ListParagraph"/>
        <w:numPr>
          <w:ilvl w:val="2"/>
          <w:numId w:val="1"/>
        </w:numPr>
        <w:jc w:val="both"/>
      </w:pPr>
      <w:r>
        <w:t>Secure tenants have the right to improve their home after seeking written permission from the Council. Providing that any improvements found in void properties were properly inspected and approved at the time of their installation, or in retrospect and they pass any current health and safety inspections required and are fire risk compliant, they will remain in the property as a gifted item to the new tenant.</w:t>
      </w:r>
    </w:p>
    <w:p w14:paraId="4C955D08" w14:textId="77777777" w:rsidR="00A75A51" w:rsidRDefault="00A75A51" w:rsidP="005E04A9">
      <w:pPr>
        <w:pStyle w:val="ListParagraph"/>
        <w:numPr>
          <w:ilvl w:val="2"/>
          <w:numId w:val="1"/>
        </w:numPr>
        <w:jc w:val="both"/>
      </w:pPr>
      <w:r>
        <w:t xml:space="preserve">Once work to a void property has been completed the property will be post inspected to ensure the work meets Medway’s void standards. </w:t>
      </w:r>
    </w:p>
    <w:p w14:paraId="4DD14F68" w14:textId="77777777" w:rsidR="00A75A51" w:rsidRDefault="00A75A51" w:rsidP="005E04A9">
      <w:pPr>
        <w:pStyle w:val="ListParagraph"/>
        <w:numPr>
          <w:ilvl w:val="2"/>
          <w:numId w:val="1"/>
        </w:numPr>
        <w:jc w:val="both"/>
      </w:pPr>
      <w:r>
        <w:t xml:space="preserve">On becoming available for letting, the property will be offered in accordance with Medway Council’s Housing Allocations Policy. </w:t>
      </w:r>
    </w:p>
    <w:p w14:paraId="71E02338" w14:textId="77777777" w:rsidR="00A75A51" w:rsidRDefault="00A75A51" w:rsidP="005E04A9">
      <w:pPr>
        <w:pStyle w:val="ListParagraph"/>
        <w:numPr>
          <w:ilvl w:val="2"/>
          <w:numId w:val="1"/>
        </w:numPr>
        <w:jc w:val="both"/>
      </w:pPr>
      <w:r>
        <w:t xml:space="preserve">Housing Service will operate a multiple viewings system on ready to let properties. </w:t>
      </w:r>
    </w:p>
    <w:p w14:paraId="3EB3FE66" w14:textId="77777777" w:rsidR="00A75A51" w:rsidRDefault="00A75A51" w:rsidP="005E04A9">
      <w:pPr>
        <w:pStyle w:val="ListParagraph"/>
        <w:numPr>
          <w:ilvl w:val="2"/>
          <w:numId w:val="1"/>
        </w:numPr>
        <w:jc w:val="both"/>
      </w:pPr>
      <w:r>
        <w:t xml:space="preserve">An individual property will be defined as hard to let when it has been offered and refused 4 times. If Housing Services are unable to rectify the problem the property may be offered as temporary accommodation. </w:t>
      </w:r>
    </w:p>
    <w:p w14:paraId="1A336DFE" w14:textId="77777777" w:rsidR="00A75A51" w:rsidRDefault="00A75A51" w:rsidP="005E04A9">
      <w:pPr>
        <w:pStyle w:val="ListParagraph"/>
        <w:numPr>
          <w:ilvl w:val="2"/>
          <w:numId w:val="1"/>
        </w:numPr>
        <w:jc w:val="both"/>
      </w:pPr>
      <w:r>
        <w:t xml:space="preserve">Any new tenancy will be offered in accordance with our Tenancy Management Policy. </w:t>
      </w:r>
    </w:p>
    <w:p w14:paraId="420F6212" w14:textId="6F721582" w:rsidR="00A75A51" w:rsidRDefault="00A75A51" w:rsidP="005E04A9">
      <w:pPr>
        <w:pStyle w:val="ListParagraph"/>
        <w:numPr>
          <w:ilvl w:val="2"/>
          <w:numId w:val="1"/>
        </w:numPr>
        <w:jc w:val="both"/>
      </w:pPr>
      <w:r>
        <w:lastRenderedPageBreak/>
        <w:t>Housing Services will decorate Homes for Independent Living (</w:t>
      </w:r>
      <w:r w:rsidR="009005BC">
        <w:t>HFIL</w:t>
      </w:r>
      <w:r>
        <w:t xml:space="preserve">) properties prior to a tenant moving in. </w:t>
      </w:r>
    </w:p>
    <w:p w14:paraId="63321A3D" w14:textId="491DB341" w:rsidR="00A75A51" w:rsidRDefault="00A75A51" w:rsidP="005E04A9">
      <w:pPr>
        <w:pStyle w:val="ListParagraph"/>
        <w:numPr>
          <w:ilvl w:val="2"/>
          <w:numId w:val="1"/>
        </w:numPr>
        <w:jc w:val="both"/>
      </w:pPr>
      <w:r>
        <w:t xml:space="preserve">Housing Services will not decorate General Needs (non </w:t>
      </w:r>
      <w:r w:rsidR="009005BC">
        <w:t>HFIL</w:t>
      </w:r>
      <w:r>
        <w:t xml:space="preserve">) properties prior to new tenants moving in. Where an officer feels a general </w:t>
      </w:r>
      <w:proofErr w:type="gramStart"/>
      <w:r w:rsidR="009005BC">
        <w:t>needs</w:t>
      </w:r>
      <w:proofErr w:type="gramEnd"/>
      <w:r w:rsidR="009005BC">
        <w:t xml:space="preserve"> </w:t>
      </w:r>
      <w:r>
        <w:t>property is in a poor state of decoration (for example walls have been extensively filled, or paintwork is very poor) a decoration pack will be issued</w:t>
      </w:r>
      <w:r w:rsidR="009005BC">
        <w:t>.  A dec pac</w:t>
      </w:r>
      <w:r w:rsidR="00F91A9E">
        <w:t>k</w:t>
      </w:r>
      <w:r>
        <w:t xml:space="preserve"> contains appropriate types and amounts of decorating products to assist the new tenant in decorating the area/room deemed to be in a poor state of decoration. If only a particular number of rooms are in a poor state of </w:t>
      </w:r>
      <w:r w:rsidR="00F91A9E">
        <w:t>decoration,</w:t>
      </w:r>
      <w:r>
        <w:t xml:space="preserve"> then single room packs will be issued for the number of rooms needing decoration whereas if the whole property is in a poor state of decoration a while property pack will be issued based on the size of the property. Packs are only issued if officers feel the property needs to be decorated as it is in a poor state, they will not be issued so that tenants can update the decoration to their choice. The type of decoration pack issued can be found in appendix 2. </w:t>
      </w:r>
    </w:p>
    <w:p w14:paraId="14257DDD" w14:textId="77777777" w:rsidR="00A75A51" w:rsidRDefault="00A75A51" w:rsidP="005E04A9">
      <w:pPr>
        <w:pStyle w:val="ListParagraph"/>
        <w:numPr>
          <w:ilvl w:val="2"/>
          <w:numId w:val="1"/>
        </w:numPr>
        <w:jc w:val="both"/>
      </w:pPr>
      <w:r>
        <w:t xml:space="preserve">New tenants will be given the opportunity to feed back their satisfaction with the void management process and condition of the property when let during the new tenant visit that will be conducted within the first 6 weeks of their tenancy commencing. </w:t>
      </w:r>
    </w:p>
    <w:p w14:paraId="7D5A49BE" w14:textId="77777777" w:rsidR="00AA150F" w:rsidRDefault="00AA150F" w:rsidP="005E04A9">
      <w:pPr>
        <w:pStyle w:val="Heading1"/>
        <w:numPr>
          <w:ilvl w:val="0"/>
          <w:numId w:val="1"/>
        </w:numPr>
        <w:jc w:val="both"/>
      </w:pPr>
      <w:r>
        <w:t xml:space="preserve">Role, </w:t>
      </w:r>
      <w:proofErr w:type="gramStart"/>
      <w:r>
        <w:t>responsibilities</w:t>
      </w:r>
      <w:proofErr w:type="gramEnd"/>
      <w:r>
        <w:t xml:space="preserve"> and authority</w:t>
      </w:r>
    </w:p>
    <w:p w14:paraId="0BCC02A6" w14:textId="77777777" w:rsidR="00A75A51" w:rsidRDefault="00A75A51" w:rsidP="005E04A9">
      <w:pPr>
        <w:pStyle w:val="ListParagraph"/>
        <w:numPr>
          <w:ilvl w:val="2"/>
          <w:numId w:val="1"/>
        </w:numPr>
        <w:jc w:val="both"/>
      </w:pPr>
      <w:r>
        <w:t xml:space="preserve">The Assistant Director for Physical and Cultural Regeneration retains the overall responsibility for the implementation of this policy. </w:t>
      </w:r>
    </w:p>
    <w:p w14:paraId="2C8E6143" w14:textId="1372B05D" w:rsidR="00CB11CD" w:rsidRDefault="00A75A51" w:rsidP="005E04A9">
      <w:pPr>
        <w:pStyle w:val="ListParagraph"/>
        <w:numPr>
          <w:ilvl w:val="2"/>
          <w:numId w:val="1"/>
        </w:numPr>
        <w:jc w:val="both"/>
      </w:pPr>
      <w:r>
        <w:t xml:space="preserve">The Neighbourhood Services Manager is responsible for the operational delivery of this policy, the associated procedures and has the responsibility for ensuring that this policy complies with Regulatory and Legislative requirements. </w:t>
      </w:r>
    </w:p>
    <w:p w14:paraId="31E49AE8" w14:textId="589B36D0" w:rsidR="00F91A9E" w:rsidRPr="00CB11CD" w:rsidRDefault="00F91A9E" w:rsidP="005E04A9">
      <w:pPr>
        <w:pStyle w:val="ListParagraph"/>
        <w:numPr>
          <w:ilvl w:val="2"/>
          <w:numId w:val="1"/>
        </w:numPr>
        <w:jc w:val="both"/>
      </w:pPr>
      <w:r>
        <w:t>The Neighbourhood Services Manager will work in conju</w:t>
      </w:r>
      <w:r w:rsidR="00231F5A">
        <w:t>nction with the HRA Contracts Manger to deliver this policy efficiently.</w:t>
      </w:r>
    </w:p>
    <w:p w14:paraId="6D3621B3" w14:textId="77777777" w:rsidR="00AA150F" w:rsidRDefault="00AA150F" w:rsidP="005E04A9">
      <w:pPr>
        <w:pStyle w:val="Heading1"/>
        <w:numPr>
          <w:ilvl w:val="0"/>
          <w:numId w:val="1"/>
        </w:numPr>
        <w:jc w:val="both"/>
      </w:pPr>
      <w:r>
        <w:t xml:space="preserve">Monitoring, </w:t>
      </w:r>
      <w:proofErr w:type="gramStart"/>
      <w:r>
        <w:t>review</w:t>
      </w:r>
      <w:proofErr w:type="gramEnd"/>
      <w:r>
        <w:t xml:space="preserve"> and evaluation</w:t>
      </w:r>
    </w:p>
    <w:p w14:paraId="50B7D27A" w14:textId="206E9240" w:rsidR="00A75A51" w:rsidRDefault="00A75A51" w:rsidP="005E04A9">
      <w:pPr>
        <w:pStyle w:val="ListParagraph"/>
        <w:numPr>
          <w:ilvl w:val="2"/>
          <w:numId w:val="1"/>
        </w:numPr>
        <w:jc w:val="both"/>
      </w:pPr>
      <w:r>
        <w:t>The Neighbourhood Services Manager</w:t>
      </w:r>
      <w:r w:rsidR="00231F5A">
        <w:t xml:space="preserve"> and HRA Contracts Manager</w:t>
      </w:r>
      <w:r>
        <w:t xml:space="preserve"> will monitor lettable void standard and void turnaround time. Void performance will also be discussed regularly at void meetings which are attended by Medway Council employees and the contractors carrying out the void works. Void performance will also be monitored on a monthly and quarterly basis via the following performance indicators: </w:t>
      </w:r>
    </w:p>
    <w:p w14:paraId="3712754D" w14:textId="77777777" w:rsidR="00A75A51" w:rsidRDefault="00A75A51" w:rsidP="00231F5A">
      <w:pPr>
        <w:pStyle w:val="ListParagraph"/>
        <w:numPr>
          <w:ilvl w:val="2"/>
          <w:numId w:val="6"/>
        </w:numPr>
        <w:jc w:val="both"/>
      </w:pPr>
      <w:r>
        <w:t>Void turnaround tome against annual performance target</w:t>
      </w:r>
    </w:p>
    <w:p w14:paraId="5A2AE2CA" w14:textId="77777777" w:rsidR="00A75A51" w:rsidRDefault="00A75A51" w:rsidP="00231F5A">
      <w:pPr>
        <w:pStyle w:val="ListParagraph"/>
        <w:numPr>
          <w:ilvl w:val="2"/>
          <w:numId w:val="6"/>
        </w:numPr>
        <w:jc w:val="both"/>
      </w:pPr>
      <w:r>
        <w:t xml:space="preserve">The number of new tenants satisfied with the condition of their property upon sign </w:t>
      </w:r>
      <w:proofErr w:type="gramStart"/>
      <w:r>
        <w:t>up</w:t>
      </w:r>
      <w:proofErr w:type="gramEnd"/>
    </w:p>
    <w:p w14:paraId="3A4B34BA" w14:textId="77777777" w:rsidR="00A75A51" w:rsidRDefault="00A75A51" w:rsidP="00231F5A">
      <w:pPr>
        <w:pStyle w:val="ListParagraph"/>
        <w:numPr>
          <w:ilvl w:val="2"/>
          <w:numId w:val="6"/>
        </w:numPr>
        <w:jc w:val="both"/>
      </w:pPr>
      <w:r>
        <w:t>Void rent loss</w:t>
      </w:r>
    </w:p>
    <w:p w14:paraId="72329923" w14:textId="77777777" w:rsidR="007D1604" w:rsidRDefault="00A75A51" w:rsidP="005E04A9">
      <w:pPr>
        <w:pStyle w:val="ListParagraph"/>
        <w:numPr>
          <w:ilvl w:val="2"/>
          <w:numId w:val="1"/>
        </w:numPr>
        <w:jc w:val="both"/>
      </w:pPr>
      <w:r>
        <w:t>This policy will be reviewed on a biennial basis or in line with legislative or regulatory changes.</w:t>
      </w:r>
    </w:p>
    <w:p w14:paraId="1A29BE31" w14:textId="456FAD58" w:rsidR="00AA150F" w:rsidRPr="00231F5A" w:rsidRDefault="00A75A51" w:rsidP="005E04A9">
      <w:pPr>
        <w:jc w:val="both"/>
        <w:rPr>
          <w:b/>
          <w:bCs/>
          <w:u w:val="single"/>
        </w:rPr>
      </w:pPr>
      <w:r w:rsidRPr="00231F5A">
        <w:rPr>
          <w:b/>
          <w:bCs/>
          <w:u w:val="single"/>
        </w:rPr>
        <w:t xml:space="preserve">This version published: </w:t>
      </w:r>
      <w:r w:rsidR="00231F5A" w:rsidRPr="00231F5A">
        <w:rPr>
          <w:b/>
          <w:bCs/>
          <w:u w:val="single"/>
        </w:rPr>
        <w:t xml:space="preserve">October </w:t>
      </w:r>
      <w:r w:rsidRPr="00231F5A">
        <w:rPr>
          <w:b/>
          <w:bCs/>
          <w:u w:val="single"/>
        </w:rPr>
        <w:t>202</w:t>
      </w:r>
      <w:r w:rsidR="00231F5A" w:rsidRPr="00231F5A">
        <w:rPr>
          <w:b/>
          <w:bCs/>
          <w:u w:val="single"/>
        </w:rPr>
        <w:t>2</w:t>
      </w:r>
    </w:p>
    <w:p w14:paraId="15759BC2" w14:textId="4A27136B" w:rsidR="00211A97" w:rsidRDefault="00A75A51" w:rsidP="005E04A9">
      <w:pPr>
        <w:jc w:val="both"/>
        <w:rPr>
          <w:b/>
          <w:bCs/>
          <w:u w:val="single"/>
        </w:rPr>
      </w:pPr>
      <w:r w:rsidRPr="00231F5A">
        <w:rPr>
          <w:b/>
          <w:bCs/>
          <w:u w:val="single"/>
        </w:rPr>
        <w:t xml:space="preserve">Next review due: </w:t>
      </w:r>
      <w:r w:rsidR="00231F5A" w:rsidRPr="00231F5A">
        <w:rPr>
          <w:b/>
          <w:bCs/>
          <w:u w:val="single"/>
        </w:rPr>
        <w:t>October</w:t>
      </w:r>
      <w:r w:rsidRPr="00231F5A">
        <w:rPr>
          <w:b/>
          <w:bCs/>
          <w:u w:val="single"/>
        </w:rPr>
        <w:t xml:space="preserve"> 202</w:t>
      </w:r>
      <w:r w:rsidR="00231F5A" w:rsidRPr="00231F5A">
        <w:rPr>
          <w:b/>
          <w:bCs/>
          <w:u w:val="single"/>
        </w:rPr>
        <w:t>4</w:t>
      </w:r>
    </w:p>
    <w:p w14:paraId="5820D985" w14:textId="77777777" w:rsidR="00211A97" w:rsidRDefault="00211A97">
      <w:pPr>
        <w:rPr>
          <w:b/>
          <w:bCs/>
          <w:u w:val="single"/>
        </w:rPr>
      </w:pPr>
      <w:r>
        <w:rPr>
          <w:b/>
          <w:bCs/>
          <w:u w:val="single"/>
        </w:rPr>
        <w:br w:type="page"/>
      </w:r>
    </w:p>
    <w:p w14:paraId="434F095D" w14:textId="77777777" w:rsidR="00B86014" w:rsidRDefault="00B86014" w:rsidP="005E04A9">
      <w:pPr>
        <w:jc w:val="both"/>
      </w:pPr>
    </w:p>
    <w:p w14:paraId="67128647" w14:textId="77777777" w:rsidR="00A75A51" w:rsidRPr="00B01D09" w:rsidRDefault="00A75A51" w:rsidP="005E04A9">
      <w:pPr>
        <w:pStyle w:val="Title"/>
        <w:jc w:val="both"/>
      </w:pPr>
      <w:r w:rsidRPr="00B01D09">
        <w:t>Appendix 1</w:t>
      </w:r>
    </w:p>
    <w:p w14:paraId="4CB635BF" w14:textId="77777777" w:rsidR="00A75A51" w:rsidRPr="00B01D09" w:rsidRDefault="00A75A51" w:rsidP="005E04A9">
      <w:pPr>
        <w:pStyle w:val="Heading1"/>
        <w:jc w:val="both"/>
      </w:pPr>
      <w:r w:rsidRPr="00B01D09">
        <w:t>Lettable standard</w:t>
      </w:r>
    </w:p>
    <w:p w14:paraId="0538C611" w14:textId="77777777" w:rsidR="00A75A51" w:rsidRPr="00777377" w:rsidRDefault="00A75A51" w:rsidP="005E04A9">
      <w:pPr>
        <w:tabs>
          <w:tab w:val="left" w:pos="1125"/>
        </w:tabs>
        <w:jc w:val="both"/>
      </w:pPr>
      <w:r>
        <w:t>The following standard relates to all of</w:t>
      </w:r>
      <w:r w:rsidR="00777377">
        <w:t xml:space="preserve"> Medway’s void turnaround </w:t>
      </w:r>
      <w:proofErr w:type="gramStart"/>
      <w:r w:rsidR="00777377">
        <w:t>times</w:t>
      </w:r>
      <w:proofErr w:type="gramEnd"/>
    </w:p>
    <w:tbl>
      <w:tblPr>
        <w:tblStyle w:val="GridTable1Light-Accent1"/>
        <w:tblW w:w="0" w:type="auto"/>
        <w:tblLook w:val="04A0" w:firstRow="1" w:lastRow="0" w:firstColumn="1" w:lastColumn="0" w:noHBand="0" w:noVBand="1"/>
        <w:tblCaption w:val="5 day voids"/>
      </w:tblPr>
      <w:tblGrid>
        <w:gridCol w:w="4508"/>
        <w:gridCol w:w="4508"/>
      </w:tblGrid>
      <w:tr w:rsidR="007D1604" w14:paraId="00ADAED9" w14:textId="77777777" w:rsidTr="002132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6E13404E" w14:textId="77777777" w:rsidR="007D1604" w:rsidRPr="00777377" w:rsidRDefault="007D1604" w:rsidP="005E04A9">
            <w:pPr>
              <w:tabs>
                <w:tab w:val="left" w:pos="1125"/>
              </w:tabs>
              <w:jc w:val="both"/>
              <w:rPr>
                <w:b w:val="0"/>
              </w:rPr>
            </w:pPr>
            <w:proofErr w:type="gramStart"/>
            <w:r w:rsidRPr="00777377">
              <w:rPr>
                <w:b w:val="0"/>
              </w:rPr>
              <w:t>5 day</w:t>
            </w:r>
            <w:proofErr w:type="gramEnd"/>
            <w:r w:rsidRPr="00777377">
              <w:rPr>
                <w:b w:val="0"/>
              </w:rPr>
              <w:t xml:space="preserve"> turnaround</w:t>
            </w:r>
          </w:p>
        </w:tc>
        <w:tc>
          <w:tcPr>
            <w:tcW w:w="4508" w:type="dxa"/>
          </w:tcPr>
          <w:p w14:paraId="7396F123" w14:textId="77777777" w:rsidR="007D1604" w:rsidRPr="00777377" w:rsidRDefault="007D1604" w:rsidP="005E04A9">
            <w:pPr>
              <w:tabs>
                <w:tab w:val="left" w:pos="1125"/>
              </w:tabs>
              <w:jc w:val="both"/>
              <w:cnfStyle w:val="100000000000" w:firstRow="1" w:lastRow="0" w:firstColumn="0" w:lastColumn="0" w:oddVBand="0" w:evenVBand="0" w:oddHBand="0" w:evenHBand="0" w:firstRowFirstColumn="0" w:firstRowLastColumn="0" w:lastRowFirstColumn="0" w:lastRowLastColumn="0"/>
              <w:rPr>
                <w:b w:val="0"/>
              </w:rPr>
            </w:pPr>
            <w:r>
              <w:rPr>
                <w:b w:val="0"/>
              </w:rPr>
              <w:t>Spec</w:t>
            </w:r>
          </w:p>
        </w:tc>
      </w:tr>
      <w:tr w:rsidR="00A75A51" w14:paraId="262FB5E9"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22197A4C" w14:textId="77777777" w:rsidR="00A75A51" w:rsidRPr="004D53BB" w:rsidRDefault="00A75A51" w:rsidP="005E04A9">
            <w:pPr>
              <w:tabs>
                <w:tab w:val="left" w:pos="1125"/>
              </w:tabs>
              <w:jc w:val="both"/>
            </w:pPr>
            <w:r w:rsidRPr="004D53BB">
              <w:t>Clear and wash down property</w:t>
            </w:r>
          </w:p>
        </w:tc>
        <w:tc>
          <w:tcPr>
            <w:tcW w:w="4508" w:type="dxa"/>
          </w:tcPr>
          <w:p w14:paraId="467589AE"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Clear garden and cut grass</w:t>
            </w:r>
          </w:p>
        </w:tc>
      </w:tr>
      <w:tr w:rsidR="00A75A51" w14:paraId="55EA353E"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0F6277C6" w14:textId="77777777" w:rsidR="00A75A51" w:rsidRPr="004D53BB" w:rsidRDefault="00A75A51" w:rsidP="005E04A9">
            <w:pPr>
              <w:tabs>
                <w:tab w:val="left" w:pos="1125"/>
              </w:tabs>
              <w:jc w:val="both"/>
            </w:pPr>
            <w:r w:rsidRPr="004D53BB">
              <w:t>Clean dirty windows and window frames</w:t>
            </w:r>
          </w:p>
        </w:tc>
        <w:tc>
          <w:tcPr>
            <w:tcW w:w="4508" w:type="dxa"/>
          </w:tcPr>
          <w:p w14:paraId="4F99AF62"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Make good floor screed as required</w:t>
            </w:r>
          </w:p>
        </w:tc>
      </w:tr>
      <w:tr w:rsidR="00A75A51" w14:paraId="6AC6C4EC"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150961EB" w14:textId="77777777" w:rsidR="00A75A51" w:rsidRPr="004D53BB" w:rsidRDefault="00A75A51" w:rsidP="005E04A9">
            <w:pPr>
              <w:tabs>
                <w:tab w:val="left" w:pos="1125"/>
              </w:tabs>
              <w:jc w:val="both"/>
            </w:pPr>
            <w:r w:rsidRPr="004D53BB">
              <w:t>Cap off gas supply</w:t>
            </w:r>
          </w:p>
        </w:tc>
        <w:tc>
          <w:tcPr>
            <w:tcW w:w="4508" w:type="dxa"/>
          </w:tcPr>
          <w:p w14:paraId="23FE3868"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Carry out SPC</w:t>
            </w:r>
          </w:p>
        </w:tc>
      </w:tr>
      <w:tr w:rsidR="00A75A51" w14:paraId="3D5AD226"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667D7516" w14:textId="77777777" w:rsidR="00A75A51" w:rsidRPr="004D53BB" w:rsidRDefault="00A75A51" w:rsidP="005E04A9">
            <w:pPr>
              <w:tabs>
                <w:tab w:val="left" w:pos="1125"/>
              </w:tabs>
              <w:jc w:val="both"/>
            </w:pPr>
            <w:r w:rsidRPr="004D53BB">
              <w:t>Lock change</w:t>
            </w:r>
          </w:p>
        </w:tc>
        <w:tc>
          <w:tcPr>
            <w:tcW w:w="4508" w:type="dxa"/>
          </w:tcPr>
          <w:p w14:paraId="7601C7CC"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Carry out gas safety check</w:t>
            </w:r>
          </w:p>
        </w:tc>
      </w:tr>
      <w:tr w:rsidR="00A75A51" w14:paraId="1FEC33BC"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603CCB27" w14:textId="77777777" w:rsidR="00A75A51" w:rsidRPr="004D53BB" w:rsidRDefault="00A75A51" w:rsidP="005E04A9">
            <w:pPr>
              <w:tabs>
                <w:tab w:val="left" w:pos="1125"/>
              </w:tabs>
              <w:jc w:val="both"/>
            </w:pPr>
            <w:r w:rsidRPr="004D53BB">
              <w:t>Electrical safety check</w:t>
            </w:r>
          </w:p>
        </w:tc>
        <w:tc>
          <w:tcPr>
            <w:tcW w:w="4508" w:type="dxa"/>
          </w:tcPr>
          <w:p w14:paraId="174A7EB9"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Change single sockets to doubles</w:t>
            </w:r>
          </w:p>
        </w:tc>
      </w:tr>
      <w:tr w:rsidR="00A75A51" w14:paraId="25CC53DC"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43897370" w14:textId="77777777" w:rsidR="00A75A51" w:rsidRPr="004D53BB" w:rsidRDefault="00A75A51" w:rsidP="005E04A9">
            <w:pPr>
              <w:tabs>
                <w:tab w:val="left" w:pos="1125"/>
              </w:tabs>
              <w:jc w:val="both"/>
            </w:pPr>
            <w:r w:rsidRPr="004D53BB">
              <w:t>Carry out management asbestos survey</w:t>
            </w:r>
          </w:p>
        </w:tc>
        <w:tc>
          <w:tcPr>
            <w:tcW w:w="4508" w:type="dxa"/>
          </w:tcPr>
          <w:p w14:paraId="0B1E55C0"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Renew door handles and latches</w:t>
            </w:r>
          </w:p>
        </w:tc>
      </w:tr>
      <w:tr w:rsidR="00A75A51" w14:paraId="371FAD80"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2AB9DFBD" w14:textId="77777777" w:rsidR="00A75A51" w:rsidRPr="004D53BB" w:rsidRDefault="00A75A51" w:rsidP="005E04A9">
            <w:pPr>
              <w:tabs>
                <w:tab w:val="left" w:pos="1125"/>
              </w:tabs>
              <w:jc w:val="both"/>
            </w:pPr>
            <w:r w:rsidRPr="004D53BB">
              <w:t>Repair kitchen units</w:t>
            </w:r>
          </w:p>
        </w:tc>
        <w:tc>
          <w:tcPr>
            <w:tcW w:w="4508" w:type="dxa"/>
          </w:tcPr>
          <w:p w14:paraId="37C90DB5"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Minor joinery repairs</w:t>
            </w:r>
          </w:p>
        </w:tc>
      </w:tr>
      <w:tr w:rsidR="00A75A51" w14:paraId="20552AC8"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554FCBAF" w14:textId="77777777" w:rsidR="00A75A51" w:rsidRPr="004D53BB" w:rsidRDefault="00A75A51" w:rsidP="005E04A9">
            <w:pPr>
              <w:tabs>
                <w:tab w:val="left" w:pos="1125"/>
              </w:tabs>
              <w:jc w:val="both"/>
            </w:pPr>
            <w:r w:rsidRPr="0017174F">
              <w:t>Ease</w:t>
            </w:r>
            <w:r w:rsidRPr="004D53BB">
              <w:t xml:space="preserve"> and adjust doors</w:t>
            </w:r>
          </w:p>
        </w:tc>
        <w:tc>
          <w:tcPr>
            <w:tcW w:w="4508" w:type="dxa"/>
          </w:tcPr>
          <w:p w14:paraId="7145DDA6" w14:textId="77777777" w:rsidR="00A75A51" w:rsidRPr="00497D86"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17174F">
              <w:t>Ease</w:t>
            </w:r>
            <w:r w:rsidRPr="00497D86">
              <w:t xml:space="preserve"> and adjust windows</w:t>
            </w:r>
          </w:p>
        </w:tc>
      </w:tr>
      <w:tr w:rsidR="00A75A51" w14:paraId="067BEEBD"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7E570FB2" w14:textId="77777777" w:rsidR="00A75A51" w:rsidRPr="004D53BB" w:rsidRDefault="00A75A51" w:rsidP="005E04A9">
            <w:pPr>
              <w:tabs>
                <w:tab w:val="left" w:pos="1125"/>
              </w:tabs>
              <w:jc w:val="both"/>
            </w:pPr>
            <w:r w:rsidRPr="004D53BB">
              <w:t>Renew window catches</w:t>
            </w:r>
          </w:p>
        </w:tc>
        <w:tc>
          <w:tcPr>
            <w:tcW w:w="4508" w:type="dxa"/>
          </w:tcPr>
          <w:p w14:paraId="6D022615"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Secure handrail</w:t>
            </w:r>
          </w:p>
        </w:tc>
      </w:tr>
      <w:tr w:rsidR="00A75A51" w14:paraId="4FA782DD"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5B828CEB" w14:textId="77777777" w:rsidR="00A75A51" w:rsidRPr="004D53BB" w:rsidRDefault="00A75A51" w:rsidP="005E04A9">
            <w:pPr>
              <w:tabs>
                <w:tab w:val="left" w:pos="1125"/>
              </w:tabs>
              <w:jc w:val="both"/>
            </w:pPr>
            <w:r w:rsidRPr="004D53BB">
              <w:t>Renew glazing (single glazed)</w:t>
            </w:r>
          </w:p>
        </w:tc>
        <w:tc>
          <w:tcPr>
            <w:tcW w:w="4508" w:type="dxa"/>
          </w:tcPr>
          <w:p w14:paraId="3A64FF6B"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Remove gripper rods and nails</w:t>
            </w:r>
          </w:p>
        </w:tc>
      </w:tr>
      <w:tr w:rsidR="00A75A51" w14:paraId="04972074"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68542DB4" w14:textId="77777777" w:rsidR="00A75A51" w:rsidRPr="004D53BB" w:rsidRDefault="00A75A51" w:rsidP="005E04A9">
            <w:pPr>
              <w:tabs>
                <w:tab w:val="left" w:pos="1125"/>
              </w:tabs>
              <w:jc w:val="both"/>
            </w:pPr>
            <w:r w:rsidRPr="004D53BB">
              <w:t>Re-fix loose floorboards</w:t>
            </w:r>
          </w:p>
        </w:tc>
        <w:tc>
          <w:tcPr>
            <w:tcW w:w="4508" w:type="dxa"/>
          </w:tcPr>
          <w:p w14:paraId="006A2EEE"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Renew kitchen taps</w:t>
            </w:r>
          </w:p>
        </w:tc>
      </w:tr>
      <w:tr w:rsidR="00A75A51" w14:paraId="4C057F4B"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34C4BA44" w14:textId="77777777" w:rsidR="00A75A51" w:rsidRPr="004D53BB" w:rsidRDefault="00A75A51" w:rsidP="005E04A9">
            <w:pPr>
              <w:tabs>
                <w:tab w:val="left" w:pos="1125"/>
              </w:tabs>
              <w:jc w:val="both"/>
            </w:pPr>
            <w:r w:rsidRPr="004D53BB">
              <w:t>Plumb for washer</w:t>
            </w:r>
          </w:p>
        </w:tc>
        <w:tc>
          <w:tcPr>
            <w:tcW w:w="4508" w:type="dxa"/>
          </w:tcPr>
          <w:p w14:paraId="7A2A838C"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Renew isolated wall of floor tiles</w:t>
            </w:r>
          </w:p>
        </w:tc>
      </w:tr>
      <w:tr w:rsidR="00A75A51" w14:paraId="7AD2B9F4"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09F131FF" w14:textId="77777777" w:rsidR="00A75A51" w:rsidRPr="004D53BB" w:rsidRDefault="00A75A51" w:rsidP="005E04A9">
            <w:pPr>
              <w:tabs>
                <w:tab w:val="left" w:pos="1125"/>
              </w:tabs>
              <w:jc w:val="both"/>
            </w:pPr>
            <w:r w:rsidRPr="004D53BB">
              <w:t>Renew bathroom taps</w:t>
            </w:r>
          </w:p>
        </w:tc>
        <w:tc>
          <w:tcPr>
            <w:tcW w:w="4508" w:type="dxa"/>
          </w:tcPr>
          <w:p w14:paraId="0517BDA3"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Re-programme alarm</w:t>
            </w:r>
          </w:p>
        </w:tc>
      </w:tr>
      <w:tr w:rsidR="00A75A51" w14:paraId="3E26A97A"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0134B823" w14:textId="77777777" w:rsidR="00A75A51" w:rsidRPr="004D53BB" w:rsidRDefault="00A75A51" w:rsidP="005E04A9">
            <w:pPr>
              <w:tabs>
                <w:tab w:val="left" w:pos="1125"/>
              </w:tabs>
              <w:jc w:val="both"/>
            </w:pPr>
            <w:r w:rsidRPr="004D53BB">
              <w:t>Strip out laminate flooring</w:t>
            </w:r>
          </w:p>
        </w:tc>
        <w:tc>
          <w:tcPr>
            <w:tcW w:w="4508" w:type="dxa"/>
          </w:tcPr>
          <w:p w14:paraId="5E88B8CE"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Fit new WC seat</w:t>
            </w:r>
          </w:p>
        </w:tc>
      </w:tr>
      <w:tr w:rsidR="00A75A51" w14:paraId="344D3371"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6C408F2D" w14:textId="77777777" w:rsidR="00A75A51" w:rsidRPr="004D53BB" w:rsidRDefault="00A75A51" w:rsidP="005E04A9">
            <w:pPr>
              <w:tabs>
                <w:tab w:val="left" w:pos="1125"/>
              </w:tabs>
              <w:jc w:val="both"/>
            </w:pPr>
            <w:r w:rsidRPr="004D53BB">
              <w:t>Make safe damaged doubled glazing</w:t>
            </w:r>
          </w:p>
        </w:tc>
        <w:tc>
          <w:tcPr>
            <w:tcW w:w="4508" w:type="dxa"/>
          </w:tcPr>
          <w:p w14:paraId="03C193BC"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Supply and fit side bolt to bathroom door</w:t>
            </w:r>
          </w:p>
        </w:tc>
      </w:tr>
      <w:tr w:rsidR="00A75A51" w14:paraId="05437928" w14:textId="77777777" w:rsidTr="003B7FDE">
        <w:tc>
          <w:tcPr>
            <w:cnfStyle w:val="001000000000" w:firstRow="0" w:lastRow="0" w:firstColumn="1" w:lastColumn="0" w:oddVBand="0" w:evenVBand="0" w:oddHBand="0" w:evenHBand="0" w:firstRowFirstColumn="0" w:firstRowLastColumn="0" w:lastRowFirstColumn="0" w:lastRowLastColumn="0"/>
            <w:tcW w:w="4508" w:type="dxa"/>
          </w:tcPr>
          <w:p w14:paraId="10BB4CF9" w14:textId="77777777" w:rsidR="00A75A51" w:rsidRPr="004D53BB" w:rsidRDefault="00A75A51" w:rsidP="005E04A9">
            <w:pPr>
              <w:tabs>
                <w:tab w:val="left" w:pos="1125"/>
              </w:tabs>
              <w:jc w:val="both"/>
            </w:pPr>
            <w:r w:rsidRPr="004D53BB">
              <w:t>Renew shower curtain</w:t>
            </w:r>
          </w:p>
        </w:tc>
        <w:tc>
          <w:tcPr>
            <w:tcW w:w="4508" w:type="dxa"/>
          </w:tcPr>
          <w:p w14:paraId="7C84948A" w14:textId="77777777" w:rsidR="00A75A51" w:rsidRPr="004D53BB" w:rsidRDefault="00A75A51" w:rsidP="005E04A9">
            <w:pPr>
              <w:tabs>
                <w:tab w:val="left" w:pos="1125"/>
              </w:tabs>
              <w:jc w:val="both"/>
              <w:cnfStyle w:val="000000000000" w:firstRow="0" w:lastRow="0" w:firstColumn="0" w:lastColumn="0" w:oddVBand="0" w:evenVBand="0" w:oddHBand="0" w:evenHBand="0" w:firstRowFirstColumn="0" w:firstRowLastColumn="0" w:lastRowFirstColumn="0" w:lastRowLastColumn="0"/>
            </w:pPr>
            <w:r w:rsidRPr="004D53BB">
              <w:t>Renew loft hatch if frame missing</w:t>
            </w:r>
          </w:p>
        </w:tc>
      </w:tr>
    </w:tbl>
    <w:p w14:paraId="088BB34D" w14:textId="77777777" w:rsidR="00A75A51" w:rsidRDefault="00A75A51" w:rsidP="005E04A9">
      <w:pPr>
        <w:tabs>
          <w:tab w:val="left" w:pos="1125"/>
        </w:tabs>
        <w:jc w:val="both"/>
        <w:rPr>
          <w:b/>
        </w:rPr>
      </w:pPr>
    </w:p>
    <w:tbl>
      <w:tblPr>
        <w:tblStyle w:val="TableGridLight"/>
        <w:tblW w:w="0" w:type="auto"/>
        <w:tblLook w:val="04A0" w:firstRow="1" w:lastRow="0" w:firstColumn="1" w:lastColumn="0" w:noHBand="0" w:noVBand="1"/>
        <w:tblCaption w:val="10 day void"/>
      </w:tblPr>
      <w:tblGrid>
        <w:gridCol w:w="4508"/>
        <w:gridCol w:w="4508"/>
      </w:tblGrid>
      <w:tr w:rsidR="00F25C10" w14:paraId="76EA6FF7" w14:textId="77777777" w:rsidTr="00460DB9">
        <w:trPr>
          <w:tblHeader/>
        </w:trPr>
        <w:tc>
          <w:tcPr>
            <w:tcW w:w="4508" w:type="dxa"/>
          </w:tcPr>
          <w:p w14:paraId="726A3430" w14:textId="77777777" w:rsidR="00F25C10" w:rsidRPr="00777377" w:rsidRDefault="00F25C10" w:rsidP="005E04A9">
            <w:pPr>
              <w:tabs>
                <w:tab w:val="left" w:pos="1125"/>
              </w:tabs>
              <w:jc w:val="both"/>
              <w:rPr>
                <w:b/>
              </w:rPr>
            </w:pPr>
            <w:proofErr w:type="gramStart"/>
            <w:r w:rsidRPr="00777377">
              <w:rPr>
                <w:b/>
              </w:rPr>
              <w:t>Ten day</w:t>
            </w:r>
            <w:proofErr w:type="gramEnd"/>
            <w:r w:rsidRPr="00777377">
              <w:rPr>
                <w:b/>
              </w:rPr>
              <w:t xml:space="preserve"> turnaround</w:t>
            </w:r>
          </w:p>
        </w:tc>
        <w:tc>
          <w:tcPr>
            <w:tcW w:w="4508" w:type="dxa"/>
          </w:tcPr>
          <w:p w14:paraId="6F60FD83" w14:textId="77777777" w:rsidR="00F25C10" w:rsidRPr="00777377" w:rsidRDefault="00F25C10" w:rsidP="005E04A9">
            <w:pPr>
              <w:tabs>
                <w:tab w:val="left" w:pos="1125"/>
              </w:tabs>
              <w:jc w:val="both"/>
              <w:rPr>
                <w:b/>
              </w:rPr>
            </w:pPr>
            <w:r>
              <w:rPr>
                <w:b/>
              </w:rPr>
              <w:t>Spec</w:t>
            </w:r>
          </w:p>
        </w:tc>
      </w:tr>
      <w:tr w:rsidR="00A75A51" w14:paraId="072CD76D" w14:textId="77777777" w:rsidTr="00581731">
        <w:tc>
          <w:tcPr>
            <w:tcW w:w="4508" w:type="dxa"/>
          </w:tcPr>
          <w:p w14:paraId="1AD64DCB" w14:textId="77777777" w:rsidR="00A75A51" w:rsidRPr="00AF58F7" w:rsidRDefault="00A75A51" w:rsidP="005E04A9">
            <w:pPr>
              <w:pStyle w:val="Default"/>
              <w:jc w:val="both"/>
              <w:rPr>
                <w:sz w:val="20"/>
                <w:szCs w:val="20"/>
              </w:rPr>
            </w:pPr>
            <w:r w:rsidRPr="00AF58F7">
              <w:rPr>
                <w:sz w:val="20"/>
                <w:szCs w:val="20"/>
              </w:rPr>
              <w:t xml:space="preserve">Remove polystyrene ceiling tiles and skim </w:t>
            </w:r>
            <w:proofErr w:type="gramStart"/>
            <w:r w:rsidRPr="00AF58F7">
              <w:rPr>
                <w:sz w:val="20"/>
                <w:szCs w:val="20"/>
              </w:rPr>
              <w:t>ceilings</w:t>
            </w:r>
            <w:proofErr w:type="gramEnd"/>
            <w:r w:rsidRPr="00AF58F7">
              <w:rPr>
                <w:sz w:val="20"/>
                <w:szCs w:val="20"/>
              </w:rPr>
              <w:t xml:space="preserve"> </w:t>
            </w:r>
          </w:p>
          <w:p w14:paraId="2A73305A" w14:textId="77777777" w:rsidR="00A75A51" w:rsidRPr="00AF58F7" w:rsidRDefault="00A75A51" w:rsidP="005E04A9">
            <w:pPr>
              <w:tabs>
                <w:tab w:val="left" w:pos="1125"/>
              </w:tabs>
              <w:jc w:val="both"/>
            </w:pPr>
          </w:p>
        </w:tc>
        <w:tc>
          <w:tcPr>
            <w:tcW w:w="4508" w:type="dxa"/>
          </w:tcPr>
          <w:p w14:paraId="2012AABD" w14:textId="77777777" w:rsidR="00A75A51" w:rsidRPr="00AF58F7" w:rsidRDefault="00A75A51" w:rsidP="005E04A9">
            <w:pPr>
              <w:tabs>
                <w:tab w:val="left" w:pos="1125"/>
              </w:tabs>
              <w:jc w:val="both"/>
            </w:pPr>
            <w:r w:rsidRPr="00AF58F7">
              <w:t>Renew isolated floor tiles</w:t>
            </w:r>
          </w:p>
        </w:tc>
      </w:tr>
      <w:tr w:rsidR="00A75A51" w14:paraId="2675678D" w14:textId="77777777" w:rsidTr="00581731">
        <w:tc>
          <w:tcPr>
            <w:tcW w:w="4508" w:type="dxa"/>
          </w:tcPr>
          <w:p w14:paraId="5E511E01" w14:textId="77777777" w:rsidR="00A75A51" w:rsidRPr="00AF58F7" w:rsidRDefault="00A75A51" w:rsidP="005E04A9">
            <w:pPr>
              <w:pStyle w:val="Default"/>
              <w:jc w:val="both"/>
              <w:rPr>
                <w:sz w:val="20"/>
                <w:szCs w:val="20"/>
              </w:rPr>
            </w:pPr>
            <w:r w:rsidRPr="00AF58F7">
              <w:rPr>
                <w:sz w:val="20"/>
                <w:szCs w:val="20"/>
              </w:rPr>
              <w:t xml:space="preserve">Renew all floor tiles to </w:t>
            </w:r>
            <w:proofErr w:type="gramStart"/>
            <w:r w:rsidRPr="00AF58F7">
              <w:rPr>
                <w:sz w:val="20"/>
                <w:szCs w:val="20"/>
              </w:rPr>
              <w:t>kitchen</w:t>
            </w:r>
            <w:proofErr w:type="gramEnd"/>
            <w:r w:rsidRPr="00AF58F7">
              <w:rPr>
                <w:sz w:val="20"/>
                <w:szCs w:val="20"/>
              </w:rPr>
              <w:t xml:space="preserve"> </w:t>
            </w:r>
          </w:p>
          <w:p w14:paraId="68F8E90C" w14:textId="77777777" w:rsidR="00A75A51" w:rsidRPr="00AF58F7" w:rsidRDefault="00A75A51" w:rsidP="005E04A9">
            <w:pPr>
              <w:tabs>
                <w:tab w:val="left" w:pos="1125"/>
              </w:tabs>
              <w:jc w:val="both"/>
            </w:pPr>
          </w:p>
        </w:tc>
        <w:tc>
          <w:tcPr>
            <w:tcW w:w="4508" w:type="dxa"/>
          </w:tcPr>
          <w:p w14:paraId="301165A6" w14:textId="77777777" w:rsidR="00A75A51" w:rsidRPr="00AF58F7" w:rsidRDefault="00A75A51" w:rsidP="005E04A9">
            <w:pPr>
              <w:tabs>
                <w:tab w:val="left" w:pos="1125"/>
              </w:tabs>
              <w:jc w:val="both"/>
            </w:pPr>
            <w:r w:rsidRPr="00AF58F7">
              <w:t>Renew vinyl sheeting to bathroom</w:t>
            </w:r>
          </w:p>
        </w:tc>
      </w:tr>
      <w:tr w:rsidR="00A75A51" w14:paraId="3F5D3197" w14:textId="77777777" w:rsidTr="00581731">
        <w:tc>
          <w:tcPr>
            <w:tcW w:w="4508" w:type="dxa"/>
          </w:tcPr>
          <w:p w14:paraId="01124253" w14:textId="77777777" w:rsidR="00A75A51" w:rsidRPr="00AF58F7" w:rsidRDefault="00A75A51" w:rsidP="005E04A9">
            <w:pPr>
              <w:tabs>
                <w:tab w:val="left" w:pos="1125"/>
              </w:tabs>
              <w:jc w:val="both"/>
            </w:pPr>
            <w:r w:rsidRPr="00AF58F7">
              <w:t>Renew floorboards</w:t>
            </w:r>
          </w:p>
        </w:tc>
        <w:tc>
          <w:tcPr>
            <w:tcW w:w="4508" w:type="dxa"/>
          </w:tcPr>
          <w:p w14:paraId="3487232C" w14:textId="77777777" w:rsidR="00A75A51" w:rsidRPr="00AF58F7" w:rsidRDefault="00A75A51" w:rsidP="005E04A9">
            <w:pPr>
              <w:tabs>
                <w:tab w:val="left" w:pos="1125"/>
              </w:tabs>
              <w:jc w:val="both"/>
            </w:pPr>
            <w:r w:rsidRPr="00AF58F7">
              <w:t>Re-plaster large areas</w:t>
            </w:r>
          </w:p>
        </w:tc>
      </w:tr>
      <w:tr w:rsidR="00A75A51" w14:paraId="05E775C0" w14:textId="77777777" w:rsidTr="00581731">
        <w:tc>
          <w:tcPr>
            <w:tcW w:w="4508" w:type="dxa"/>
          </w:tcPr>
          <w:p w14:paraId="754454B1" w14:textId="77777777" w:rsidR="00A75A51" w:rsidRPr="00AF58F7" w:rsidRDefault="00A75A51" w:rsidP="005E04A9">
            <w:pPr>
              <w:tabs>
                <w:tab w:val="left" w:pos="1125"/>
              </w:tabs>
              <w:jc w:val="both"/>
            </w:pPr>
            <w:r w:rsidRPr="00AF58F7">
              <w:t>Renew external doors</w:t>
            </w:r>
          </w:p>
        </w:tc>
        <w:tc>
          <w:tcPr>
            <w:tcW w:w="4508" w:type="dxa"/>
          </w:tcPr>
          <w:p w14:paraId="597202EF" w14:textId="77777777" w:rsidR="00A75A51" w:rsidRPr="00AF58F7" w:rsidRDefault="00A75A51" w:rsidP="005E04A9">
            <w:pPr>
              <w:tabs>
                <w:tab w:val="left" w:pos="1125"/>
              </w:tabs>
              <w:jc w:val="both"/>
            </w:pPr>
            <w:r w:rsidRPr="00AF58F7">
              <w:t>Renew window units</w:t>
            </w:r>
          </w:p>
        </w:tc>
      </w:tr>
      <w:tr w:rsidR="00A75A51" w14:paraId="1A6C7127" w14:textId="77777777" w:rsidTr="00581731">
        <w:tc>
          <w:tcPr>
            <w:tcW w:w="4508" w:type="dxa"/>
          </w:tcPr>
          <w:p w14:paraId="1B9D01F2" w14:textId="77777777" w:rsidR="00A75A51" w:rsidRPr="0017174F" w:rsidRDefault="00A75A51" w:rsidP="005E04A9">
            <w:pPr>
              <w:tabs>
                <w:tab w:val="left" w:pos="1125"/>
              </w:tabs>
              <w:jc w:val="both"/>
              <w:rPr>
                <w:highlight w:val="yellow"/>
              </w:rPr>
            </w:pPr>
            <w:r w:rsidRPr="0017174F">
              <w:t>Renew up to 2 radiators</w:t>
            </w:r>
          </w:p>
        </w:tc>
        <w:tc>
          <w:tcPr>
            <w:tcW w:w="4508" w:type="dxa"/>
          </w:tcPr>
          <w:p w14:paraId="7160676B" w14:textId="77777777" w:rsidR="00A75A51" w:rsidRPr="00AF58F7" w:rsidRDefault="00A75A51" w:rsidP="005E04A9">
            <w:pPr>
              <w:tabs>
                <w:tab w:val="left" w:pos="1125"/>
              </w:tabs>
              <w:jc w:val="both"/>
            </w:pPr>
            <w:r w:rsidRPr="00AF58F7">
              <w:t>Renew concealed pipe runs</w:t>
            </w:r>
          </w:p>
        </w:tc>
      </w:tr>
      <w:tr w:rsidR="00A75A51" w14:paraId="24032011" w14:textId="77777777" w:rsidTr="00581731">
        <w:tc>
          <w:tcPr>
            <w:tcW w:w="4508" w:type="dxa"/>
          </w:tcPr>
          <w:p w14:paraId="4D3DB39E" w14:textId="77777777" w:rsidR="00A75A51" w:rsidRPr="00AF58F7" w:rsidRDefault="00A75A51" w:rsidP="005E04A9">
            <w:pPr>
              <w:tabs>
                <w:tab w:val="left" w:pos="1125"/>
              </w:tabs>
              <w:jc w:val="both"/>
            </w:pPr>
            <w:r w:rsidRPr="00AF58F7">
              <w:t>Remove floor tiles (including ACM tiles)</w:t>
            </w:r>
          </w:p>
        </w:tc>
        <w:tc>
          <w:tcPr>
            <w:tcW w:w="4508" w:type="dxa"/>
          </w:tcPr>
          <w:p w14:paraId="5320950E" w14:textId="77777777" w:rsidR="00A75A51" w:rsidRPr="00AF58F7" w:rsidRDefault="00A75A51" w:rsidP="005E04A9">
            <w:pPr>
              <w:tabs>
                <w:tab w:val="left" w:pos="1125"/>
              </w:tabs>
              <w:jc w:val="both"/>
            </w:pPr>
            <w:r w:rsidRPr="00AF58F7">
              <w:t>Renew fire and/or surround</w:t>
            </w:r>
          </w:p>
        </w:tc>
      </w:tr>
      <w:tr w:rsidR="00A75A51" w14:paraId="106F8815" w14:textId="77777777" w:rsidTr="00581731">
        <w:tc>
          <w:tcPr>
            <w:tcW w:w="4508" w:type="dxa"/>
          </w:tcPr>
          <w:p w14:paraId="26F1E7D2" w14:textId="77777777" w:rsidR="00A75A51" w:rsidRPr="00AF58F7" w:rsidRDefault="00A75A51" w:rsidP="005E04A9">
            <w:pPr>
              <w:tabs>
                <w:tab w:val="left" w:pos="1125"/>
              </w:tabs>
              <w:jc w:val="both"/>
            </w:pPr>
            <w:r w:rsidRPr="00AF58F7">
              <w:t xml:space="preserve">Repair main roof, missing </w:t>
            </w:r>
            <w:proofErr w:type="gramStart"/>
            <w:r w:rsidRPr="00AF58F7">
              <w:t>tiles</w:t>
            </w:r>
            <w:proofErr w:type="gramEnd"/>
            <w:r w:rsidRPr="00AF58F7">
              <w:t xml:space="preserve"> or flashings</w:t>
            </w:r>
          </w:p>
        </w:tc>
        <w:tc>
          <w:tcPr>
            <w:tcW w:w="4508" w:type="dxa"/>
          </w:tcPr>
          <w:p w14:paraId="29572D3F" w14:textId="77777777" w:rsidR="00A75A51" w:rsidRPr="00AF58F7" w:rsidRDefault="00A75A51" w:rsidP="005E04A9">
            <w:pPr>
              <w:tabs>
                <w:tab w:val="left" w:pos="1125"/>
              </w:tabs>
              <w:jc w:val="both"/>
            </w:pPr>
            <w:r w:rsidRPr="00AF58F7">
              <w:t xml:space="preserve">Repair or renew flat roof </w:t>
            </w:r>
            <w:r>
              <w:t>c</w:t>
            </w:r>
            <w:r w:rsidRPr="00AF58F7">
              <w:t>overing</w:t>
            </w:r>
          </w:p>
        </w:tc>
      </w:tr>
      <w:tr w:rsidR="00A75A51" w14:paraId="49932369" w14:textId="77777777" w:rsidTr="00581731">
        <w:tc>
          <w:tcPr>
            <w:tcW w:w="4508" w:type="dxa"/>
          </w:tcPr>
          <w:p w14:paraId="21C437F7" w14:textId="77777777" w:rsidR="00A75A51" w:rsidRPr="00AF58F7" w:rsidRDefault="00A75A51" w:rsidP="005E04A9">
            <w:pPr>
              <w:tabs>
                <w:tab w:val="left" w:pos="1125"/>
              </w:tabs>
              <w:jc w:val="both"/>
            </w:pPr>
            <w:r w:rsidRPr="00AF58F7">
              <w:t>Damp proofing (one room)</w:t>
            </w:r>
          </w:p>
        </w:tc>
        <w:tc>
          <w:tcPr>
            <w:tcW w:w="4508" w:type="dxa"/>
          </w:tcPr>
          <w:p w14:paraId="7FA3CA41" w14:textId="77777777" w:rsidR="00A75A51" w:rsidRPr="00AF58F7" w:rsidRDefault="00A75A51" w:rsidP="005E04A9">
            <w:pPr>
              <w:tabs>
                <w:tab w:val="left" w:pos="1125"/>
              </w:tabs>
              <w:jc w:val="both"/>
            </w:pPr>
            <w:r w:rsidRPr="00AF58F7">
              <w:t>Point brickwork</w:t>
            </w:r>
          </w:p>
        </w:tc>
      </w:tr>
      <w:tr w:rsidR="00A75A51" w14:paraId="48C0964E" w14:textId="77777777" w:rsidTr="00581731">
        <w:tc>
          <w:tcPr>
            <w:tcW w:w="4508" w:type="dxa"/>
          </w:tcPr>
          <w:p w14:paraId="2CC26077" w14:textId="77777777" w:rsidR="00A75A51" w:rsidRPr="00AF58F7" w:rsidRDefault="00A75A51" w:rsidP="005E04A9">
            <w:pPr>
              <w:tabs>
                <w:tab w:val="left" w:pos="1125"/>
              </w:tabs>
              <w:jc w:val="both"/>
            </w:pPr>
            <w:r w:rsidRPr="00AF58F7">
              <w:t>Renew consumer unit</w:t>
            </w:r>
          </w:p>
        </w:tc>
        <w:tc>
          <w:tcPr>
            <w:tcW w:w="4508" w:type="dxa"/>
          </w:tcPr>
          <w:p w14:paraId="37FB8F98" w14:textId="77777777" w:rsidR="00A75A51" w:rsidRPr="00AF58F7" w:rsidRDefault="00A75A51" w:rsidP="005E04A9">
            <w:pPr>
              <w:tabs>
                <w:tab w:val="left" w:pos="1125"/>
              </w:tabs>
              <w:jc w:val="both"/>
            </w:pPr>
            <w:r w:rsidRPr="00AF58F7">
              <w:t>Upgrade earth</w:t>
            </w:r>
          </w:p>
        </w:tc>
      </w:tr>
      <w:tr w:rsidR="00A75A51" w14:paraId="54EA3DFA" w14:textId="77777777" w:rsidTr="00581731">
        <w:tc>
          <w:tcPr>
            <w:tcW w:w="4508" w:type="dxa"/>
          </w:tcPr>
          <w:p w14:paraId="1F53113E" w14:textId="77777777" w:rsidR="00A75A51" w:rsidRPr="00AF58F7" w:rsidRDefault="00A75A51" w:rsidP="005E04A9">
            <w:pPr>
              <w:tabs>
                <w:tab w:val="left" w:pos="1125"/>
              </w:tabs>
              <w:jc w:val="both"/>
            </w:pPr>
            <w:r w:rsidRPr="00AF58F7">
              <w:t>Strip, prepare walls and decorate</w:t>
            </w:r>
            <w:r>
              <w:t xml:space="preserve"> (HFIL properties) </w:t>
            </w:r>
          </w:p>
        </w:tc>
        <w:tc>
          <w:tcPr>
            <w:tcW w:w="4508" w:type="dxa"/>
          </w:tcPr>
          <w:p w14:paraId="50C9485F" w14:textId="77777777" w:rsidR="00A75A51" w:rsidRPr="00AF58F7" w:rsidRDefault="00A75A51" w:rsidP="005E04A9">
            <w:pPr>
              <w:tabs>
                <w:tab w:val="left" w:pos="1125"/>
              </w:tabs>
              <w:jc w:val="both"/>
            </w:pPr>
            <w:r w:rsidRPr="00AF58F7">
              <w:t>Emulsion and gloss 1 room</w:t>
            </w:r>
          </w:p>
        </w:tc>
      </w:tr>
      <w:tr w:rsidR="00A75A51" w14:paraId="0B273259" w14:textId="77777777" w:rsidTr="00581731">
        <w:tc>
          <w:tcPr>
            <w:tcW w:w="4508" w:type="dxa"/>
          </w:tcPr>
          <w:p w14:paraId="39587504" w14:textId="77777777" w:rsidR="00A75A51" w:rsidRPr="00AF58F7" w:rsidRDefault="00A75A51" w:rsidP="005E04A9">
            <w:pPr>
              <w:tabs>
                <w:tab w:val="left" w:pos="1125"/>
              </w:tabs>
              <w:jc w:val="both"/>
            </w:pPr>
            <w:r w:rsidRPr="00AF58F7">
              <w:t>Renew individual kitchen unit</w:t>
            </w:r>
          </w:p>
        </w:tc>
        <w:tc>
          <w:tcPr>
            <w:tcW w:w="4508" w:type="dxa"/>
          </w:tcPr>
          <w:p w14:paraId="118DE216" w14:textId="77777777" w:rsidR="00A75A51" w:rsidRPr="00AF58F7" w:rsidRDefault="00A75A51" w:rsidP="005E04A9">
            <w:pPr>
              <w:tabs>
                <w:tab w:val="left" w:pos="1125"/>
              </w:tabs>
              <w:jc w:val="both"/>
            </w:pPr>
            <w:r w:rsidRPr="00AF58F7">
              <w:t>Renew kitchen sink top</w:t>
            </w:r>
          </w:p>
        </w:tc>
      </w:tr>
      <w:tr w:rsidR="00A75A51" w14:paraId="7EB67E55" w14:textId="77777777" w:rsidTr="00581731">
        <w:tc>
          <w:tcPr>
            <w:tcW w:w="4508" w:type="dxa"/>
          </w:tcPr>
          <w:p w14:paraId="79C33754" w14:textId="77777777" w:rsidR="00A75A51" w:rsidRPr="00AF58F7" w:rsidRDefault="00A75A51" w:rsidP="005E04A9">
            <w:pPr>
              <w:tabs>
                <w:tab w:val="left" w:pos="1125"/>
              </w:tabs>
              <w:jc w:val="both"/>
            </w:pPr>
            <w:r w:rsidRPr="00AF58F7">
              <w:t>Renew internal doors</w:t>
            </w:r>
          </w:p>
        </w:tc>
        <w:tc>
          <w:tcPr>
            <w:tcW w:w="4508" w:type="dxa"/>
          </w:tcPr>
          <w:p w14:paraId="512E77CB" w14:textId="77777777" w:rsidR="00A75A51" w:rsidRPr="00AF58F7" w:rsidRDefault="00A75A51" w:rsidP="005E04A9">
            <w:pPr>
              <w:tabs>
                <w:tab w:val="left" w:pos="1125"/>
              </w:tabs>
              <w:jc w:val="both"/>
            </w:pPr>
            <w:r w:rsidRPr="00AF58F7">
              <w:t>Renew isolated floorboards</w:t>
            </w:r>
          </w:p>
        </w:tc>
      </w:tr>
      <w:tr w:rsidR="00A75A51" w14:paraId="04E38873" w14:textId="77777777" w:rsidTr="00581731">
        <w:tc>
          <w:tcPr>
            <w:tcW w:w="4508" w:type="dxa"/>
          </w:tcPr>
          <w:p w14:paraId="3A19900B" w14:textId="77777777" w:rsidR="00A75A51" w:rsidRPr="00AF58F7" w:rsidRDefault="00A75A51" w:rsidP="005E04A9">
            <w:pPr>
              <w:tabs>
                <w:tab w:val="left" w:pos="1125"/>
              </w:tabs>
              <w:jc w:val="both"/>
            </w:pPr>
            <w:r w:rsidRPr="00AF58F7">
              <w:t>Re-plaster up to 40% of a room</w:t>
            </w:r>
          </w:p>
        </w:tc>
        <w:tc>
          <w:tcPr>
            <w:tcW w:w="4508" w:type="dxa"/>
          </w:tcPr>
          <w:p w14:paraId="01B7D7EE" w14:textId="77777777" w:rsidR="00A75A51" w:rsidRPr="00AF58F7" w:rsidRDefault="00A75A51" w:rsidP="005E04A9">
            <w:pPr>
              <w:tabs>
                <w:tab w:val="left" w:pos="1125"/>
              </w:tabs>
              <w:jc w:val="both"/>
            </w:pPr>
            <w:r w:rsidRPr="00AF58F7">
              <w:t>Renew glazing (double glazed)</w:t>
            </w:r>
          </w:p>
        </w:tc>
      </w:tr>
      <w:tr w:rsidR="00A75A51" w14:paraId="41110E95" w14:textId="77777777" w:rsidTr="00581731">
        <w:tc>
          <w:tcPr>
            <w:tcW w:w="4508" w:type="dxa"/>
          </w:tcPr>
          <w:p w14:paraId="27F66618" w14:textId="77777777" w:rsidR="00A75A51" w:rsidRPr="00AF58F7" w:rsidRDefault="00A75A51" w:rsidP="005E04A9">
            <w:pPr>
              <w:tabs>
                <w:tab w:val="left" w:pos="1125"/>
              </w:tabs>
              <w:jc w:val="both"/>
            </w:pPr>
            <w:r w:rsidRPr="00AF58F7">
              <w:t>Remove tiled hearth and surround, brick up, ventilate and make plaster and skirting where back boiler/fire has been removed</w:t>
            </w:r>
          </w:p>
        </w:tc>
        <w:tc>
          <w:tcPr>
            <w:tcW w:w="4508" w:type="dxa"/>
          </w:tcPr>
          <w:p w14:paraId="32B767AC" w14:textId="77777777" w:rsidR="00A75A51" w:rsidRPr="00AF58F7" w:rsidRDefault="00A75A51" w:rsidP="005E04A9">
            <w:pPr>
              <w:tabs>
                <w:tab w:val="left" w:pos="1125"/>
              </w:tabs>
              <w:jc w:val="both"/>
            </w:pPr>
            <w:r w:rsidRPr="00AF58F7">
              <w:t>Additional circuits, sockets, spurs</w:t>
            </w:r>
          </w:p>
        </w:tc>
      </w:tr>
      <w:tr w:rsidR="00A75A51" w14:paraId="753A7D1A" w14:textId="77777777" w:rsidTr="00581731">
        <w:tc>
          <w:tcPr>
            <w:tcW w:w="4508" w:type="dxa"/>
          </w:tcPr>
          <w:p w14:paraId="46694B33" w14:textId="77777777" w:rsidR="00A75A51" w:rsidRPr="00AF58F7" w:rsidRDefault="00A75A51" w:rsidP="005E04A9">
            <w:pPr>
              <w:tabs>
                <w:tab w:val="left" w:pos="1125"/>
              </w:tabs>
              <w:jc w:val="both"/>
            </w:pPr>
            <w:r w:rsidRPr="00AF58F7">
              <w:t xml:space="preserve">Renew defective electrical wiring and equipment (showers, security lights etc. </w:t>
            </w:r>
          </w:p>
        </w:tc>
        <w:tc>
          <w:tcPr>
            <w:tcW w:w="4508" w:type="dxa"/>
          </w:tcPr>
          <w:p w14:paraId="5076B63F" w14:textId="77777777" w:rsidR="00A75A51" w:rsidRPr="00AF58F7" w:rsidRDefault="00A75A51" w:rsidP="005E04A9">
            <w:pPr>
              <w:tabs>
                <w:tab w:val="left" w:pos="1125"/>
              </w:tabs>
              <w:jc w:val="both"/>
            </w:pPr>
            <w:r w:rsidRPr="00AF58F7">
              <w:t>Renew damaged concrete panels</w:t>
            </w:r>
          </w:p>
        </w:tc>
      </w:tr>
      <w:tr w:rsidR="00A75A51" w14:paraId="4C8B8E20" w14:textId="77777777" w:rsidTr="00581731">
        <w:tc>
          <w:tcPr>
            <w:tcW w:w="4508" w:type="dxa"/>
          </w:tcPr>
          <w:p w14:paraId="5FDE5610" w14:textId="77777777" w:rsidR="00A75A51" w:rsidRPr="00AF58F7" w:rsidRDefault="00A75A51" w:rsidP="005E04A9">
            <w:pPr>
              <w:tabs>
                <w:tab w:val="left" w:pos="1125"/>
              </w:tabs>
              <w:jc w:val="both"/>
            </w:pPr>
            <w:r w:rsidRPr="00AF58F7">
              <w:lastRenderedPageBreak/>
              <w:t xml:space="preserve">Renew up to 2 items of bathroom suite, </w:t>
            </w:r>
            <w:proofErr w:type="gramStart"/>
            <w:r w:rsidRPr="00AF58F7">
              <w:t>WC</w:t>
            </w:r>
            <w:proofErr w:type="gramEnd"/>
            <w:r w:rsidRPr="00AF58F7">
              <w:t xml:space="preserve"> and cistern, WHB and pedestal, bath</w:t>
            </w:r>
          </w:p>
        </w:tc>
        <w:tc>
          <w:tcPr>
            <w:tcW w:w="4508" w:type="dxa"/>
          </w:tcPr>
          <w:p w14:paraId="6F989B52" w14:textId="77777777" w:rsidR="00A75A51" w:rsidRPr="00AF58F7" w:rsidRDefault="00A75A51" w:rsidP="005E04A9">
            <w:pPr>
              <w:tabs>
                <w:tab w:val="left" w:pos="1125"/>
              </w:tabs>
              <w:jc w:val="both"/>
            </w:pPr>
            <w:r w:rsidRPr="00AF58F7">
              <w:t>Keep concrete bases following shed removal if in good condition</w:t>
            </w:r>
          </w:p>
        </w:tc>
      </w:tr>
      <w:tr w:rsidR="00A75A51" w14:paraId="641B0EF0" w14:textId="77777777" w:rsidTr="00581731">
        <w:tc>
          <w:tcPr>
            <w:tcW w:w="4508" w:type="dxa"/>
          </w:tcPr>
          <w:p w14:paraId="20D84CDA" w14:textId="77777777" w:rsidR="00A75A51" w:rsidRPr="00AF58F7" w:rsidRDefault="00A75A51" w:rsidP="005E04A9">
            <w:pPr>
              <w:tabs>
                <w:tab w:val="left" w:pos="1125"/>
              </w:tabs>
              <w:jc w:val="both"/>
            </w:pPr>
            <w:r w:rsidRPr="00AF58F7">
              <w:t>Satellite dishes – to be left in situ if safe. Remove aerials and dishes where unsafe and in dangerous condition</w:t>
            </w:r>
          </w:p>
        </w:tc>
        <w:tc>
          <w:tcPr>
            <w:tcW w:w="4508" w:type="dxa"/>
          </w:tcPr>
          <w:p w14:paraId="2508F7E7" w14:textId="77777777" w:rsidR="00A75A51" w:rsidRPr="00AF58F7" w:rsidRDefault="00A75A51" w:rsidP="005E04A9">
            <w:pPr>
              <w:tabs>
                <w:tab w:val="left" w:pos="1125"/>
              </w:tabs>
              <w:jc w:val="both"/>
            </w:pPr>
            <w:r w:rsidRPr="00AF58F7">
              <w:t>Replace batten lamp holders with a vapour proof light fitting in bathroom</w:t>
            </w:r>
          </w:p>
        </w:tc>
      </w:tr>
      <w:tr w:rsidR="00A75A51" w14:paraId="4FC5088B" w14:textId="77777777" w:rsidTr="00581731">
        <w:tc>
          <w:tcPr>
            <w:tcW w:w="4508" w:type="dxa"/>
          </w:tcPr>
          <w:p w14:paraId="7D190BF6" w14:textId="77777777" w:rsidR="00A75A51" w:rsidRPr="00AF58F7" w:rsidRDefault="00A75A51" w:rsidP="005E04A9">
            <w:pPr>
              <w:tabs>
                <w:tab w:val="left" w:pos="1125"/>
              </w:tabs>
              <w:jc w:val="both"/>
            </w:pPr>
            <w:r w:rsidRPr="00AF58F7">
              <w:t xml:space="preserve">Fences – repair/replace missing panels and rotten areas. Make panels, </w:t>
            </w:r>
            <w:proofErr w:type="gramStart"/>
            <w:r w:rsidRPr="00AF58F7">
              <w:t>posts</w:t>
            </w:r>
            <w:proofErr w:type="gramEnd"/>
            <w:r w:rsidRPr="00AF58F7">
              <w:t xml:space="preserve"> and gates secure and safe (photo evidence required if not on original specification)</w:t>
            </w:r>
          </w:p>
        </w:tc>
        <w:tc>
          <w:tcPr>
            <w:tcW w:w="4508" w:type="dxa"/>
          </w:tcPr>
          <w:p w14:paraId="44ECE975" w14:textId="77777777" w:rsidR="00A75A51" w:rsidRPr="00AF58F7" w:rsidRDefault="00A75A51" w:rsidP="005E04A9">
            <w:pPr>
              <w:tabs>
                <w:tab w:val="left" w:pos="1125"/>
              </w:tabs>
              <w:jc w:val="both"/>
            </w:pPr>
            <w:r w:rsidRPr="00AF58F7">
              <w:t>Secure bath panel and replace if missing (following asbestos test)</w:t>
            </w:r>
          </w:p>
        </w:tc>
      </w:tr>
      <w:tr w:rsidR="00A75A51" w14:paraId="35102390" w14:textId="77777777" w:rsidTr="00581731">
        <w:tc>
          <w:tcPr>
            <w:tcW w:w="4508" w:type="dxa"/>
          </w:tcPr>
          <w:p w14:paraId="54E58A92" w14:textId="77777777" w:rsidR="00A75A51" w:rsidRPr="00AF58F7" w:rsidRDefault="00A75A51" w:rsidP="005E04A9">
            <w:pPr>
              <w:tabs>
                <w:tab w:val="left" w:pos="1125"/>
              </w:tabs>
              <w:jc w:val="both"/>
            </w:pPr>
            <w:r w:rsidRPr="00AF58F7">
              <w:t xml:space="preserve">Ensure existing garden gates are fit for purpose and repaired as necessary </w:t>
            </w:r>
          </w:p>
        </w:tc>
        <w:tc>
          <w:tcPr>
            <w:tcW w:w="4508" w:type="dxa"/>
          </w:tcPr>
          <w:p w14:paraId="0501E739" w14:textId="77777777" w:rsidR="00A75A51" w:rsidRPr="00AF58F7" w:rsidRDefault="00A75A51" w:rsidP="005E04A9">
            <w:pPr>
              <w:tabs>
                <w:tab w:val="left" w:pos="1125"/>
              </w:tabs>
              <w:jc w:val="both"/>
            </w:pPr>
            <w:r w:rsidRPr="00AF58F7">
              <w:t>Fill in fishponds ensuring adequate top covering of soil</w:t>
            </w:r>
          </w:p>
        </w:tc>
      </w:tr>
      <w:tr w:rsidR="00A75A51" w14:paraId="2E0C4250" w14:textId="77777777" w:rsidTr="00581731">
        <w:tc>
          <w:tcPr>
            <w:tcW w:w="4508" w:type="dxa"/>
          </w:tcPr>
          <w:p w14:paraId="47312B72" w14:textId="77777777" w:rsidR="00A75A51" w:rsidRPr="00AF58F7" w:rsidRDefault="00A75A51" w:rsidP="005E04A9">
            <w:pPr>
              <w:tabs>
                <w:tab w:val="left" w:pos="1125"/>
              </w:tabs>
              <w:jc w:val="both"/>
            </w:pPr>
            <w:r w:rsidRPr="00AF58F7">
              <w:t xml:space="preserve">Remove unsafe structures i.e. unsafe sheds, </w:t>
            </w:r>
            <w:proofErr w:type="gramStart"/>
            <w:r w:rsidRPr="00AF58F7">
              <w:t>brick built</w:t>
            </w:r>
            <w:proofErr w:type="gramEnd"/>
            <w:r w:rsidRPr="00AF58F7">
              <w:t xml:space="preserve"> screens (unless asbestos, which are to be reported to Medway Council on discovery). Authorisation required prior to removal</w:t>
            </w:r>
          </w:p>
        </w:tc>
        <w:tc>
          <w:tcPr>
            <w:tcW w:w="4508" w:type="dxa"/>
          </w:tcPr>
          <w:p w14:paraId="445C8FFA" w14:textId="77777777" w:rsidR="00A75A51" w:rsidRPr="00AF58F7" w:rsidRDefault="00A75A51" w:rsidP="005E04A9">
            <w:pPr>
              <w:tabs>
                <w:tab w:val="left" w:pos="1125"/>
              </w:tabs>
              <w:jc w:val="both"/>
            </w:pPr>
            <w:r w:rsidRPr="00AF58F7">
              <w:t>Repair/replace handrail and spindles or ranch rails</w:t>
            </w:r>
          </w:p>
        </w:tc>
      </w:tr>
      <w:tr w:rsidR="00A75A51" w14:paraId="4633F240" w14:textId="77777777" w:rsidTr="00581731">
        <w:tc>
          <w:tcPr>
            <w:tcW w:w="4508" w:type="dxa"/>
          </w:tcPr>
          <w:p w14:paraId="2758BE65" w14:textId="77777777" w:rsidR="00A75A51" w:rsidRPr="00AF58F7" w:rsidRDefault="00A75A51" w:rsidP="005E04A9">
            <w:pPr>
              <w:tabs>
                <w:tab w:val="left" w:pos="1125"/>
              </w:tabs>
              <w:jc w:val="both"/>
            </w:pPr>
            <w:r w:rsidRPr="00AF58F7">
              <w:t>Replace broken patio slabs and replace where these are a danger</w:t>
            </w:r>
          </w:p>
        </w:tc>
        <w:tc>
          <w:tcPr>
            <w:tcW w:w="4508" w:type="dxa"/>
          </w:tcPr>
          <w:p w14:paraId="128CFF89" w14:textId="77777777" w:rsidR="00A75A51" w:rsidRPr="00AF58F7" w:rsidRDefault="00A75A51" w:rsidP="005E04A9">
            <w:pPr>
              <w:tabs>
                <w:tab w:val="left" w:pos="1125"/>
              </w:tabs>
              <w:jc w:val="both"/>
            </w:pPr>
            <w:r w:rsidRPr="00AF58F7">
              <w:t>Repair/replace handrail newel post as required</w:t>
            </w:r>
          </w:p>
        </w:tc>
      </w:tr>
      <w:tr w:rsidR="00A75A51" w14:paraId="4D5670F8" w14:textId="77777777" w:rsidTr="00581731">
        <w:tc>
          <w:tcPr>
            <w:tcW w:w="4508" w:type="dxa"/>
          </w:tcPr>
          <w:p w14:paraId="51E16607" w14:textId="77777777" w:rsidR="00A75A51" w:rsidRPr="00AF58F7" w:rsidRDefault="00A75A51" w:rsidP="005E04A9">
            <w:pPr>
              <w:tabs>
                <w:tab w:val="left" w:pos="1125"/>
              </w:tabs>
              <w:jc w:val="both"/>
            </w:pPr>
            <w:r w:rsidRPr="00AF58F7">
              <w:t>Repair/replace damaged treads and risers</w:t>
            </w:r>
          </w:p>
        </w:tc>
        <w:tc>
          <w:tcPr>
            <w:tcW w:w="4508" w:type="dxa"/>
          </w:tcPr>
          <w:p w14:paraId="4F140025" w14:textId="77777777" w:rsidR="00A75A51" w:rsidRPr="00AF58F7" w:rsidRDefault="00A75A51" w:rsidP="005E04A9">
            <w:pPr>
              <w:tabs>
                <w:tab w:val="left" w:pos="1125"/>
              </w:tabs>
              <w:jc w:val="both"/>
            </w:pPr>
            <w:r w:rsidRPr="00AF58F7">
              <w:t>Install units of there are less than one wall unit and one floor unit</w:t>
            </w:r>
          </w:p>
        </w:tc>
      </w:tr>
    </w:tbl>
    <w:p w14:paraId="0838B8A8" w14:textId="77777777" w:rsidR="00A75A51" w:rsidRDefault="00A75A51" w:rsidP="005E04A9">
      <w:pPr>
        <w:pStyle w:val="Heading2"/>
        <w:jc w:val="both"/>
      </w:pPr>
    </w:p>
    <w:tbl>
      <w:tblPr>
        <w:tblStyle w:val="TableGridLight"/>
        <w:tblW w:w="0" w:type="auto"/>
        <w:tblLook w:val="04A0" w:firstRow="1" w:lastRow="0" w:firstColumn="1" w:lastColumn="0" w:noHBand="0" w:noVBand="1"/>
        <w:tblCaption w:val="20 day void"/>
      </w:tblPr>
      <w:tblGrid>
        <w:gridCol w:w="4508"/>
        <w:gridCol w:w="4508"/>
      </w:tblGrid>
      <w:tr w:rsidR="00F25C10" w14:paraId="1DA0340C" w14:textId="77777777" w:rsidTr="00027521">
        <w:trPr>
          <w:tblHeader/>
        </w:trPr>
        <w:tc>
          <w:tcPr>
            <w:tcW w:w="4508" w:type="dxa"/>
          </w:tcPr>
          <w:p w14:paraId="0310C15A" w14:textId="77777777" w:rsidR="00F25C10" w:rsidRPr="007D1604" w:rsidRDefault="00F25C10" w:rsidP="005E04A9">
            <w:pPr>
              <w:tabs>
                <w:tab w:val="left" w:pos="1125"/>
              </w:tabs>
              <w:jc w:val="both"/>
              <w:rPr>
                <w:b/>
              </w:rPr>
            </w:pPr>
            <w:proofErr w:type="gramStart"/>
            <w:r w:rsidRPr="007D1604">
              <w:rPr>
                <w:b/>
              </w:rPr>
              <w:t>20 day</w:t>
            </w:r>
            <w:proofErr w:type="gramEnd"/>
            <w:r w:rsidRPr="007D1604">
              <w:rPr>
                <w:b/>
              </w:rPr>
              <w:t xml:space="preserve"> turnaround</w:t>
            </w:r>
          </w:p>
        </w:tc>
        <w:tc>
          <w:tcPr>
            <w:tcW w:w="4508" w:type="dxa"/>
          </w:tcPr>
          <w:p w14:paraId="34D655A4" w14:textId="77777777" w:rsidR="00F25C10" w:rsidRPr="007D1604" w:rsidRDefault="00F25C10" w:rsidP="005E04A9">
            <w:pPr>
              <w:tabs>
                <w:tab w:val="left" w:pos="1125"/>
              </w:tabs>
              <w:jc w:val="both"/>
              <w:rPr>
                <w:b/>
              </w:rPr>
            </w:pPr>
            <w:r>
              <w:rPr>
                <w:b/>
              </w:rPr>
              <w:t>Spec</w:t>
            </w:r>
          </w:p>
        </w:tc>
      </w:tr>
      <w:tr w:rsidR="00A75A51" w14:paraId="034610C1" w14:textId="77777777" w:rsidTr="00581731">
        <w:tc>
          <w:tcPr>
            <w:tcW w:w="4508" w:type="dxa"/>
          </w:tcPr>
          <w:p w14:paraId="25F97512" w14:textId="77777777" w:rsidR="00A75A51" w:rsidRPr="002E243C" w:rsidRDefault="00A75A51" w:rsidP="005E04A9">
            <w:pPr>
              <w:tabs>
                <w:tab w:val="left" w:pos="1125"/>
              </w:tabs>
              <w:jc w:val="both"/>
            </w:pPr>
            <w:r w:rsidRPr="002E243C">
              <w:t>Renew kitchen and part rewire *</w:t>
            </w:r>
          </w:p>
        </w:tc>
        <w:tc>
          <w:tcPr>
            <w:tcW w:w="4508" w:type="dxa"/>
          </w:tcPr>
          <w:p w14:paraId="6E0CFCAB" w14:textId="77777777" w:rsidR="00A75A51" w:rsidRPr="002E243C" w:rsidRDefault="00A75A51" w:rsidP="005E04A9">
            <w:pPr>
              <w:tabs>
                <w:tab w:val="left" w:pos="1125"/>
              </w:tabs>
              <w:jc w:val="both"/>
            </w:pPr>
            <w:r w:rsidRPr="002E243C">
              <w:t>Renew bathroom suite *</w:t>
            </w:r>
          </w:p>
        </w:tc>
      </w:tr>
      <w:tr w:rsidR="00A75A51" w14:paraId="5629277F" w14:textId="77777777" w:rsidTr="00581731">
        <w:tc>
          <w:tcPr>
            <w:tcW w:w="4508" w:type="dxa"/>
          </w:tcPr>
          <w:p w14:paraId="31FD6D7E" w14:textId="77777777" w:rsidR="00A75A51" w:rsidRPr="002E243C" w:rsidRDefault="00A75A51" w:rsidP="005E04A9">
            <w:pPr>
              <w:tabs>
                <w:tab w:val="left" w:pos="1125"/>
              </w:tabs>
              <w:jc w:val="both"/>
            </w:pPr>
            <w:r w:rsidRPr="002E243C">
              <w:t>Full heating system *</w:t>
            </w:r>
          </w:p>
        </w:tc>
        <w:tc>
          <w:tcPr>
            <w:tcW w:w="4508" w:type="dxa"/>
          </w:tcPr>
          <w:p w14:paraId="625E4926" w14:textId="77777777" w:rsidR="00A75A51" w:rsidRPr="002E243C" w:rsidRDefault="00A75A51" w:rsidP="005E04A9">
            <w:pPr>
              <w:tabs>
                <w:tab w:val="left" w:pos="1125"/>
              </w:tabs>
              <w:jc w:val="both"/>
            </w:pPr>
            <w:r w:rsidRPr="002E243C">
              <w:t>Full rewire *</w:t>
            </w:r>
          </w:p>
        </w:tc>
      </w:tr>
      <w:tr w:rsidR="00A75A51" w14:paraId="7BE604AA" w14:textId="77777777" w:rsidTr="00581731">
        <w:tc>
          <w:tcPr>
            <w:tcW w:w="4508" w:type="dxa"/>
          </w:tcPr>
          <w:p w14:paraId="03DD142C" w14:textId="77777777" w:rsidR="00A75A51" w:rsidRPr="002E243C" w:rsidRDefault="00A75A51" w:rsidP="005E04A9">
            <w:pPr>
              <w:tabs>
                <w:tab w:val="left" w:pos="1125"/>
              </w:tabs>
              <w:jc w:val="both"/>
            </w:pPr>
            <w:r w:rsidRPr="002E243C">
              <w:t>Asbestos removal (except floor tiles) **</w:t>
            </w:r>
          </w:p>
        </w:tc>
        <w:tc>
          <w:tcPr>
            <w:tcW w:w="4508" w:type="dxa"/>
          </w:tcPr>
          <w:p w14:paraId="535B9813" w14:textId="77777777" w:rsidR="00A75A51" w:rsidRPr="002E243C" w:rsidRDefault="00A75A51" w:rsidP="005E04A9">
            <w:pPr>
              <w:tabs>
                <w:tab w:val="left" w:pos="1125"/>
              </w:tabs>
              <w:jc w:val="both"/>
            </w:pPr>
            <w:r w:rsidRPr="002E243C">
              <w:t>Damp proofing more than 1 room **</w:t>
            </w:r>
          </w:p>
        </w:tc>
      </w:tr>
      <w:tr w:rsidR="00A75A51" w14:paraId="38CDA778" w14:textId="77777777" w:rsidTr="00581731">
        <w:tc>
          <w:tcPr>
            <w:tcW w:w="4508" w:type="dxa"/>
          </w:tcPr>
          <w:p w14:paraId="424DDFF3" w14:textId="77777777" w:rsidR="00A75A51" w:rsidRPr="002E243C" w:rsidRDefault="00A75A51" w:rsidP="005E04A9">
            <w:pPr>
              <w:tabs>
                <w:tab w:val="left" w:pos="1125"/>
              </w:tabs>
              <w:jc w:val="both"/>
            </w:pPr>
            <w:r w:rsidRPr="002E243C">
              <w:t>Rebuild structural walls **</w:t>
            </w:r>
          </w:p>
        </w:tc>
        <w:tc>
          <w:tcPr>
            <w:tcW w:w="4508" w:type="dxa"/>
          </w:tcPr>
          <w:p w14:paraId="40954039" w14:textId="77777777" w:rsidR="00A75A51" w:rsidRPr="002E243C" w:rsidRDefault="00A75A51" w:rsidP="005E04A9">
            <w:pPr>
              <w:tabs>
                <w:tab w:val="left" w:pos="1125"/>
              </w:tabs>
              <w:jc w:val="both"/>
            </w:pPr>
            <w:r w:rsidRPr="002E243C">
              <w:t>Renew boiler *</w:t>
            </w:r>
          </w:p>
        </w:tc>
      </w:tr>
      <w:tr w:rsidR="00A75A51" w14:paraId="4AC30A3E" w14:textId="77777777" w:rsidTr="00581731">
        <w:tc>
          <w:tcPr>
            <w:tcW w:w="4508" w:type="dxa"/>
          </w:tcPr>
          <w:p w14:paraId="449E7B7D" w14:textId="77777777" w:rsidR="00A75A51" w:rsidRPr="002E243C" w:rsidRDefault="00A75A51" w:rsidP="005E04A9">
            <w:pPr>
              <w:tabs>
                <w:tab w:val="left" w:pos="1125"/>
              </w:tabs>
              <w:jc w:val="both"/>
            </w:pPr>
            <w:r w:rsidRPr="002E243C">
              <w:t>Decoration of more than 1 room **</w:t>
            </w:r>
          </w:p>
        </w:tc>
        <w:tc>
          <w:tcPr>
            <w:tcW w:w="4508" w:type="dxa"/>
          </w:tcPr>
          <w:p w14:paraId="0EF43C89" w14:textId="77777777" w:rsidR="00A75A51" w:rsidRPr="002E243C" w:rsidRDefault="00A75A51" w:rsidP="005E04A9">
            <w:pPr>
              <w:tabs>
                <w:tab w:val="left" w:pos="1125"/>
              </w:tabs>
              <w:jc w:val="both"/>
            </w:pPr>
            <w:r w:rsidRPr="002E243C">
              <w:t>Demolish and remove all greenhouses from gardens (unless request to leave in situ)</w:t>
            </w:r>
          </w:p>
        </w:tc>
      </w:tr>
    </w:tbl>
    <w:p w14:paraId="376CC863" w14:textId="77777777" w:rsidR="00A75A51" w:rsidRDefault="00A75A51" w:rsidP="005E04A9">
      <w:pPr>
        <w:pStyle w:val="Heading2"/>
        <w:jc w:val="both"/>
      </w:pPr>
    </w:p>
    <w:tbl>
      <w:tblPr>
        <w:tblStyle w:val="TableGridLight"/>
        <w:tblW w:w="0" w:type="auto"/>
        <w:tblLook w:val="04A0" w:firstRow="1" w:lastRow="0" w:firstColumn="1" w:lastColumn="0" w:noHBand="0" w:noVBand="1"/>
        <w:tblCaption w:val="time agreed"/>
      </w:tblPr>
      <w:tblGrid>
        <w:gridCol w:w="4508"/>
        <w:gridCol w:w="4508"/>
      </w:tblGrid>
      <w:tr w:rsidR="00F25C10" w14:paraId="19F938E5" w14:textId="77777777" w:rsidTr="00AE559D">
        <w:trPr>
          <w:tblHeader/>
        </w:trPr>
        <w:tc>
          <w:tcPr>
            <w:tcW w:w="4508" w:type="dxa"/>
          </w:tcPr>
          <w:p w14:paraId="63504BF7" w14:textId="77777777" w:rsidR="00F25C10" w:rsidRPr="007D1604" w:rsidRDefault="00F25C10" w:rsidP="005E04A9">
            <w:pPr>
              <w:tabs>
                <w:tab w:val="left" w:pos="1125"/>
              </w:tabs>
              <w:jc w:val="both"/>
              <w:rPr>
                <w:b/>
              </w:rPr>
            </w:pPr>
            <w:r w:rsidRPr="007D1604">
              <w:rPr>
                <w:b/>
              </w:rPr>
              <w:t>Void turnaround to be agreed</w:t>
            </w:r>
          </w:p>
        </w:tc>
        <w:tc>
          <w:tcPr>
            <w:tcW w:w="4508" w:type="dxa"/>
          </w:tcPr>
          <w:p w14:paraId="1A7F1FF2" w14:textId="77777777" w:rsidR="00F25C10" w:rsidRPr="007D1604" w:rsidRDefault="00F25C10" w:rsidP="005E04A9">
            <w:pPr>
              <w:tabs>
                <w:tab w:val="left" w:pos="1125"/>
              </w:tabs>
              <w:jc w:val="both"/>
              <w:rPr>
                <w:b/>
              </w:rPr>
            </w:pPr>
            <w:r>
              <w:rPr>
                <w:b/>
              </w:rPr>
              <w:t>Spec</w:t>
            </w:r>
          </w:p>
        </w:tc>
      </w:tr>
      <w:tr w:rsidR="00A75A51" w14:paraId="1C1F3B80" w14:textId="77777777" w:rsidTr="00581731">
        <w:tc>
          <w:tcPr>
            <w:tcW w:w="4508" w:type="dxa"/>
          </w:tcPr>
          <w:p w14:paraId="09086297" w14:textId="77777777" w:rsidR="00A75A51" w:rsidRPr="002E243C" w:rsidRDefault="00A75A51" w:rsidP="005E04A9">
            <w:pPr>
              <w:tabs>
                <w:tab w:val="left" w:pos="1125"/>
                <w:tab w:val="left" w:pos="3345"/>
              </w:tabs>
              <w:jc w:val="both"/>
            </w:pPr>
            <w:r w:rsidRPr="002E243C">
              <w:t>Major fire or Flood damage **</w:t>
            </w:r>
            <w:r w:rsidR="007D1604">
              <w:tab/>
            </w:r>
          </w:p>
        </w:tc>
        <w:tc>
          <w:tcPr>
            <w:tcW w:w="4508" w:type="dxa"/>
          </w:tcPr>
          <w:p w14:paraId="21BAF394" w14:textId="77777777" w:rsidR="00A75A51" w:rsidRPr="002E243C" w:rsidRDefault="00A75A51" w:rsidP="005E04A9">
            <w:pPr>
              <w:tabs>
                <w:tab w:val="left" w:pos="1125"/>
              </w:tabs>
              <w:jc w:val="both"/>
            </w:pPr>
            <w:r w:rsidRPr="002E243C">
              <w:t>New structural floor (whole room) **</w:t>
            </w:r>
          </w:p>
        </w:tc>
      </w:tr>
      <w:tr w:rsidR="00A75A51" w14:paraId="1CEFF913" w14:textId="77777777" w:rsidTr="00581731">
        <w:tc>
          <w:tcPr>
            <w:tcW w:w="4508" w:type="dxa"/>
          </w:tcPr>
          <w:p w14:paraId="753A62F5" w14:textId="77777777" w:rsidR="00A75A51" w:rsidRPr="002E243C" w:rsidRDefault="00A75A51" w:rsidP="005E04A9">
            <w:pPr>
              <w:tabs>
                <w:tab w:val="left" w:pos="1125"/>
              </w:tabs>
              <w:jc w:val="both"/>
            </w:pPr>
            <w:r w:rsidRPr="002E243C">
              <w:t>Renew whole roof **</w:t>
            </w:r>
          </w:p>
        </w:tc>
        <w:tc>
          <w:tcPr>
            <w:tcW w:w="4508" w:type="dxa"/>
          </w:tcPr>
          <w:p w14:paraId="5BF33974" w14:textId="77777777" w:rsidR="00A75A51" w:rsidRPr="002E243C" w:rsidRDefault="00A75A51" w:rsidP="005E04A9">
            <w:pPr>
              <w:tabs>
                <w:tab w:val="left" w:pos="1125"/>
              </w:tabs>
              <w:jc w:val="both"/>
            </w:pPr>
          </w:p>
        </w:tc>
      </w:tr>
    </w:tbl>
    <w:p w14:paraId="3D3310E4" w14:textId="77777777" w:rsidR="00A75A51" w:rsidRDefault="00A75A51" w:rsidP="005E04A9">
      <w:pPr>
        <w:tabs>
          <w:tab w:val="left" w:pos="1125"/>
        </w:tabs>
        <w:jc w:val="both"/>
        <w:rPr>
          <w:b/>
        </w:rPr>
      </w:pPr>
    </w:p>
    <w:p w14:paraId="6B1BBD23" w14:textId="77777777" w:rsidR="00A75A51" w:rsidRPr="00F57122" w:rsidRDefault="00A75A51" w:rsidP="005E04A9">
      <w:pPr>
        <w:tabs>
          <w:tab w:val="left" w:pos="1125"/>
        </w:tabs>
        <w:spacing w:line="240" w:lineRule="auto"/>
        <w:jc w:val="both"/>
        <w:rPr>
          <w:b/>
          <w:sz w:val="20"/>
        </w:rPr>
      </w:pPr>
    </w:p>
    <w:p w14:paraId="2233DE67" w14:textId="77777777" w:rsidR="00AA150F" w:rsidRPr="00AA150F" w:rsidRDefault="00AA150F" w:rsidP="005E04A9">
      <w:pPr>
        <w:jc w:val="both"/>
      </w:pPr>
    </w:p>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584A8" w14:textId="77777777" w:rsidR="00DA34D8" w:rsidRDefault="00DA34D8" w:rsidP="004B135C">
      <w:pPr>
        <w:spacing w:after="0" w:line="240" w:lineRule="auto"/>
      </w:pPr>
      <w:r>
        <w:separator/>
      </w:r>
    </w:p>
  </w:endnote>
  <w:endnote w:type="continuationSeparator" w:id="0">
    <w:p w14:paraId="0BECAB15" w14:textId="77777777" w:rsidR="00DA34D8" w:rsidRDefault="00DA34D8"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293DAF06" w14:textId="77777777" w:rsidR="00A75A51" w:rsidRDefault="00A75A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25C1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5C10">
              <w:rPr>
                <w:b/>
                <w:bCs/>
                <w:noProof/>
              </w:rPr>
              <w:t>5</w:t>
            </w:r>
            <w:r>
              <w:rPr>
                <w:b/>
                <w:bCs/>
                <w:sz w:val="24"/>
                <w:szCs w:val="24"/>
              </w:rPr>
              <w:fldChar w:fldCharType="end"/>
            </w:r>
          </w:p>
        </w:sdtContent>
      </w:sdt>
    </w:sdtContent>
  </w:sdt>
  <w:p w14:paraId="3E7035DF" w14:textId="77777777" w:rsidR="00A75A51" w:rsidRDefault="00A75A51"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E052E" w14:textId="77777777" w:rsidR="00DA34D8" w:rsidRDefault="00DA34D8" w:rsidP="004B135C">
      <w:pPr>
        <w:spacing w:after="0" w:line="240" w:lineRule="auto"/>
      </w:pPr>
      <w:r>
        <w:separator/>
      </w:r>
    </w:p>
  </w:footnote>
  <w:footnote w:type="continuationSeparator" w:id="0">
    <w:p w14:paraId="280D156F" w14:textId="77777777" w:rsidR="00DA34D8" w:rsidRDefault="00DA34D8"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6BDEECF3" w14:textId="77777777" w:rsidR="00A75A51" w:rsidRDefault="00A75A51"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854EB"/>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65200"/>
    <w:multiLevelType w:val="hybridMultilevel"/>
    <w:tmpl w:val="224C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A60EF"/>
    <w:multiLevelType w:val="multilevel"/>
    <w:tmpl w:val="DD5A45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5" w15:restartNumberingAfterBreak="0">
    <w:nsid w:val="21561D9D"/>
    <w:multiLevelType w:val="multilevel"/>
    <w:tmpl w:val="DD5A45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01034721">
    <w:abstractNumId w:val="3"/>
  </w:num>
  <w:num w:numId="2" w16cid:durableId="1118915941">
    <w:abstractNumId w:val="4"/>
  </w:num>
  <w:num w:numId="3" w16cid:durableId="109054648">
    <w:abstractNumId w:val="0"/>
  </w:num>
  <w:num w:numId="4" w16cid:durableId="1921518773">
    <w:abstractNumId w:val="1"/>
  </w:num>
  <w:num w:numId="5" w16cid:durableId="1873877739">
    <w:abstractNumId w:val="2"/>
  </w:num>
  <w:num w:numId="6" w16cid:durableId="1274363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131823"/>
    <w:rsid w:val="00211A97"/>
    <w:rsid w:val="002132E2"/>
    <w:rsid w:val="00231F5A"/>
    <w:rsid w:val="00236323"/>
    <w:rsid w:val="002876F6"/>
    <w:rsid w:val="002F0FCD"/>
    <w:rsid w:val="00341476"/>
    <w:rsid w:val="0039161F"/>
    <w:rsid w:val="00392FC7"/>
    <w:rsid w:val="003B7FDE"/>
    <w:rsid w:val="00412FE2"/>
    <w:rsid w:val="004B135C"/>
    <w:rsid w:val="004E1AEF"/>
    <w:rsid w:val="0056477E"/>
    <w:rsid w:val="00581731"/>
    <w:rsid w:val="005E04A9"/>
    <w:rsid w:val="00612008"/>
    <w:rsid w:val="006C151E"/>
    <w:rsid w:val="007062ED"/>
    <w:rsid w:val="00777377"/>
    <w:rsid w:val="007D1604"/>
    <w:rsid w:val="00835EB0"/>
    <w:rsid w:val="00850BDE"/>
    <w:rsid w:val="008538FB"/>
    <w:rsid w:val="008B0E10"/>
    <w:rsid w:val="008C6D95"/>
    <w:rsid w:val="009005BC"/>
    <w:rsid w:val="00906BE9"/>
    <w:rsid w:val="009155ED"/>
    <w:rsid w:val="00975369"/>
    <w:rsid w:val="00A36E66"/>
    <w:rsid w:val="00A75A51"/>
    <w:rsid w:val="00A77995"/>
    <w:rsid w:val="00AA150F"/>
    <w:rsid w:val="00B527DA"/>
    <w:rsid w:val="00B86014"/>
    <w:rsid w:val="00BC42CE"/>
    <w:rsid w:val="00CB11CD"/>
    <w:rsid w:val="00DA34D8"/>
    <w:rsid w:val="00EB6603"/>
    <w:rsid w:val="00F25C10"/>
    <w:rsid w:val="00F61F45"/>
    <w:rsid w:val="00F91A9E"/>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7D63E"/>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17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table" w:styleId="TableGrid">
    <w:name w:val="Table Grid"/>
    <w:basedOn w:val="TableNormal"/>
    <w:uiPriority w:val="39"/>
    <w:rsid w:val="00A7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A51"/>
    <w:pPr>
      <w:autoSpaceDE w:val="0"/>
      <w:autoSpaceDN w:val="0"/>
      <w:adjustRightInd w:val="0"/>
      <w:spacing w:after="0" w:line="240" w:lineRule="auto"/>
    </w:pPr>
    <w:rPr>
      <w:rFonts w:ascii="Tahoma" w:hAnsi="Tahoma" w:cs="Tahoma"/>
      <w:color w:val="000000"/>
      <w:sz w:val="24"/>
      <w:szCs w:val="24"/>
    </w:rPr>
  </w:style>
  <w:style w:type="character" w:customStyle="1" w:styleId="CommentTextChar">
    <w:name w:val="Comment Text Char"/>
    <w:basedOn w:val="DefaultParagraphFont"/>
    <w:link w:val="CommentText"/>
    <w:uiPriority w:val="99"/>
    <w:semiHidden/>
    <w:rsid w:val="00A75A51"/>
    <w:rPr>
      <w:sz w:val="20"/>
      <w:szCs w:val="20"/>
    </w:rPr>
  </w:style>
  <w:style w:type="paragraph" w:styleId="CommentText">
    <w:name w:val="annotation text"/>
    <w:basedOn w:val="Normal"/>
    <w:link w:val="CommentTextChar"/>
    <w:uiPriority w:val="99"/>
    <w:semiHidden/>
    <w:unhideWhenUsed/>
    <w:rsid w:val="00A75A51"/>
    <w:pPr>
      <w:spacing w:line="240" w:lineRule="auto"/>
    </w:pPr>
    <w:rPr>
      <w:sz w:val="20"/>
      <w:szCs w:val="20"/>
    </w:rPr>
  </w:style>
  <w:style w:type="character" w:customStyle="1" w:styleId="CommentSubjectChar">
    <w:name w:val="Comment Subject Char"/>
    <w:basedOn w:val="CommentTextChar"/>
    <w:link w:val="CommentSubject"/>
    <w:uiPriority w:val="99"/>
    <w:semiHidden/>
    <w:rsid w:val="00A75A51"/>
    <w:rPr>
      <w:b/>
      <w:bCs/>
      <w:sz w:val="20"/>
      <w:szCs w:val="20"/>
    </w:rPr>
  </w:style>
  <w:style w:type="paragraph" w:styleId="CommentSubject">
    <w:name w:val="annotation subject"/>
    <w:basedOn w:val="CommentText"/>
    <w:next w:val="CommentText"/>
    <w:link w:val="CommentSubjectChar"/>
    <w:uiPriority w:val="99"/>
    <w:semiHidden/>
    <w:unhideWhenUsed/>
    <w:rsid w:val="00A75A51"/>
    <w:rPr>
      <w:b/>
      <w:bCs/>
    </w:rPr>
  </w:style>
  <w:style w:type="character" w:customStyle="1" w:styleId="BalloonTextChar">
    <w:name w:val="Balloon Text Char"/>
    <w:basedOn w:val="DefaultParagraphFont"/>
    <w:link w:val="BalloonText"/>
    <w:uiPriority w:val="99"/>
    <w:semiHidden/>
    <w:rsid w:val="00A75A51"/>
    <w:rPr>
      <w:rFonts w:ascii="Segoe UI" w:hAnsi="Segoe UI" w:cs="Segoe UI"/>
      <w:sz w:val="18"/>
      <w:szCs w:val="18"/>
    </w:rPr>
  </w:style>
  <w:style w:type="paragraph" w:styleId="BalloonText">
    <w:name w:val="Balloon Text"/>
    <w:basedOn w:val="Normal"/>
    <w:link w:val="BalloonTextChar"/>
    <w:uiPriority w:val="99"/>
    <w:semiHidden/>
    <w:unhideWhenUsed/>
    <w:rsid w:val="00A75A51"/>
    <w:pPr>
      <w:spacing w:after="0" w:line="240" w:lineRule="auto"/>
    </w:pPr>
    <w:rPr>
      <w:rFonts w:ascii="Segoe UI" w:hAnsi="Segoe UI" w:cs="Segoe UI"/>
      <w:sz w:val="18"/>
      <w:szCs w:val="18"/>
    </w:rPr>
  </w:style>
  <w:style w:type="table" w:styleId="TableGridLight">
    <w:name w:val="Grid Table Light"/>
    <w:basedOn w:val="TableNormal"/>
    <w:uiPriority w:val="40"/>
    <w:rsid w:val="005817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581731"/>
    <w:rPr>
      <w:rFonts w:asciiTheme="majorHAnsi" w:eastAsiaTheme="majorEastAsia" w:hAnsiTheme="majorHAnsi" w:cstheme="majorBidi"/>
      <w:color w:val="2E74B5" w:themeColor="accent1" w:themeShade="BF"/>
      <w:sz w:val="26"/>
      <w:szCs w:val="26"/>
    </w:rPr>
  </w:style>
  <w:style w:type="table" w:styleId="GridTable1Light-Accent1">
    <w:name w:val="Grid Table 1 Light Accent 1"/>
    <w:basedOn w:val="TableNormal"/>
    <w:uiPriority w:val="46"/>
    <w:rsid w:val="003B7FD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283C50"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283C50"/>
    <w:rsid w:val="004D2F66"/>
    <w:rsid w:val="005247F9"/>
    <w:rsid w:val="00605B72"/>
    <w:rsid w:val="006C151E"/>
    <w:rsid w:val="008C692B"/>
    <w:rsid w:val="00AD3732"/>
    <w:rsid w:val="00BC42CE"/>
    <w:rsid w:val="00FC6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2</cp:revision>
  <cp:lastPrinted>2020-06-22T14:09:00Z</cp:lastPrinted>
  <dcterms:created xsi:type="dcterms:W3CDTF">2024-06-19T15:34:00Z</dcterms:created>
  <dcterms:modified xsi:type="dcterms:W3CDTF">2024-06-19T15:34:00Z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