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AD6563" w:rsidP="00A568F6">
            <w:pPr>
              <w:pStyle w:val="Header"/>
              <w:tabs>
                <w:tab w:val="clear" w:pos="4153"/>
                <w:tab w:val="clear" w:pos="8306"/>
              </w:tabs>
              <w:rPr>
                <w:sz w:val="20"/>
                <w:szCs w:val="20"/>
              </w:rPr>
            </w:pPr>
            <w:r>
              <w:rPr>
                <w:sz w:val="20"/>
                <w:szCs w:val="20"/>
              </w:rPr>
              <w:t>Anti-Social</w:t>
            </w:r>
            <w:r w:rsidR="00004365">
              <w:rPr>
                <w:sz w:val="20"/>
                <w:szCs w:val="20"/>
              </w:rPr>
              <w:t xml:space="preserve"> Behaviour (ASB) Policy</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AD6563" w:rsidP="00E67519">
            <w:pPr>
              <w:pStyle w:val="Header"/>
              <w:tabs>
                <w:tab w:val="clear" w:pos="4153"/>
                <w:tab w:val="clear" w:pos="8306"/>
              </w:tabs>
              <w:rPr>
                <w:sz w:val="20"/>
                <w:szCs w:val="20"/>
              </w:rPr>
            </w:pPr>
            <w:r>
              <w:rPr>
                <w:sz w:val="20"/>
                <w:szCs w:val="20"/>
              </w:rPr>
              <w:t>11</w:t>
            </w:r>
            <w:r w:rsidRPr="00AD6563">
              <w:rPr>
                <w:sz w:val="20"/>
                <w:szCs w:val="20"/>
                <w:vertAlign w:val="superscript"/>
              </w:rPr>
              <w:t>th</w:t>
            </w:r>
            <w:r>
              <w:rPr>
                <w:sz w:val="20"/>
                <w:szCs w:val="20"/>
              </w:rPr>
              <w:t xml:space="preserve"> </w:t>
            </w:r>
            <w:r w:rsidR="00004365">
              <w:rPr>
                <w:sz w:val="20"/>
                <w:szCs w:val="20"/>
              </w:rPr>
              <w:t>October 2019</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004365">
            <w:pPr>
              <w:pStyle w:val="Header"/>
              <w:tabs>
                <w:tab w:val="clear" w:pos="4153"/>
                <w:tab w:val="clear" w:pos="8306"/>
              </w:tabs>
              <w:rPr>
                <w:sz w:val="20"/>
                <w:szCs w:val="20"/>
              </w:rPr>
            </w:pPr>
            <w:bookmarkStart w:id="0" w:name="_GoBack"/>
            <w:r>
              <w:rPr>
                <w:sz w:val="20"/>
                <w:szCs w:val="20"/>
              </w:rPr>
              <w:t>Aisling Sims</w:t>
            </w:r>
          </w:p>
          <w:p w:rsidR="00004365" w:rsidRPr="00B007C0" w:rsidRDefault="00004365">
            <w:pPr>
              <w:pStyle w:val="Header"/>
              <w:tabs>
                <w:tab w:val="clear" w:pos="4153"/>
                <w:tab w:val="clear" w:pos="8306"/>
              </w:tabs>
              <w:rPr>
                <w:sz w:val="20"/>
                <w:szCs w:val="20"/>
              </w:rPr>
            </w:pPr>
            <w:r>
              <w:rPr>
                <w:sz w:val="20"/>
                <w:szCs w:val="20"/>
              </w:rPr>
              <w:t>Policy and Partnerships Manager</w:t>
            </w:r>
            <w:bookmarkEnd w:id="0"/>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516F2C" w:rsidRDefault="00516F2C" w:rsidP="00C42D74">
            <w:pPr>
              <w:pStyle w:val="Default"/>
              <w:rPr>
                <w:sz w:val="22"/>
                <w:szCs w:val="22"/>
              </w:rPr>
            </w:pPr>
          </w:p>
          <w:p w:rsidR="00FA1E0E" w:rsidRDefault="00F607A8" w:rsidP="00F607A8">
            <w:pPr>
              <w:pStyle w:val="Default"/>
              <w:rPr>
                <w:sz w:val="20"/>
                <w:szCs w:val="20"/>
              </w:rPr>
            </w:pPr>
            <w:r>
              <w:rPr>
                <w:sz w:val="20"/>
                <w:szCs w:val="20"/>
              </w:rPr>
              <w:t xml:space="preserve">The </w:t>
            </w:r>
            <w:r w:rsidR="00004365">
              <w:rPr>
                <w:sz w:val="20"/>
                <w:szCs w:val="20"/>
              </w:rPr>
              <w:t xml:space="preserve">policy has been updated to reflect changes in practice and guidance including: </w:t>
            </w:r>
          </w:p>
          <w:p w:rsidR="00004365" w:rsidRPr="0039383B" w:rsidRDefault="00004365" w:rsidP="0039383B">
            <w:pPr>
              <w:numPr>
                <w:ilvl w:val="0"/>
                <w:numId w:val="22"/>
              </w:numPr>
              <w:rPr>
                <w:rFonts w:ascii="Calibri" w:hAnsi="Calibri"/>
                <w:sz w:val="20"/>
                <w:szCs w:val="20"/>
              </w:rPr>
            </w:pPr>
            <w:r w:rsidRPr="0039383B">
              <w:rPr>
                <w:sz w:val="20"/>
                <w:szCs w:val="20"/>
              </w:rPr>
              <w:t>The definition of ASB, to bring it in line with the 2014 Act</w:t>
            </w:r>
          </w:p>
          <w:p w:rsidR="00004365" w:rsidRPr="0039383B" w:rsidRDefault="0039383B" w:rsidP="0039383B">
            <w:pPr>
              <w:numPr>
                <w:ilvl w:val="0"/>
                <w:numId w:val="22"/>
              </w:numPr>
              <w:rPr>
                <w:sz w:val="20"/>
                <w:szCs w:val="20"/>
              </w:rPr>
            </w:pPr>
            <w:r w:rsidRPr="0039383B">
              <w:rPr>
                <w:sz w:val="20"/>
                <w:szCs w:val="20"/>
              </w:rPr>
              <w:t>R</w:t>
            </w:r>
            <w:r w:rsidR="00004365" w:rsidRPr="0039383B">
              <w:rPr>
                <w:sz w:val="20"/>
                <w:szCs w:val="20"/>
              </w:rPr>
              <w:t>eference to harassment and hate crime, plus cuckooing and mate crime</w:t>
            </w:r>
          </w:p>
          <w:p w:rsidR="00004365" w:rsidRPr="0039383B" w:rsidRDefault="0039383B" w:rsidP="0039383B">
            <w:pPr>
              <w:numPr>
                <w:ilvl w:val="0"/>
                <w:numId w:val="22"/>
              </w:numPr>
              <w:rPr>
                <w:sz w:val="20"/>
                <w:szCs w:val="20"/>
              </w:rPr>
            </w:pPr>
            <w:r w:rsidRPr="0039383B">
              <w:rPr>
                <w:sz w:val="20"/>
                <w:szCs w:val="20"/>
              </w:rPr>
              <w:t>R</w:t>
            </w:r>
            <w:r w:rsidR="00004365" w:rsidRPr="0039383B">
              <w:rPr>
                <w:sz w:val="20"/>
                <w:szCs w:val="20"/>
              </w:rPr>
              <w:t>eference to the HRA funded post in the Community Safety Team</w:t>
            </w:r>
          </w:p>
          <w:p w:rsidR="0039383B" w:rsidRPr="0039383B" w:rsidRDefault="00004365" w:rsidP="0039383B">
            <w:pPr>
              <w:numPr>
                <w:ilvl w:val="0"/>
                <w:numId w:val="22"/>
              </w:numPr>
              <w:rPr>
                <w:sz w:val="20"/>
                <w:szCs w:val="20"/>
              </w:rPr>
            </w:pPr>
            <w:r w:rsidRPr="0039383B">
              <w:rPr>
                <w:sz w:val="20"/>
                <w:szCs w:val="20"/>
              </w:rPr>
              <w:t>To strengthen our expectation that residents will try to resolves lower level ASB themselves, before we intervene</w:t>
            </w:r>
            <w:r w:rsidR="0039383B" w:rsidRPr="0039383B">
              <w:rPr>
                <w:sz w:val="20"/>
                <w:szCs w:val="20"/>
              </w:rPr>
              <w:t xml:space="preserve">. </w:t>
            </w:r>
          </w:p>
          <w:p w:rsidR="00004365" w:rsidRPr="0039383B" w:rsidRDefault="00004365" w:rsidP="0039383B">
            <w:pPr>
              <w:numPr>
                <w:ilvl w:val="0"/>
                <w:numId w:val="22"/>
              </w:numPr>
              <w:rPr>
                <w:sz w:val="20"/>
                <w:szCs w:val="20"/>
              </w:rPr>
            </w:pPr>
            <w:r w:rsidRPr="0039383B">
              <w:rPr>
                <w:sz w:val="20"/>
                <w:szCs w:val="20"/>
              </w:rPr>
              <w:t>To make reference to lifestyle tolerance and respect</w:t>
            </w:r>
          </w:p>
          <w:p w:rsidR="00004365" w:rsidRPr="00FA1E0E" w:rsidRDefault="00004365" w:rsidP="00F607A8">
            <w:pPr>
              <w:pStyle w:val="Default"/>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AC2788" w:rsidRDefault="00AC2788" w:rsidP="00F27FEC">
            <w:pPr>
              <w:pStyle w:val="Default"/>
              <w:rPr>
                <w:sz w:val="20"/>
                <w:szCs w:val="20"/>
              </w:rPr>
            </w:pPr>
          </w:p>
          <w:p w:rsidR="002C4642" w:rsidRDefault="002C4642" w:rsidP="002C4642">
            <w:pPr>
              <w:pStyle w:val="Default"/>
              <w:rPr>
                <w:sz w:val="20"/>
                <w:szCs w:val="20"/>
              </w:rPr>
            </w:pPr>
            <w:r>
              <w:rPr>
                <w:sz w:val="20"/>
                <w:szCs w:val="20"/>
              </w:rPr>
              <w:t xml:space="preserve">Over the past two years there has been a decline in the number of ASB cases reported to Housing Services. </w:t>
            </w:r>
          </w:p>
          <w:p w:rsidR="002C4642" w:rsidRDefault="002C4642" w:rsidP="00F607A8">
            <w:pPr>
              <w:pStyle w:val="Default"/>
              <w:rPr>
                <w:sz w:val="20"/>
                <w:szCs w:val="20"/>
              </w:rPr>
            </w:pPr>
          </w:p>
          <w:tbl>
            <w:tblPr>
              <w:tblW w:w="3620" w:type="dxa"/>
              <w:tblLayout w:type="fixed"/>
              <w:tblLook w:val="04A0" w:firstRow="1" w:lastRow="0" w:firstColumn="1" w:lastColumn="0" w:noHBand="0" w:noVBand="1"/>
            </w:tblPr>
            <w:tblGrid>
              <w:gridCol w:w="1840"/>
              <w:gridCol w:w="1780"/>
            </w:tblGrid>
            <w:tr w:rsidR="00026D4D" w:rsidRPr="00026D4D" w:rsidTr="00026D4D">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Year</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Total cases</w:t>
                  </w:r>
                </w:p>
              </w:tc>
            </w:tr>
            <w:tr w:rsidR="00026D4D" w:rsidRPr="00026D4D" w:rsidTr="00026D4D">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2017-18</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126</w:t>
                  </w:r>
                </w:p>
              </w:tc>
            </w:tr>
            <w:tr w:rsidR="00026D4D" w:rsidRPr="00026D4D" w:rsidTr="00026D4D">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2018-19</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53</w:t>
                  </w:r>
                </w:p>
              </w:tc>
            </w:tr>
          </w:tbl>
          <w:p w:rsidR="002C4642" w:rsidRDefault="002C4642" w:rsidP="00F607A8">
            <w:pPr>
              <w:pStyle w:val="Default"/>
              <w:rPr>
                <w:sz w:val="20"/>
                <w:szCs w:val="20"/>
              </w:rPr>
            </w:pPr>
          </w:p>
          <w:p w:rsidR="000930A0" w:rsidRDefault="00026D4D" w:rsidP="00F607A8">
            <w:pPr>
              <w:pStyle w:val="Default"/>
              <w:rPr>
                <w:sz w:val="20"/>
                <w:szCs w:val="20"/>
              </w:rPr>
            </w:pPr>
            <w:r>
              <w:rPr>
                <w:sz w:val="20"/>
                <w:szCs w:val="20"/>
              </w:rPr>
              <w:t xml:space="preserve">Current stats (11/10/2019) show that there are currently 40 live cases and the highest instances of these are for noise complaints: </w:t>
            </w:r>
          </w:p>
          <w:p w:rsidR="00026D4D" w:rsidRDefault="00026D4D" w:rsidP="00F607A8">
            <w:pPr>
              <w:pStyle w:val="Default"/>
              <w:rPr>
                <w:sz w:val="20"/>
                <w:szCs w:val="20"/>
              </w:rPr>
            </w:pPr>
          </w:p>
          <w:tbl>
            <w:tblPr>
              <w:tblW w:w="5000" w:type="dxa"/>
              <w:tblLayout w:type="fixed"/>
              <w:tblLook w:val="04A0" w:firstRow="1" w:lastRow="0" w:firstColumn="1" w:lastColumn="0" w:noHBand="0" w:noVBand="1"/>
            </w:tblPr>
            <w:tblGrid>
              <w:gridCol w:w="3220"/>
              <w:gridCol w:w="1780"/>
            </w:tblGrid>
            <w:tr w:rsidR="00026D4D" w:rsidRPr="00026D4D" w:rsidTr="00026D4D">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Case type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Cases</w:t>
                  </w:r>
                </w:p>
              </w:tc>
            </w:tr>
            <w:tr w:rsidR="00026D4D" w:rsidRPr="00026D4D" w:rsidTr="00026D4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ALCOHOL RELATED</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1</w:t>
                  </w:r>
                </w:p>
              </w:tc>
            </w:tr>
            <w:tr w:rsidR="00026D4D" w:rsidRPr="00026D4D" w:rsidTr="00026D4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 xml:space="preserve">CRIMINAL BEHAVIOUR  </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2</w:t>
                  </w:r>
                </w:p>
              </w:tc>
            </w:tr>
            <w:tr w:rsidR="00026D4D" w:rsidRPr="00026D4D" w:rsidTr="00026D4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DRUGS MISUSE</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3</w:t>
                  </w:r>
                </w:p>
              </w:tc>
            </w:tr>
            <w:tr w:rsidR="00026D4D" w:rsidRPr="00026D4D" w:rsidTr="00026D4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C664C2" w:rsidP="00026D4D">
                  <w:pPr>
                    <w:rPr>
                      <w:rFonts w:ascii="Calibri" w:hAnsi="Calibri"/>
                      <w:sz w:val="22"/>
                      <w:szCs w:val="22"/>
                      <w:lang w:eastAsia="en-GB"/>
                    </w:rPr>
                  </w:pPr>
                  <w:r>
                    <w:rPr>
                      <w:rFonts w:ascii="Calibri" w:hAnsi="Calibri"/>
                      <w:sz w:val="22"/>
                      <w:szCs w:val="22"/>
                      <w:lang w:eastAsia="en-GB"/>
                    </w:rPr>
                    <w:t>GARDEN NUISANCE</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5</w:t>
                  </w:r>
                </w:p>
              </w:tc>
            </w:tr>
            <w:tr w:rsidR="00026D4D" w:rsidRPr="00026D4D" w:rsidTr="00026D4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C664C2" w:rsidP="00026D4D">
                  <w:pPr>
                    <w:rPr>
                      <w:rFonts w:ascii="Calibri" w:hAnsi="Calibri"/>
                      <w:sz w:val="22"/>
                      <w:szCs w:val="22"/>
                      <w:lang w:eastAsia="en-GB"/>
                    </w:rPr>
                  </w:pPr>
                  <w:r>
                    <w:rPr>
                      <w:rFonts w:ascii="Calibri" w:hAnsi="Calibri"/>
                      <w:sz w:val="22"/>
                      <w:szCs w:val="22"/>
                      <w:lang w:eastAsia="en-GB"/>
                    </w:rPr>
                    <w:t>LITTER FLY TIPPING</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1</w:t>
                  </w:r>
                </w:p>
              </w:tc>
            </w:tr>
            <w:tr w:rsidR="00026D4D" w:rsidRPr="00026D4D" w:rsidTr="00026D4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MISUSE OF COMM AREAS</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4</w:t>
                  </w:r>
                </w:p>
              </w:tc>
            </w:tr>
            <w:tr w:rsidR="00026D4D" w:rsidRPr="00026D4D" w:rsidTr="00026D4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NOISE</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11</w:t>
                  </w:r>
                </w:p>
              </w:tc>
            </w:tr>
            <w:tr w:rsidR="00026D4D" w:rsidRPr="00026D4D" w:rsidTr="00026D4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PETS</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3</w:t>
                  </w:r>
                </w:p>
              </w:tc>
            </w:tr>
            <w:tr w:rsidR="00026D4D" w:rsidRPr="00026D4D" w:rsidTr="00026D4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VANDALISM</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3</w:t>
                  </w:r>
                </w:p>
              </w:tc>
            </w:tr>
            <w:tr w:rsidR="00026D4D" w:rsidRPr="00026D4D" w:rsidTr="00026D4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VERBAL ABUSE</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4</w:t>
                  </w:r>
                </w:p>
              </w:tc>
            </w:tr>
            <w:tr w:rsidR="00026D4D" w:rsidRPr="00026D4D" w:rsidTr="00026D4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VIOLENCE NON DV</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3</w:t>
                  </w:r>
                </w:p>
              </w:tc>
            </w:tr>
            <w:tr w:rsidR="00026D4D" w:rsidRPr="00026D4D" w:rsidTr="00026D4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lastRenderedPageBreak/>
                    <w:t>Grand Total</w:t>
                  </w:r>
                </w:p>
              </w:tc>
              <w:tc>
                <w:tcPr>
                  <w:tcW w:w="1780" w:type="dxa"/>
                  <w:tcBorders>
                    <w:top w:val="nil"/>
                    <w:left w:val="nil"/>
                    <w:bottom w:val="single" w:sz="4" w:space="0" w:color="auto"/>
                    <w:right w:val="single" w:sz="4" w:space="0" w:color="auto"/>
                  </w:tcBorders>
                  <w:shd w:val="clear" w:color="auto" w:fill="auto"/>
                  <w:noWrap/>
                  <w:vAlign w:val="bottom"/>
                  <w:hideMark/>
                </w:tcPr>
                <w:p w:rsidR="00026D4D" w:rsidRPr="00026D4D" w:rsidRDefault="00026D4D" w:rsidP="00026D4D">
                  <w:pPr>
                    <w:rPr>
                      <w:rFonts w:ascii="Calibri" w:hAnsi="Calibri"/>
                      <w:sz w:val="22"/>
                      <w:szCs w:val="22"/>
                      <w:lang w:eastAsia="en-GB"/>
                    </w:rPr>
                  </w:pPr>
                  <w:r w:rsidRPr="00026D4D">
                    <w:rPr>
                      <w:rFonts w:ascii="Calibri" w:hAnsi="Calibri"/>
                      <w:sz w:val="22"/>
                      <w:szCs w:val="22"/>
                      <w:lang w:eastAsia="en-GB"/>
                    </w:rPr>
                    <w:t>40</w:t>
                  </w:r>
                </w:p>
              </w:tc>
            </w:tr>
          </w:tbl>
          <w:p w:rsidR="00026D4D" w:rsidRDefault="00026D4D" w:rsidP="00F607A8">
            <w:pPr>
              <w:pStyle w:val="Default"/>
              <w:rPr>
                <w:sz w:val="20"/>
                <w:szCs w:val="20"/>
              </w:rPr>
            </w:pPr>
          </w:p>
          <w:p w:rsidR="000930A0" w:rsidRDefault="000930A0" w:rsidP="00F607A8">
            <w:pPr>
              <w:pStyle w:val="Default"/>
              <w:rPr>
                <w:sz w:val="20"/>
                <w:szCs w:val="20"/>
              </w:rPr>
            </w:pPr>
          </w:p>
          <w:p w:rsidR="00D104DC" w:rsidRDefault="00C60D40" w:rsidP="00F607A8">
            <w:pPr>
              <w:pStyle w:val="Default"/>
              <w:rPr>
                <w:sz w:val="20"/>
                <w:szCs w:val="20"/>
              </w:rPr>
            </w:pPr>
            <w:r>
              <w:rPr>
                <w:sz w:val="20"/>
                <w:szCs w:val="20"/>
              </w:rPr>
              <w:t xml:space="preserve">The current policy does not fully outline the types of cases that could potentially occur within our housing stock. By bringing the policy and our recording system fully in line with guidance we will have a more reflective </w:t>
            </w:r>
          </w:p>
          <w:p w:rsidR="00C60D40" w:rsidRDefault="00C60D40" w:rsidP="00F607A8">
            <w:pPr>
              <w:pStyle w:val="Default"/>
              <w:rPr>
                <w:sz w:val="20"/>
                <w:szCs w:val="20"/>
              </w:rPr>
            </w:pPr>
          </w:p>
          <w:p w:rsidR="00026D4D" w:rsidRDefault="00C60D40" w:rsidP="00F607A8">
            <w:pPr>
              <w:pStyle w:val="Default"/>
              <w:rPr>
                <w:sz w:val="20"/>
                <w:szCs w:val="20"/>
              </w:rPr>
            </w:pPr>
            <w:r>
              <w:rPr>
                <w:sz w:val="20"/>
                <w:szCs w:val="20"/>
              </w:rPr>
              <w:t>Since the policy was last updated the service now part fund a post in the community safety team, this should improve and make the way we deal with ASB cases more effective. As part of the 2017 STAR survey there was a slight increase in satisfaction for both ‘</w:t>
            </w:r>
            <w:proofErr w:type="spellStart"/>
            <w:r>
              <w:rPr>
                <w:sz w:val="20"/>
                <w:szCs w:val="20"/>
              </w:rPr>
              <w:t>Neighbourhood</w:t>
            </w:r>
            <w:proofErr w:type="spellEnd"/>
            <w:r>
              <w:rPr>
                <w:sz w:val="20"/>
                <w:szCs w:val="20"/>
              </w:rPr>
              <w:t xml:space="preserve"> as a place to live’ (79%) and ‘ASB case handling’ (47%)</w:t>
            </w:r>
            <w:r w:rsidR="00C664C2">
              <w:rPr>
                <w:sz w:val="20"/>
                <w:szCs w:val="20"/>
              </w:rPr>
              <w:t xml:space="preserve"> </w:t>
            </w:r>
          </w:p>
          <w:p w:rsidR="00C664C2" w:rsidRDefault="00C664C2" w:rsidP="00F607A8">
            <w:pPr>
              <w:pStyle w:val="Default"/>
              <w:rPr>
                <w:sz w:val="20"/>
                <w:szCs w:val="20"/>
              </w:rPr>
            </w:pPr>
          </w:p>
          <w:p w:rsidR="000930A0" w:rsidRDefault="000930A0" w:rsidP="00F607A8">
            <w:pPr>
              <w:pStyle w:val="Default"/>
            </w:pPr>
            <w:r>
              <w:rPr>
                <w:sz w:val="20"/>
                <w:szCs w:val="20"/>
              </w:rPr>
              <w:t>Given</w:t>
            </w:r>
            <w:r w:rsidR="00AD6563">
              <w:rPr>
                <w:sz w:val="20"/>
                <w:szCs w:val="20"/>
              </w:rPr>
              <w:t xml:space="preserve"> all</w:t>
            </w:r>
            <w:r>
              <w:rPr>
                <w:sz w:val="20"/>
                <w:szCs w:val="20"/>
              </w:rPr>
              <w:t xml:space="preserve"> these figures it important for the Housing Service to make links with relevant teams and partner agencies to ensure an effective response to ASB on our estates. The use of a wider range of enforcement tools should keep the current rat</w:t>
            </w:r>
            <w:r w:rsidR="002C4642">
              <w:rPr>
                <w:sz w:val="20"/>
                <w:szCs w:val="20"/>
              </w:rPr>
              <w:t xml:space="preserve">e of evictions for ASB minimal (one eviction due to ASB during 2018-19) </w:t>
            </w:r>
          </w:p>
          <w:p w:rsidR="00FA1E0E" w:rsidRDefault="00FA1E0E" w:rsidP="005F338B">
            <w:pPr>
              <w:pStyle w:val="Default"/>
              <w:rPr>
                <w:b/>
                <w:bCs/>
              </w:rPr>
            </w:pP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D2415A">
            <w:pPr>
              <w:pStyle w:val="Heading2"/>
              <w:numPr>
                <w:ilvl w:val="0"/>
                <w:numId w:val="23"/>
              </w:numPr>
              <w:rPr>
                <w:sz w:val="24"/>
              </w:rPr>
            </w:pPr>
            <w:r>
              <w:rPr>
                <w:sz w:val="24"/>
              </w:rPr>
              <w:lastRenderedPageBreak/>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D2415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5F632D">
            <w:pPr>
              <w:jc w:val="center"/>
              <w:rPr>
                <w:rFonts w:cs="Arial"/>
                <w:b/>
                <w:bCs/>
                <w:noProof/>
                <w:lang w:val="en-U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5F632D">
            <w:pPr>
              <w:jc w:val="center"/>
              <w:rPr>
                <w:rFonts w:cs="Arial"/>
                <w:b/>
                <w:bCs/>
                <w:noProof/>
                <w:lang w:val="en-U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5F632D">
            <w:pPr>
              <w:jc w:val="center"/>
              <w:rPr>
                <w:rFonts w:cs="Arial"/>
                <w:b/>
                <w:bCs/>
                <w:noProof/>
                <w:lang w:val="en-U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234CB" w:rsidRDefault="00D234CB" w:rsidP="00CF5308">
            <w:pPr>
              <w:rPr>
                <w:sz w:val="20"/>
                <w:szCs w:val="20"/>
              </w:rPr>
            </w:pPr>
          </w:p>
          <w:p w:rsidR="00814E17" w:rsidRDefault="00CF5308" w:rsidP="00CF5308">
            <w:pPr>
              <w:rPr>
                <w:sz w:val="20"/>
                <w:szCs w:val="20"/>
              </w:rPr>
            </w:pPr>
            <w:r w:rsidRPr="00891F80">
              <w:rPr>
                <w:sz w:val="20"/>
                <w:szCs w:val="20"/>
              </w:rPr>
              <w:t>This policy will be applied to all residents equally, but whilst not specifically targeted at any protected characteristic it is recognised that some aspects of could adversely impact on some of the groups.</w:t>
            </w:r>
          </w:p>
          <w:p w:rsidR="00D2415A" w:rsidRDefault="00D2415A" w:rsidP="00CF5308">
            <w:pPr>
              <w:rPr>
                <w:sz w:val="20"/>
                <w:szCs w:val="20"/>
              </w:rPr>
            </w:pPr>
          </w:p>
          <w:p w:rsidR="005F632D" w:rsidRDefault="009B23C0" w:rsidP="00CF5308">
            <w:pPr>
              <w:rPr>
                <w:sz w:val="20"/>
                <w:szCs w:val="20"/>
              </w:rPr>
            </w:pPr>
            <w:r>
              <w:rPr>
                <w:sz w:val="20"/>
                <w:szCs w:val="20"/>
              </w:rPr>
              <w:t>The proposed policy update includes references to new ASB case types and naturally these could affect some groups more than othe</w:t>
            </w:r>
            <w:r w:rsidR="005F632D">
              <w:rPr>
                <w:sz w:val="20"/>
                <w:szCs w:val="20"/>
              </w:rPr>
              <w:t xml:space="preserve">rs. Victims of ‘cuckooing’ and ‘mate crime’ are often </w:t>
            </w:r>
            <w:r w:rsidR="005F632D">
              <w:rPr>
                <w:sz w:val="20"/>
                <w:szCs w:val="20"/>
              </w:rPr>
              <w:lastRenderedPageBreak/>
              <w:t xml:space="preserve">more likely to those thought of as vulnerable. Cases of harassment could affect the race and the religion/belief characteristics. By defining these terms it is likely that the policy will advance equality for these groups as Housing Services will work to prevent/resolve such cases. </w:t>
            </w:r>
          </w:p>
          <w:p w:rsidR="005F632D" w:rsidRDefault="005F632D" w:rsidP="00CF5308">
            <w:pPr>
              <w:rPr>
                <w:sz w:val="20"/>
                <w:szCs w:val="20"/>
              </w:rPr>
            </w:pPr>
          </w:p>
          <w:p w:rsidR="005F632D" w:rsidRDefault="005F632D" w:rsidP="00CF5308">
            <w:pPr>
              <w:rPr>
                <w:sz w:val="20"/>
                <w:szCs w:val="20"/>
              </w:rPr>
            </w:pPr>
            <w:r>
              <w:rPr>
                <w:sz w:val="20"/>
                <w:szCs w:val="20"/>
              </w:rPr>
              <w:t xml:space="preserve">ASB cases are not currently monitored with profiling data so we are not able to establish if any groups are being affect more than others. </w:t>
            </w:r>
          </w:p>
          <w:p w:rsidR="00D234CB" w:rsidRDefault="00D234CB" w:rsidP="00D234CB">
            <w:pPr>
              <w:rPr>
                <w:sz w:val="20"/>
                <w:szCs w:val="20"/>
              </w:rPr>
            </w:pPr>
          </w:p>
          <w:p w:rsidR="000A0724" w:rsidRPr="00364AB8" w:rsidRDefault="00827160" w:rsidP="0074150B">
            <w:pPr>
              <w:rPr>
                <w:sz w:val="20"/>
                <w:szCs w:val="20"/>
              </w:rPr>
            </w:pPr>
            <w:r w:rsidRPr="00827160">
              <w:rPr>
                <w:sz w:val="20"/>
                <w:szCs w:val="20"/>
              </w:rPr>
              <w:t>Some groups who are unable to read written English</w:t>
            </w:r>
            <w:r>
              <w:rPr>
                <w:sz w:val="20"/>
                <w:szCs w:val="20"/>
              </w:rPr>
              <w:t xml:space="preserve"> can initially be disadvantaged, if material is not available in the appropriate format. </w:t>
            </w:r>
          </w:p>
          <w:p w:rsidR="004D4385" w:rsidRPr="00DF3C64" w:rsidRDefault="00DE369A" w:rsidP="00084BE7">
            <w:pPr>
              <w:rPr>
                <w:sz w:val="22"/>
                <w:szCs w:val="22"/>
              </w:rPr>
            </w:pPr>
            <w:r w:rsidRPr="00DF3C64">
              <w:rPr>
                <w:sz w:val="22"/>
                <w:szCs w:val="22"/>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lastRenderedPageBreak/>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53704" w:rsidRPr="000E26D3" w:rsidRDefault="00D53704" w:rsidP="005F338B">
            <w:pPr>
              <w:pStyle w:val="Header"/>
              <w:rPr>
                <w:sz w:val="20"/>
                <w:szCs w:val="20"/>
              </w:rPr>
            </w:pPr>
          </w:p>
          <w:p w:rsidR="009B23C0" w:rsidRDefault="00601FE2" w:rsidP="00891F80">
            <w:pPr>
              <w:pStyle w:val="Header"/>
              <w:rPr>
                <w:sz w:val="20"/>
                <w:szCs w:val="20"/>
              </w:rPr>
            </w:pPr>
            <w:r>
              <w:rPr>
                <w:sz w:val="20"/>
                <w:szCs w:val="20"/>
              </w:rPr>
              <w:t>Following the inclusion of the new ASB cases types Housing will continue to monitor the cases logged by type. It would also be beneficial to monitor new cases alongside any profiling data that is held by the service. This would show if any particular groups are being affected by the change.</w:t>
            </w:r>
          </w:p>
          <w:p w:rsidR="00605419" w:rsidRDefault="00D53704" w:rsidP="00891F80">
            <w:pPr>
              <w:pStyle w:val="Header"/>
              <w:rPr>
                <w:sz w:val="20"/>
                <w:szCs w:val="20"/>
              </w:rPr>
            </w:pPr>
            <w:r w:rsidRPr="000E26D3">
              <w:rPr>
                <w:sz w:val="20"/>
                <w:szCs w:val="20"/>
              </w:rPr>
              <w:t xml:space="preserve">Medway Council hold profiling information of tenants and leaseholders, and will ensure that documentation produced will be in the appropriate format for the resident. </w:t>
            </w:r>
            <w:r w:rsidR="00891F80" w:rsidRPr="00891F80">
              <w:rPr>
                <w:sz w:val="20"/>
                <w:szCs w:val="20"/>
              </w:rPr>
              <w:t>Medway Council</w:t>
            </w:r>
            <w:r w:rsidR="00891F80">
              <w:rPr>
                <w:sz w:val="20"/>
                <w:szCs w:val="20"/>
              </w:rPr>
              <w:t xml:space="preserve"> </w:t>
            </w:r>
            <w:r w:rsidR="00FB2AD3">
              <w:rPr>
                <w:sz w:val="20"/>
                <w:szCs w:val="20"/>
              </w:rPr>
              <w:t xml:space="preserve">can </w:t>
            </w:r>
            <w:r w:rsidR="00FB2AD3" w:rsidRPr="00891F80">
              <w:rPr>
                <w:sz w:val="20"/>
                <w:szCs w:val="20"/>
              </w:rPr>
              <w:t>offer</w:t>
            </w:r>
            <w:r w:rsidR="00891F80" w:rsidRPr="00891F80">
              <w:rPr>
                <w:sz w:val="20"/>
                <w:szCs w:val="20"/>
              </w:rPr>
              <w:t xml:space="preserve"> </w:t>
            </w:r>
            <w:r w:rsidR="00580B90">
              <w:rPr>
                <w:sz w:val="20"/>
                <w:szCs w:val="20"/>
              </w:rPr>
              <w:t xml:space="preserve">information </w:t>
            </w:r>
            <w:r w:rsidR="00891F80" w:rsidRPr="00891F80">
              <w:rPr>
                <w:sz w:val="20"/>
                <w:szCs w:val="20"/>
              </w:rPr>
              <w:t>translated, Braille or tap</w:t>
            </w:r>
            <w:r w:rsidR="00891F80">
              <w:rPr>
                <w:sz w:val="20"/>
                <w:szCs w:val="20"/>
              </w:rPr>
              <w:t xml:space="preserve">ed versions of the document. In </w:t>
            </w:r>
            <w:r w:rsidR="00891F80" w:rsidRPr="00891F80">
              <w:rPr>
                <w:sz w:val="20"/>
                <w:szCs w:val="20"/>
              </w:rPr>
              <w:t>some instances an interpretation servi</w:t>
            </w:r>
            <w:r w:rsidR="00891F80">
              <w:rPr>
                <w:sz w:val="20"/>
                <w:szCs w:val="20"/>
              </w:rPr>
              <w:t xml:space="preserve">ce or other person can give the </w:t>
            </w:r>
            <w:r w:rsidR="00891F80" w:rsidRPr="00891F80">
              <w:rPr>
                <w:sz w:val="20"/>
                <w:szCs w:val="20"/>
              </w:rPr>
              <w:t>pertinent information in verbal format.</w:t>
            </w:r>
          </w:p>
          <w:p w:rsidR="00246DA8" w:rsidRPr="00DF3C64" w:rsidRDefault="00246DA8" w:rsidP="00580B90">
            <w:pPr>
              <w:pStyle w:val="Header"/>
              <w:tabs>
                <w:tab w:val="clear" w:pos="4153"/>
                <w:tab w:val="clear" w:pos="8306"/>
              </w:tabs>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601FE2"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601FE2" w:rsidRDefault="00601FE2" w:rsidP="00A8276D">
            <w:pPr>
              <w:rPr>
                <w:rFonts w:cs="Arial"/>
                <w:sz w:val="20"/>
                <w:szCs w:val="20"/>
              </w:rPr>
            </w:pPr>
            <w:r>
              <w:rPr>
                <w:rFonts w:cs="Arial"/>
                <w:sz w:val="20"/>
                <w:szCs w:val="20"/>
              </w:rPr>
              <w:t>Include new case types within the housing management database</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01FE2" w:rsidRDefault="00601FE2">
            <w:pPr>
              <w:jc w:val="center"/>
              <w:rPr>
                <w:rFonts w:cs="Arial"/>
                <w:sz w:val="20"/>
                <w:szCs w:val="20"/>
              </w:rPr>
            </w:pPr>
            <w:r>
              <w:rPr>
                <w:rFonts w:cs="Arial"/>
                <w:sz w:val="20"/>
                <w:szCs w:val="20"/>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601FE2" w:rsidRPr="003A15D8" w:rsidRDefault="003A15D8" w:rsidP="00E0333B">
            <w:pPr>
              <w:rPr>
                <w:rFonts w:cs="Arial"/>
                <w:sz w:val="20"/>
                <w:szCs w:val="22"/>
              </w:rPr>
            </w:pPr>
            <w:r w:rsidRPr="003A15D8">
              <w:rPr>
                <w:rFonts w:cs="Arial"/>
                <w:sz w:val="20"/>
                <w:szCs w:val="22"/>
              </w:rPr>
              <w:t>December 2019</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A8276D" w:rsidRDefault="000930A0" w:rsidP="00A8276D">
            <w:pPr>
              <w:rPr>
                <w:rFonts w:cs="Arial"/>
                <w:sz w:val="20"/>
                <w:szCs w:val="20"/>
              </w:rPr>
            </w:pPr>
            <w:r>
              <w:rPr>
                <w:rFonts w:cs="Arial"/>
                <w:sz w:val="20"/>
                <w:szCs w:val="20"/>
              </w:rPr>
              <w:t xml:space="preserve">Monitor number and types of ASB cases </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0930A0">
            <w:pPr>
              <w:jc w:val="center"/>
              <w:rPr>
                <w:rFonts w:cs="Arial"/>
                <w:sz w:val="20"/>
                <w:szCs w:val="20"/>
              </w:rPr>
            </w:pPr>
            <w:r>
              <w:rPr>
                <w:rFonts w:cs="Arial"/>
                <w:sz w:val="20"/>
                <w:szCs w:val="20"/>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0930A0" w:rsidP="00E0333B">
            <w:pPr>
              <w:rPr>
                <w:rFonts w:cs="Arial"/>
                <w:sz w:val="20"/>
                <w:szCs w:val="22"/>
              </w:rPr>
            </w:pPr>
            <w:r w:rsidRPr="003A15D8">
              <w:rPr>
                <w:rFonts w:cs="Arial"/>
                <w:sz w:val="20"/>
                <w:szCs w:val="22"/>
              </w:rPr>
              <w:t>Ongoing</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0930A0">
            <w:pPr>
              <w:rPr>
                <w:rFonts w:cs="Arial"/>
                <w:sz w:val="20"/>
                <w:szCs w:val="20"/>
              </w:rPr>
            </w:pPr>
            <w:r>
              <w:rPr>
                <w:rFonts w:cs="Arial"/>
                <w:sz w:val="20"/>
                <w:szCs w:val="20"/>
              </w:rPr>
              <w:t>Monitor the satisfaction of residents in their estates</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5E7FCC" w:rsidRDefault="000930A0">
            <w:pPr>
              <w:jc w:val="center"/>
              <w:rPr>
                <w:rFonts w:cs="Arial"/>
                <w:sz w:val="20"/>
                <w:szCs w:val="20"/>
              </w:rPr>
            </w:pPr>
            <w:r>
              <w:rPr>
                <w:rFonts w:cs="Arial"/>
                <w:sz w:val="20"/>
                <w:szCs w:val="20"/>
              </w:rPr>
              <w:t>Policy and Partnerships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0930A0" w:rsidP="00601FE2">
            <w:pPr>
              <w:rPr>
                <w:rFonts w:cs="Arial"/>
                <w:sz w:val="20"/>
                <w:szCs w:val="22"/>
              </w:rPr>
            </w:pPr>
            <w:r w:rsidRPr="003A15D8">
              <w:rPr>
                <w:rFonts w:cs="Arial"/>
                <w:sz w:val="20"/>
                <w:szCs w:val="22"/>
              </w:rPr>
              <w:t>Ongoing</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9B23C0">
            <w:pPr>
              <w:rPr>
                <w:rFonts w:cs="Arial"/>
                <w:sz w:val="20"/>
                <w:szCs w:val="22"/>
              </w:rPr>
            </w:pPr>
            <w:r w:rsidRPr="009B23C0">
              <w:rPr>
                <w:rFonts w:cs="Arial"/>
                <w:sz w:val="20"/>
                <w:szCs w:val="22"/>
              </w:rPr>
              <w:t>Consider monitoring profiling data alongside ASB cases</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9B23C0">
            <w:pPr>
              <w:jc w:val="center"/>
              <w:rPr>
                <w:rFonts w:cs="Arial"/>
                <w:sz w:val="20"/>
              </w:rPr>
            </w:pPr>
            <w:r w:rsidRPr="009B23C0">
              <w:rPr>
                <w:rFonts w:cs="Arial"/>
                <w:sz w:val="20"/>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9B23C0">
            <w:pPr>
              <w:jc w:val="center"/>
              <w:rPr>
                <w:rFonts w:cs="Arial"/>
                <w:sz w:val="20"/>
              </w:rPr>
            </w:pPr>
            <w:r w:rsidRPr="009B23C0">
              <w:rPr>
                <w:rFonts w:cs="Arial"/>
                <w:sz w:val="20"/>
              </w:rPr>
              <w:t>January 2020</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EA43BC" w:rsidRDefault="00EA43BC" w:rsidP="003A5EFB">
            <w:pPr>
              <w:rPr>
                <w:sz w:val="20"/>
                <w:szCs w:val="20"/>
              </w:rPr>
            </w:pPr>
            <w:r w:rsidRPr="00EA43BC">
              <w:rPr>
                <w:sz w:val="20"/>
                <w:szCs w:val="20"/>
              </w:rPr>
              <w:t xml:space="preserve">To proceed </w:t>
            </w:r>
            <w:r w:rsidR="00F607A8">
              <w:rPr>
                <w:sz w:val="20"/>
                <w:szCs w:val="20"/>
              </w:rPr>
              <w:t>with the implementation of the policy</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lastRenderedPageBreak/>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530FBA" w:rsidRPr="00530FBA" w:rsidRDefault="00F607A8" w:rsidP="00530FBA">
            <w:pPr>
              <w:rPr>
                <w:rFonts w:eastAsia="Calibri" w:cs="Arial"/>
                <w:color w:val="000000"/>
                <w:lang w:eastAsia="en-GB"/>
              </w:rPr>
            </w:pPr>
            <w:r>
              <w:rPr>
                <w:rFonts w:eastAsia="Calibri" w:cs="Arial"/>
                <w:color w:val="000000"/>
                <w:lang w:eastAsia="en-GB"/>
              </w:rPr>
              <w:t xml:space="preserve">Mark </w:t>
            </w:r>
            <w:proofErr w:type="spellStart"/>
            <w:r>
              <w:rPr>
                <w:rFonts w:eastAsia="Calibri" w:cs="Arial"/>
                <w:color w:val="000000"/>
                <w:lang w:eastAsia="en-GB"/>
              </w:rPr>
              <w:t>Breathwick</w:t>
            </w:r>
            <w:proofErr w:type="spellEnd"/>
          </w:p>
          <w:p w:rsidR="00865498" w:rsidRPr="00340B1C" w:rsidRDefault="00530FBA" w:rsidP="00F607A8">
            <w:pPr>
              <w:pStyle w:val="CommentText"/>
              <w:rPr>
                <w:rFonts w:cs="Arial"/>
                <w:b/>
                <w:bCs/>
                <w:sz w:val="24"/>
                <w:szCs w:val="24"/>
              </w:rPr>
            </w:pPr>
            <w:r w:rsidRPr="00530FBA">
              <w:rPr>
                <w:rFonts w:cs="Arial"/>
                <w:b/>
                <w:bCs/>
                <w:sz w:val="24"/>
                <w:szCs w:val="24"/>
              </w:rPr>
              <w:t xml:space="preserve">Head of Housing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9F7CE7">
            <w:pPr>
              <w:pStyle w:val="CommentText"/>
              <w:rPr>
                <w:rFonts w:cs="Arial"/>
                <w:sz w:val="24"/>
                <w:szCs w:val="24"/>
              </w:rPr>
            </w:pPr>
            <w:r>
              <w:rPr>
                <w:rFonts w:cs="Arial"/>
                <w:sz w:val="24"/>
                <w:szCs w:val="24"/>
              </w:rPr>
              <w:t>October 2019</w:t>
            </w:r>
          </w:p>
          <w:p w:rsidR="004D4385" w:rsidRPr="00865498" w:rsidRDefault="004D4385">
            <w:pPr>
              <w:rPr>
                <w:rFonts w:cs="Arial"/>
                <w:b/>
                <w:bCs/>
              </w:rPr>
            </w:pP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96" w:rsidRDefault="00276096">
      <w:r>
        <w:separator/>
      </w:r>
    </w:p>
  </w:endnote>
  <w:endnote w:type="continuationSeparator" w:id="0">
    <w:p w:rsidR="00276096" w:rsidRDefault="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8486C">
      <w:rPr>
        <w:rStyle w:val="PageNumber"/>
        <w:noProof/>
      </w:rPr>
      <w:t>1</w:t>
    </w:r>
    <w:r>
      <w:rPr>
        <w:rStyle w:val="PageNumber"/>
      </w:rPr>
      <w:fldChar w:fldCharType="end"/>
    </w:r>
  </w:p>
  <w:p w:rsidR="00FC5588" w:rsidRDefault="00FC5588" w:rsidP="00F607A8">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96" w:rsidRDefault="00276096">
      <w:r>
        <w:separator/>
      </w:r>
    </w:p>
  </w:footnote>
  <w:footnote w:type="continuationSeparator" w:id="0">
    <w:p w:rsidR="00276096" w:rsidRDefault="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A8486C">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5098027" r:id="rId2"/>
      </w:object>
    </w:r>
    <w:r w:rsidR="00FC5588">
      <w:rPr>
        <w:b/>
        <w:bCs/>
        <w:sz w:val="44"/>
      </w:rPr>
      <w:t>Diversity</w:t>
    </w:r>
  </w:p>
  <w:p w:rsidR="00FC5588" w:rsidRDefault="00C664C2">
    <w:pPr>
      <w:pStyle w:val="Header"/>
      <w:jc w:val="center"/>
      <w:rPr>
        <w:b/>
        <w:bCs/>
        <w:sz w:val="36"/>
      </w:rPr>
    </w:pPr>
    <w:r>
      <w:rPr>
        <w:b/>
        <w:bCs/>
        <w:sz w:val="44"/>
      </w:rPr>
      <w:t xml:space="preserve"> Impact A</w:t>
    </w:r>
    <w:r w:rsidR="00FC5588">
      <w:rPr>
        <w:b/>
        <w:bCs/>
        <w:sz w:val="44"/>
      </w:rPr>
      <w:t xml:space="preserve">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1"/>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22"/>
  </w:num>
  <w:num w:numId="22">
    <w:abstractNumId w:val="20"/>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365"/>
    <w:rsid w:val="0000455F"/>
    <w:rsid w:val="00020F25"/>
    <w:rsid w:val="00020F30"/>
    <w:rsid w:val="00024A8D"/>
    <w:rsid w:val="00026D4D"/>
    <w:rsid w:val="00031054"/>
    <w:rsid w:val="00060444"/>
    <w:rsid w:val="000607A3"/>
    <w:rsid w:val="00084BE7"/>
    <w:rsid w:val="000930A0"/>
    <w:rsid w:val="000A0724"/>
    <w:rsid w:val="000D353C"/>
    <w:rsid w:val="000E06F2"/>
    <w:rsid w:val="000E26D3"/>
    <w:rsid w:val="000E5F40"/>
    <w:rsid w:val="00101834"/>
    <w:rsid w:val="00102B52"/>
    <w:rsid w:val="001210BF"/>
    <w:rsid w:val="0014197D"/>
    <w:rsid w:val="00144D74"/>
    <w:rsid w:val="00183266"/>
    <w:rsid w:val="00190989"/>
    <w:rsid w:val="001A4E5B"/>
    <w:rsid w:val="001B0B35"/>
    <w:rsid w:val="001E65E4"/>
    <w:rsid w:val="001F28E6"/>
    <w:rsid w:val="002166ED"/>
    <w:rsid w:val="00246DA8"/>
    <w:rsid w:val="00276096"/>
    <w:rsid w:val="0027719A"/>
    <w:rsid w:val="00286ECE"/>
    <w:rsid w:val="002A6511"/>
    <w:rsid w:val="002C4642"/>
    <w:rsid w:val="00316942"/>
    <w:rsid w:val="00326934"/>
    <w:rsid w:val="00333CDF"/>
    <w:rsid w:val="00340B1C"/>
    <w:rsid w:val="00352A91"/>
    <w:rsid w:val="00363061"/>
    <w:rsid w:val="00364AB8"/>
    <w:rsid w:val="0039383B"/>
    <w:rsid w:val="003A15D8"/>
    <w:rsid w:val="003A5EFB"/>
    <w:rsid w:val="003D3059"/>
    <w:rsid w:val="00422C8C"/>
    <w:rsid w:val="00435E08"/>
    <w:rsid w:val="00452741"/>
    <w:rsid w:val="00461867"/>
    <w:rsid w:val="00496B1C"/>
    <w:rsid w:val="004B0811"/>
    <w:rsid w:val="004C027F"/>
    <w:rsid w:val="004C5F24"/>
    <w:rsid w:val="004D4385"/>
    <w:rsid w:val="004E0D45"/>
    <w:rsid w:val="00503624"/>
    <w:rsid w:val="00515D85"/>
    <w:rsid w:val="00516F2C"/>
    <w:rsid w:val="00530FBA"/>
    <w:rsid w:val="00577515"/>
    <w:rsid w:val="00580B90"/>
    <w:rsid w:val="005869E4"/>
    <w:rsid w:val="00593001"/>
    <w:rsid w:val="005E7FCC"/>
    <w:rsid w:val="005F304D"/>
    <w:rsid w:val="005F338B"/>
    <w:rsid w:val="005F632D"/>
    <w:rsid w:val="00601FE2"/>
    <w:rsid w:val="0060431F"/>
    <w:rsid w:val="00604BDB"/>
    <w:rsid w:val="00605419"/>
    <w:rsid w:val="006562E0"/>
    <w:rsid w:val="00675341"/>
    <w:rsid w:val="006A3E77"/>
    <w:rsid w:val="006C3318"/>
    <w:rsid w:val="006C49B7"/>
    <w:rsid w:val="006F59FB"/>
    <w:rsid w:val="0070353D"/>
    <w:rsid w:val="0072377E"/>
    <w:rsid w:val="0073676F"/>
    <w:rsid w:val="0074150B"/>
    <w:rsid w:val="00763C4C"/>
    <w:rsid w:val="0077036C"/>
    <w:rsid w:val="00775CD2"/>
    <w:rsid w:val="00794D07"/>
    <w:rsid w:val="007B4631"/>
    <w:rsid w:val="007C1BFB"/>
    <w:rsid w:val="007F0486"/>
    <w:rsid w:val="007F4D47"/>
    <w:rsid w:val="00814E17"/>
    <w:rsid w:val="00827160"/>
    <w:rsid w:val="00844D2F"/>
    <w:rsid w:val="00863259"/>
    <w:rsid w:val="00865498"/>
    <w:rsid w:val="00876AD9"/>
    <w:rsid w:val="00891F80"/>
    <w:rsid w:val="008B70B6"/>
    <w:rsid w:val="008F3510"/>
    <w:rsid w:val="00902190"/>
    <w:rsid w:val="00916A29"/>
    <w:rsid w:val="00923ADC"/>
    <w:rsid w:val="00932367"/>
    <w:rsid w:val="00947BC3"/>
    <w:rsid w:val="009B23C0"/>
    <w:rsid w:val="009E0F99"/>
    <w:rsid w:val="009F4206"/>
    <w:rsid w:val="009F7CE7"/>
    <w:rsid w:val="00A132C9"/>
    <w:rsid w:val="00A31A78"/>
    <w:rsid w:val="00A40075"/>
    <w:rsid w:val="00A568F6"/>
    <w:rsid w:val="00A65810"/>
    <w:rsid w:val="00A8276D"/>
    <w:rsid w:val="00A8486C"/>
    <w:rsid w:val="00A92EFF"/>
    <w:rsid w:val="00AC2788"/>
    <w:rsid w:val="00AD501B"/>
    <w:rsid w:val="00AD6563"/>
    <w:rsid w:val="00AE2381"/>
    <w:rsid w:val="00B007C0"/>
    <w:rsid w:val="00B2460E"/>
    <w:rsid w:val="00B41FA0"/>
    <w:rsid w:val="00B80191"/>
    <w:rsid w:val="00BB14D2"/>
    <w:rsid w:val="00BD2660"/>
    <w:rsid w:val="00BD6F89"/>
    <w:rsid w:val="00C14E55"/>
    <w:rsid w:val="00C36C5B"/>
    <w:rsid w:val="00C414A3"/>
    <w:rsid w:val="00C42D74"/>
    <w:rsid w:val="00C60D40"/>
    <w:rsid w:val="00C664C2"/>
    <w:rsid w:val="00CA3AE0"/>
    <w:rsid w:val="00CF5308"/>
    <w:rsid w:val="00CF754B"/>
    <w:rsid w:val="00D104DC"/>
    <w:rsid w:val="00D234CB"/>
    <w:rsid w:val="00D2415A"/>
    <w:rsid w:val="00D53704"/>
    <w:rsid w:val="00D8382E"/>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5714B"/>
    <w:rsid w:val="00E67087"/>
    <w:rsid w:val="00E67519"/>
    <w:rsid w:val="00EA43BC"/>
    <w:rsid w:val="00EC1382"/>
    <w:rsid w:val="00EC76D7"/>
    <w:rsid w:val="00ED57E1"/>
    <w:rsid w:val="00F17777"/>
    <w:rsid w:val="00F22CE8"/>
    <w:rsid w:val="00F27FEC"/>
    <w:rsid w:val="00F425F9"/>
    <w:rsid w:val="00F607A8"/>
    <w:rsid w:val="00F865C9"/>
    <w:rsid w:val="00FA1E0E"/>
    <w:rsid w:val="00FB2AD3"/>
    <w:rsid w:val="00FB6D0B"/>
    <w:rsid w:val="00FC5588"/>
    <w:rsid w:val="00FD37C9"/>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61651616"/>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DA86-826A-402E-A072-3EAAFBBA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997</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6313</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sims, aisling</cp:lastModifiedBy>
  <cp:revision>4</cp:revision>
  <cp:lastPrinted>2020-03-06T14:26:00Z</cp:lastPrinted>
  <dcterms:created xsi:type="dcterms:W3CDTF">2020-03-06T14:26:00Z</dcterms:created>
  <dcterms:modified xsi:type="dcterms:W3CDTF">2020-07-01T07:41:00Z</dcterms:modified>
</cp:coreProperties>
</file>