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F266" w14:textId="77777777" w:rsidR="008C3080" w:rsidRDefault="00252196" w:rsidP="00AA150F">
      <w:pPr>
        <w:pStyle w:val="Title"/>
      </w:pPr>
      <w:r>
        <w:t>Compensation and redress policy</w:t>
      </w:r>
    </w:p>
    <w:p w14:paraId="156E318A" w14:textId="77777777" w:rsidR="00AA150F" w:rsidRDefault="00AA150F" w:rsidP="00AA150F"/>
    <w:p w14:paraId="3F6F36B3" w14:textId="2FCCEFB9" w:rsidR="00AA150F" w:rsidRDefault="00AA150F" w:rsidP="00AA150F">
      <w:pPr>
        <w:pStyle w:val="Heading1"/>
        <w:numPr>
          <w:ilvl w:val="0"/>
          <w:numId w:val="1"/>
        </w:numPr>
      </w:pPr>
      <w:r>
        <w:t>Introduction</w:t>
      </w:r>
    </w:p>
    <w:p w14:paraId="64156658" w14:textId="77777777" w:rsidR="00D40214" w:rsidRPr="00D40214" w:rsidRDefault="00D40214" w:rsidP="00D40214"/>
    <w:p w14:paraId="6F8A82E8" w14:textId="24042B84" w:rsidR="00D40214" w:rsidRDefault="00D40214" w:rsidP="00D40214">
      <w:pPr>
        <w:pStyle w:val="ListParagraph"/>
        <w:widowControl w:val="0"/>
        <w:numPr>
          <w:ilvl w:val="1"/>
          <w:numId w:val="1"/>
        </w:numPr>
        <w:autoSpaceDE w:val="0"/>
        <w:autoSpaceDN w:val="0"/>
        <w:adjustRightInd w:val="0"/>
        <w:spacing w:after="0" w:line="240" w:lineRule="auto"/>
        <w:rPr>
          <w:rFonts w:cs="Arial"/>
          <w:lang w:eastAsia="en-GB"/>
        </w:rPr>
      </w:pPr>
      <w:r w:rsidRPr="00D40214">
        <w:rPr>
          <w:rFonts w:cs="Arial"/>
          <w:bCs/>
        </w:rPr>
        <w:t>This policy</w:t>
      </w:r>
      <w:r w:rsidRPr="00D40214">
        <w:rPr>
          <w:rFonts w:cs="Arial"/>
          <w:lang w:eastAsia="en-GB"/>
        </w:rPr>
        <w:t xml:space="preserve"> sets out guidance on applying a remedy, including the payment of compensation, for any officer investigating a complaint on behalf of Medway Council Housing Services and has been drawn up in line with the Housing Ombudsman guidance.</w:t>
      </w:r>
    </w:p>
    <w:p w14:paraId="4F062FDC" w14:textId="77777777" w:rsidR="00D40214" w:rsidRDefault="00D40214" w:rsidP="00D40214">
      <w:pPr>
        <w:pStyle w:val="ListParagraph"/>
        <w:widowControl w:val="0"/>
        <w:autoSpaceDE w:val="0"/>
        <w:autoSpaceDN w:val="0"/>
        <w:adjustRightInd w:val="0"/>
        <w:spacing w:after="0" w:line="240" w:lineRule="auto"/>
        <w:rPr>
          <w:rFonts w:cs="Arial"/>
          <w:lang w:eastAsia="en-GB"/>
        </w:rPr>
      </w:pPr>
    </w:p>
    <w:p w14:paraId="21313FF9" w14:textId="77777777" w:rsidR="00D40214" w:rsidRPr="00D40214" w:rsidRDefault="00D40214" w:rsidP="00D40214">
      <w:pPr>
        <w:pStyle w:val="ListParagraph"/>
        <w:widowControl w:val="0"/>
        <w:numPr>
          <w:ilvl w:val="1"/>
          <w:numId w:val="1"/>
        </w:numPr>
        <w:autoSpaceDE w:val="0"/>
        <w:autoSpaceDN w:val="0"/>
        <w:adjustRightInd w:val="0"/>
        <w:spacing w:after="0" w:line="240" w:lineRule="auto"/>
        <w:rPr>
          <w:rFonts w:cs="Arial"/>
          <w:lang w:eastAsia="en-GB"/>
        </w:rPr>
      </w:pPr>
      <w:r w:rsidRPr="00D40214">
        <w:rPr>
          <w:rFonts w:cs="Arial"/>
          <w:bCs/>
        </w:rPr>
        <w:t xml:space="preserve">The council is committed to always providing a high quality of service to all its customers and aim to resolve any issues before the need to make a claim for compensation arises. However, we recognise there are times when our services do not meet the high </w:t>
      </w:r>
      <w:proofErr w:type="gramStart"/>
      <w:r w:rsidRPr="00D40214">
        <w:rPr>
          <w:rFonts w:cs="Arial"/>
          <w:bCs/>
        </w:rPr>
        <w:t>standards</w:t>
      </w:r>
      <w:proofErr w:type="gramEnd"/>
      <w:r w:rsidRPr="00D40214">
        <w:rPr>
          <w:rFonts w:cs="Arial"/>
          <w:bCs/>
        </w:rPr>
        <w:t xml:space="preserve"> we set ourselves and as a result customers can become inconvenienced.</w:t>
      </w:r>
      <w:r w:rsidRPr="00D40214">
        <w:rPr>
          <w:rFonts w:ascii="Calibri" w:eastAsia="Calibri" w:hAnsi="Calibri" w:cs="Arial"/>
          <w:bCs/>
        </w:rPr>
        <w:t xml:space="preserve"> The Council will consider claims outside of the scope of this policy, in conjunction with claims of negligence via the Councils Risk Management and Insurance Team. </w:t>
      </w:r>
    </w:p>
    <w:p w14:paraId="796FF218" w14:textId="77777777" w:rsidR="00D40214" w:rsidRDefault="00D40214" w:rsidP="00D40214">
      <w:pPr>
        <w:pStyle w:val="ListParagraph"/>
      </w:pPr>
    </w:p>
    <w:p w14:paraId="26145BE4" w14:textId="33460B6E" w:rsidR="00D40214" w:rsidRPr="00D40214" w:rsidRDefault="00D40214" w:rsidP="00D40214">
      <w:pPr>
        <w:pStyle w:val="ListParagraph"/>
        <w:widowControl w:val="0"/>
        <w:numPr>
          <w:ilvl w:val="1"/>
          <w:numId w:val="1"/>
        </w:numPr>
        <w:autoSpaceDE w:val="0"/>
        <w:autoSpaceDN w:val="0"/>
        <w:adjustRightInd w:val="0"/>
        <w:spacing w:after="0" w:line="240" w:lineRule="auto"/>
        <w:rPr>
          <w:rFonts w:cs="Arial"/>
          <w:lang w:eastAsia="en-GB"/>
        </w:rPr>
      </w:pPr>
      <w:r>
        <w:t>In awarding compensation, Medway Council Housing Services must consider whether any statutory payments are due, if any quantifiable losses have been incurred, the time and trouble a resident has been put to as well as any distress and inconvenience caused.</w:t>
      </w:r>
    </w:p>
    <w:p w14:paraId="28925A61" w14:textId="659A02F2" w:rsidR="00FF01C7" w:rsidRPr="00FE1F4F" w:rsidRDefault="00FF01C7" w:rsidP="00D40214">
      <w:pPr>
        <w:widowControl w:val="0"/>
        <w:autoSpaceDE w:val="0"/>
        <w:autoSpaceDN w:val="0"/>
        <w:adjustRightInd w:val="0"/>
        <w:spacing w:after="0" w:line="240" w:lineRule="auto"/>
        <w:ind w:left="720"/>
        <w:rPr>
          <w:rFonts w:cs="Arial"/>
          <w:lang w:eastAsia="en-GB"/>
        </w:rPr>
      </w:pPr>
    </w:p>
    <w:p w14:paraId="12B0E553" w14:textId="77777777" w:rsidR="00FF01C7" w:rsidRPr="00FE1F4F" w:rsidRDefault="00FF01C7" w:rsidP="00FF01C7">
      <w:pPr>
        <w:widowControl w:val="0"/>
        <w:numPr>
          <w:ilvl w:val="1"/>
          <w:numId w:val="1"/>
        </w:numPr>
        <w:autoSpaceDE w:val="0"/>
        <w:autoSpaceDN w:val="0"/>
        <w:adjustRightInd w:val="0"/>
        <w:spacing w:after="0" w:line="240" w:lineRule="auto"/>
        <w:rPr>
          <w:rFonts w:cs="Arial"/>
          <w:bCs/>
        </w:rPr>
      </w:pPr>
      <w:r w:rsidRPr="00FE1F4F">
        <w:rPr>
          <w:rFonts w:cs="Arial"/>
          <w:bCs/>
        </w:rPr>
        <w:t xml:space="preserve">This policy should be read in conjunction with the Councils </w:t>
      </w:r>
      <w:r>
        <w:rPr>
          <w:rFonts w:cs="Arial"/>
          <w:bCs/>
        </w:rPr>
        <w:t>C</w:t>
      </w:r>
      <w:r w:rsidRPr="00FE1F4F">
        <w:rPr>
          <w:rFonts w:cs="Arial"/>
          <w:bCs/>
        </w:rPr>
        <w:t>orporate Complaints procedure which may be used by customers where service failures arise.</w:t>
      </w:r>
    </w:p>
    <w:p w14:paraId="275A662A" w14:textId="77777777" w:rsidR="00AA150F" w:rsidRPr="00AA150F" w:rsidRDefault="00AA150F" w:rsidP="00FF01C7">
      <w:pPr>
        <w:ind w:left="360"/>
      </w:pPr>
    </w:p>
    <w:p w14:paraId="520E17E6" w14:textId="77777777" w:rsidR="00AA150F" w:rsidRDefault="00AA150F" w:rsidP="00AA150F">
      <w:pPr>
        <w:pStyle w:val="Heading1"/>
        <w:numPr>
          <w:ilvl w:val="0"/>
          <w:numId w:val="1"/>
        </w:numPr>
      </w:pPr>
      <w:r>
        <w:t>Purpose</w:t>
      </w:r>
    </w:p>
    <w:p w14:paraId="01B7A6B4" w14:textId="6A316126" w:rsidR="00FF01C7" w:rsidRPr="00FE1F4F" w:rsidRDefault="00FF01C7" w:rsidP="00FF01C7">
      <w:pPr>
        <w:widowControl w:val="0"/>
        <w:numPr>
          <w:ilvl w:val="1"/>
          <w:numId w:val="1"/>
        </w:numPr>
        <w:autoSpaceDE w:val="0"/>
        <w:autoSpaceDN w:val="0"/>
        <w:adjustRightInd w:val="0"/>
        <w:spacing w:after="0" w:line="240" w:lineRule="auto"/>
        <w:rPr>
          <w:rFonts w:cs="Arial"/>
          <w:bCs/>
        </w:rPr>
      </w:pPr>
      <w:r w:rsidRPr="00FE1F4F">
        <w:rPr>
          <w:rFonts w:cs="Arial"/>
          <w:bCs/>
        </w:rPr>
        <w:t xml:space="preserve">The purpose of this policy is to </w:t>
      </w:r>
      <w:r w:rsidR="006C06A8" w:rsidRPr="00FE1F4F">
        <w:rPr>
          <w:rFonts w:cs="Arial"/>
          <w:bCs/>
        </w:rPr>
        <w:t>ensure</w:t>
      </w:r>
      <w:r w:rsidR="006C06A8">
        <w:rPr>
          <w:rFonts w:cs="Arial"/>
          <w:bCs/>
        </w:rPr>
        <w:t>:</w:t>
      </w:r>
    </w:p>
    <w:p w14:paraId="7D82FA30" w14:textId="77777777" w:rsidR="00FF01C7" w:rsidRPr="00FE1F4F" w:rsidRDefault="00FF01C7" w:rsidP="00FF01C7">
      <w:pPr>
        <w:numPr>
          <w:ilvl w:val="2"/>
          <w:numId w:val="1"/>
        </w:numPr>
        <w:autoSpaceDE w:val="0"/>
        <w:autoSpaceDN w:val="0"/>
        <w:adjustRightInd w:val="0"/>
        <w:spacing w:after="0" w:line="240" w:lineRule="auto"/>
        <w:rPr>
          <w:rFonts w:cs="Arial"/>
          <w:lang w:val="en-US"/>
        </w:rPr>
      </w:pPr>
      <w:r w:rsidRPr="00FE1F4F">
        <w:rPr>
          <w:rFonts w:cs="Arial"/>
          <w:bCs/>
          <w:lang w:val="en-US"/>
        </w:rPr>
        <w:t>Practical solutions, not just compensation</w:t>
      </w:r>
      <w:r>
        <w:rPr>
          <w:rFonts w:cs="Arial"/>
          <w:bCs/>
          <w:lang w:val="en-US"/>
        </w:rPr>
        <w:t>,</w:t>
      </w:r>
      <w:r w:rsidRPr="00FE1F4F">
        <w:rPr>
          <w:rFonts w:cs="Arial"/>
          <w:bCs/>
          <w:lang w:val="en-US"/>
        </w:rPr>
        <w:t xml:space="preserve"> are explored fully to resolve a </w:t>
      </w:r>
      <w:r>
        <w:rPr>
          <w:rFonts w:cs="Arial"/>
          <w:bCs/>
          <w:lang w:val="en-US"/>
        </w:rPr>
        <w:t>situation</w:t>
      </w:r>
    </w:p>
    <w:p w14:paraId="24C5097D" w14:textId="77777777" w:rsidR="00FF01C7" w:rsidRPr="00FE1F4F" w:rsidRDefault="00FF01C7" w:rsidP="00FF01C7">
      <w:pPr>
        <w:numPr>
          <w:ilvl w:val="2"/>
          <w:numId w:val="1"/>
        </w:numPr>
        <w:autoSpaceDE w:val="0"/>
        <w:autoSpaceDN w:val="0"/>
        <w:adjustRightInd w:val="0"/>
        <w:spacing w:after="0" w:line="240" w:lineRule="auto"/>
        <w:rPr>
          <w:rFonts w:cs="Arial"/>
          <w:bCs/>
          <w:lang w:val="en-US"/>
        </w:rPr>
      </w:pPr>
      <w:r w:rsidRPr="00FE1F4F">
        <w:rPr>
          <w:rFonts w:cs="Arial"/>
          <w:bCs/>
          <w:lang w:val="en-US"/>
        </w:rPr>
        <w:t xml:space="preserve">Where financial payments are appropriate, they are proportionate to the loss or inconvenience caused </w:t>
      </w:r>
    </w:p>
    <w:p w14:paraId="3609C92B" w14:textId="77777777" w:rsidR="00FF01C7" w:rsidRPr="00FE1F4F" w:rsidRDefault="00FF01C7" w:rsidP="00FF01C7">
      <w:pPr>
        <w:numPr>
          <w:ilvl w:val="2"/>
          <w:numId w:val="1"/>
        </w:numPr>
        <w:autoSpaceDE w:val="0"/>
        <w:autoSpaceDN w:val="0"/>
        <w:adjustRightInd w:val="0"/>
        <w:spacing w:after="0" w:line="240" w:lineRule="auto"/>
        <w:rPr>
          <w:rFonts w:cs="Arial"/>
          <w:bCs/>
          <w:lang w:val="en-US"/>
        </w:rPr>
      </w:pPr>
      <w:r w:rsidRPr="00FE1F4F">
        <w:rPr>
          <w:rFonts w:cs="Arial"/>
          <w:bCs/>
          <w:lang w:val="en-US"/>
        </w:rPr>
        <w:t>All customers making a claim are treated in a fair and equ</w:t>
      </w:r>
      <w:r>
        <w:rPr>
          <w:rFonts w:cs="Arial"/>
          <w:bCs/>
          <w:lang w:val="en-US"/>
        </w:rPr>
        <w:t xml:space="preserve">al </w:t>
      </w:r>
      <w:r w:rsidRPr="00FE1F4F">
        <w:rPr>
          <w:rFonts w:cs="Arial"/>
          <w:bCs/>
          <w:lang w:val="en-US"/>
        </w:rPr>
        <w:t>way</w:t>
      </w:r>
    </w:p>
    <w:p w14:paraId="30773869" w14:textId="77777777" w:rsidR="00AA150F" w:rsidRDefault="00FF01C7" w:rsidP="00FF01C7">
      <w:pPr>
        <w:numPr>
          <w:ilvl w:val="2"/>
          <w:numId w:val="1"/>
        </w:numPr>
        <w:autoSpaceDE w:val="0"/>
        <w:autoSpaceDN w:val="0"/>
        <w:adjustRightInd w:val="0"/>
        <w:spacing w:after="0" w:line="240" w:lineRule="auto"/>
        <w:rPr>
          <w:rFonts w:cs="Arial"/>
          <w:bCs/>
          <w:lang w:val="en-US"/>
        </w:rPr>
      </w:pPr>
      <w:r w:rsidRPr="00FE1F4F">
        <w:rPr>
          <w:rFonts w:cs="Arial"/>
          <w:bCs/>
          <w:lang w:val="en-US"/>
        </w:rPr>
        <w:t>Any financial payments are considered against clear guideline</w:t>
      </w:r>
      <w:r>
        <w:rPr>
          <w:rFonts w:cs="Arial"/>
          <w:bCs/>
          <w:lang w:val="en-US"/>
        </w:rPr>
        <w:t>s</w:t>
      </w:r>
      <w:r w:rsidRPr="00FE1F4F">
        <w:rPr>
          <w:rFonts w:cs="Arial"/>
          <w:bCs/>
          <w:lang w:val="en-US"/>
        </w:rPr>
        <w:t xml:space="preserve">. </w:t>
      </w:r>
    </w:p>
    <w:p w14:paraId="68BBDA0D" w14:textId="77777777" w:rsidR="00FF01C7" w:rsidRDefault="00FF01C7" w:rsidP="00FF01C7">
      <w:pPr>
        <w:autoSpaceDE w:val="0"/>
        <w:autoSpaceDN w:val="0"/>
        <w:adjustRightInd w:val="0"/>
        <w:spacing w:after="0" w:line="240" w:lineRule="auto"/>
        <w:ind w:left="1080"/>
        <w:rPr>
          <w:rFonts w:cs="Arial"/>
          <w:bCs/>
          <w:lang w:val="en-US"/>
        </w:rPr>
      </w:pPr>
    </w:p>
    <w:p w14:paraId="09A9109F" w14:textId="59BE05D9" w:rsidR="00FF01C7" w:rsidRPr="00FF01C7" w:rsidRDefault="00FF01C7" w:rsidP="00FF01C7">
      <w:pPr>
        <w:widowControl w:val="0"/>
        <w:numPr>
          <w:ilvl w:val="1"/>
          <w:numId w:val="1"/>
        </w:numPr>
        <w:autoSpaceDE w:val="0"/>
        <w:autoSpaceDN w:val="0"/>
        <w:adjustRightInd w:val="0"/>
        <w:spacing w:after="0" w:line="240" w:lineRule="auto"/>
        <w:rPr>
          <w:rFonts w:cs="Arial"/>
          <w:bCs/>
        </w:rPr>
      </w:pPr>
      <w:r w:rsidRPr="00FE1F4F">
        <w:rPr>
          <w:rFonts w:cs="Arial"/>
          <w:bCs/>
        </w:rPr>
        <w:t xml:space="preserve">Offering compensation can help reduce dissatisfaction and resolve </w:t>
      </w:r>
      <w:r>
        <w:rPr>
          <w:rFonts w:cs="Arial"/>
          <w:bCs/>
        </w:rPr>
        <w:t>the</w:t>
      </w:r>
      <w:r w:rsidRPr="00FE1F4F">
        <w:rPr>
          <w:rFonts w:cs="Arial"/>
          <w:bCs/>
        </w:rPr>
        <w:t xml:space="preserve"> complaint</w:t>
      </w:r>
      <w:r w:rsidR="00D40214">
        <w:rPr>
          <w:rFonts w:cs="Arial"/>
          <w:bCs/>
        </w:rPr>
        <w:t>. H</w:t>
      </w:r>
      <w:r w:rsidR="00D40214" w:rsidRPr="00FE1F4F">
        <w:rPr>
          <w:rFonts w:cs="Arial"/>
          <w:bCs/>
        </w:rPr>
        <w:t xml:space="preserve">owever other outcomes must also be considered. </w:t>
      </w:r>
      <w:r w:rsidR="00D40214">
        <w:rPr>
          <w:rFonts w:cs="Arial"/>
          <w:bCs/>
        </w:rPr>
        <w:t xml:space="preserve"> </w:t>
      </w:r>
      <w:r w:rsidR="00D40214" w:rsidRPr="00FE1F4F">
        <w:rPr>
          <w:rFonts w:cs="Arial"/>
          <w:bCs/>
        </w:rPr>
        <w:t xml:space="preserve">The consideration of whether compensation is appropriate, and the decision </w:t>
      </w:r>
      <w:r w:rsidR="00D40214">
        <w:rPr>
          <w:rFonts w:cs="Arial"/>
          <w:bCs/>
        </w:rPr>
        <w:t xml:space="preserve">made </w:t>
      </w:r>
      <w:r w:rsidR="00D40214" w:rsidRPr="00FE1F4F">
        <w:rPr>
          <w:rFonts w:cs="Arial"/>
          <w:bCs/>
        </w:rPr>
        <w:t>will be recorded with each complaint</w:t>
      </w:r>
      <w:r w:rsidR="00D40214">
        <w:rPr>
          <w:rFonts w:cs="Arial"/>
          <w:bCs/>
        </w:rPr>
        <w:t xml:space="preserve"> upheld either partially or fully</w:t>
      </w:r>
      <w:r w:rsidR="00D40214" w:rsidRPr="00FE1F4F">
        <w:rPr>
          <w:rFonts w:cs="Arial"/>
          <w:bCs/>
        </w:rPr>
        <w:t>.</w:t>
      </w:r>
    </w:p>
    <w:p w14:paraId="35EF6CD1" w14:textId="77777777" w:rsidR="00AA150F" w:rsidRDefault="00AA150F" w:rsidP="00AA150F">
      <w:pPr>
        <w:pStyle w:val="Heading1"/>
        <w:numPr>
          <w:ilvl w:val="0"/>
          <w:numId w:val="1"/>
        </w:numPr>
      </w:pPr>
      <w:r>
        <w:t>Scope</w:t>
      </w:r>
    </w:p>
    <w:p w14:paraId="0D1703CF" w14:textId="46F9C496" w:rsidR="00D40214" w:rsidRDefault="00FF01C7" w:rsidP="00D40214">
      <w:pPr>
        <w:widowControl w:val="0"/>
        <w:numPr>
          <w:ilvl w:val="1"/>
          <w:numId w:val="1"/>
        </w:numPr>
        <w:autoSpaceDE w:val="0"/>
        <w:autoSpaceDN w:val="0"/>
        <w:adjustRightInd w:val="0"/>
        <w:spacing w:after="0" w:line="240" w:lineRule="auto"/>
        <w:rPr>
          <w:rFonts w:cs="Arial"/>
          <w:bCs/>
        </w:rPr>
      </w:pPr>
      <w:r w:rsidRPr="00FE1F4F">
        <w:rPr>
          <w:rFonts w:cs="Arial"/>
          <w:bCs/>
        </w:rPr>
        <w:t xml:space="preserve">This policy applies to all </w:t>
      </w:r>
      <w:r>
        <w:rPr>
          <w:rFonts w:cs="Arial"/>
          <w:bCs/>
        </w:rPr>
        <w:t>rented property owned by Medway Council Housing Services and all qualifying tenure types.</w:t>
      </w:r>
    </w:p>
    <w:p w14:paraId="76F784A8" w14:textId="77777777" w:rsidR="00D40214" w:rsidRDefault="00D40214" w:rsidP="00D40214">
      <w:pPr>
        <w:widowControl w:val="0"/>
        <w:autoSpaceDE w:val="0"/>
        <w:autoSpaceDN w:val="0"/>
        <w:adjustRightInd w:val="0"/>
        <w:spacing w:after="0" w:line="240" w:lineRule="auto"/>
        <w:ind w:left="720"/>
        <w:rPr>
          <w:rFonts w:cs="Arial"/>
          <w:bCs/>
        </w:rPr>
      </w:pPr>
    </w:p>
    <w:p w14:paraId="21107A29" w14:textId="05A7AFFC" w:rsidR="00D40214" w:rsidRPr="00D40214" w:rsidRDefault="00D40214" w:rsidP="00D40214">
      <w:pPr>
        <w:widowControl w:val="0"/>
        <w:numPr>
          <w:ilvl w:val="1"/>
          <w:numId w:val="1"/>
        </w:numPr>
        <w:autoSpaceDE w:val="0"/>
        <w:autoSpaceDN w:val="0"/>
        <w:adjustRightInd w:val="0"/>
        <w:spacing w:after="0" w:line="240" w:lineRule="auto"/>
        <w:rPr>
          <w:rFonts w:cs="Arial"/>
          <w:bCs/>
        </w:rPr>
      </w:pPr>
      <w:r w:rsidRPr="00D40214">
        <w:rPr>
          <w:rFonts w:cs="Arial"/>
          <w:bCs/>
        </w:rPr>
        <w:t>In general, we will deduct any arrears or money owed to Medway Housing Services from the compensation prior to it being paid to the resident.</w:t>
      </w:r>
    </w:p>
    <w:p w14:paraId="71929415" w14:textId="77777777" w:rsidR="00D40214" w:rsidRDefault="00D40214" w:rsidP="00D40214">
      <w:pPr>
        <w:widowControl w:val="0"/>
        <w:autoSpaceDE w:val="0"/>
        <w:autoSpaceDN w:val="0"/>
        <w:adjustRightInd w:val="0"/>
        <w:spacing w:after="0" w:line="240" w:lineRule="auto"/>
        <w:rPr>
          <w:rFonts w:cs="Arial"/>
          <w:bCs/>
        </w:rPr>
      </w:pPr>
    </w:p>
    <w:p w14:paraId="680E5FD5" w14:textId="77777777" w:rsidR="00D40214" w:rsidRDefault="00D40214" w:rsidP="00D40214">
      <w:pPr>
        <w:widowControl w:val="0"/>
        <w:numPr>
          <w:ilvl w:val="1"/>
          <w:numId w:val="1"/>
        </w:numPr>
        <w:autoSpaceDE w:val="0"/>
        <w:autoSpaceDN w:val="0"/>
        <w:adjustRightInd w:val="0"/>
        <w:spacing w:after="0" w:line="240" w:lineRule="auto"/>
        <w:rPr>
          <w:rFonts w:cs="Arial"/>
          <w:bCs/>
        </w:rPr>
      </w:pPr>
      <w:r>
        <w:rPr>
          <w:rFonts w:cs="Arial"/>
          <w:bCs/>
        </w:rPr>
        <w:t>The Compensation Table on page XX can be used for other areas of Housing Service operations as guidance where compensation may be applicable.</w:t>
      </w:r>
    </w:p>
    <w:p w14:paraId="0A7F6465" w14:textId="77777777" w:rsidR="00D40214" w:rsidRDefault="00D40214" w:rsidP="00D40214">
      <w:pPr>
        <w:pStyle w:val="ListParagraph"/>
        <w:rPr>
          <w:rFonts w:cs="Arial"/>
          <w:bCs/>
        </w:rPr>
      </w:pPr>
    </w:p>
    <w:p w14:paraId="0EE43625" w14:textId="0883AFAA" w:rsidR="00D40214" w:rsidRPr="00D40214" w:rsidRDefault="00D40214" w:rsidP="00D40214">
      <w:pPr>
        <w:widowControl w:val="0"/>
        <w:numPr>
          <w:ilvl w:val="1"/>
          <w:numId w:val="1"/>
        </w:numPr>
        <w:autoSpaceDE w:val="0"/>
        <w:autoSpaceDN w:val="0"/>
        <w:adjustRightInd w:val="0"/>
        <w:spacing w:after="0" w:line="240" w:lineRule="auto"/>
        <w:rPr>
          <w:rFonts w:cs="Arial"/>
          <w:bCs/>
        </w:rPr>
      </w:pPr>
      <w:r w:rsidRPr="00D40214">
        <w:rPr>
          <w:rFonts w:cs="Arial"/>
          <w:bCs/>
        </w:rPr>
        <w:lastRenderedPageBreak/>
        <w:t xml:space="preserve">This guidance can be used as a guide for other Medway Council Housing Service Departments where complaints have been partially or fully upheld. </w:t>
      </w:r>
    </w:p>
    <w:p w14:paraId="38E23548" w14:textId="77777777" w:rsidR="00AA150F" w:rsidRDefault="00AA150F" w:rsidP="00AA150F">
      <w:pPr>
        <w:pStyle w:val="Heading1"/>
        <w:numPr>
          <w:ilvl w:val="0"/>
          <w:numId w:val="1"/>
        </w:numPr>
      </w:pPr>
      <w:r>
        <w:t>Legislation and Guidance</w:t>
      </w:r>
    </w:p>
    <w:p w14:paraId="5922D230" w14:textId="77777777" w:rsidR="00FF01C7" w:rsidRPr="00E05483" w:rsidRDefault="00FF01C7" w:rsidP="00FF01C7">
      <w:pPr>
        <w:numPr>
          <w:ilvl w:val="1"/>
          <w:numId w:val="1"/>
        </w:numPr>
        <w:autoSpaceDE w:val="0"/>
        <w:autoSpaceDN w:val="0"/>
        <w:adjustRightInd w:val="0"/>
        <w:spacing w:after="0" w:line="240" w:lineRule="auto"/>
        <w:rPr>
          <w:rFonts w:cs="Arial"/>
          <w:bCs/>
          <w:lang w:val="en-US"/>
        </w:rPr>
      </w:pPr>
      <w:r w:rsidRPr="00E05483">
        <w:rPr>
          <w:rFonts w:cs="Arial"/>
          <w:bCs/>
        </w:rPr>
        <w:t xml:space="preserve">External </w:t>
      </w:r>
    </w:p>
    <w:p w14:paraId="27E65CC5" w14:textId="77777777" w:rsidR="00FF01C7" w:rsidRPr="00522956"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Local Government Act 1999</w:t>
      </w:r>
    </w:p>
    <w:p w14:paraId="4B81C988" w14:textId="77777777" w:rsidR="00FF01C7" w:rsidRPr="00522956"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The right to repair compensation</w:t>
      </w:r>
    </w:p>
    <w:p w14:paraId="4D1D49B0" w14:textId="77777777" w:rsidR="00FF01C7" w:rsidRPr="00522956"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Local Government and Housing Act 1989</w:t>
      </w:r>
    </w:p>
    <w:p w14:paraId="77A0B243" w14:textId="77777777" w:rsidR="00FF01C7" w:rsidRPr="00522956"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The Secure Tenants of Local Authorities (Compensation for Improvements) Regulations 1994</w:t>
      </w:r>
    </w:p>
    <w:p w14:paraId="6AE39F8F" w14:textId="77777777" w:rsidR="00FF01C7"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Housing Act 1996</w:t>
      </w:r>
    </w:p>
    <w:p w14:paraId="396D2E74" w14:textId="77777777" w:rsidR="00FF01C7" w:rsidRPr="00522956" w:rsidRDefault="00FF01C7" w:rsidP="00FF01C7">
      <w:pPr>
        <w:numPr>
          <w:ilvl w:val="2"/>
          <w:numId w:val="1"/>
        </w:numPr>
        <w:autoSpaceDE w:val="0"/>
        <w:autoSpaceDN w:val="0"/>
        <w:adjustRightInd w:val="0"/>
        <w:spacing w:after="0" w:line="240" w:lineRule="auto"/>
        <w:rPr>
          <w:rFonts w:cs="Arial"/>
          <w:bCs/>
          <w:lang w:val="en-US"/>
        </w:rPr>
      </w:pPr>
      <w:r>
        <w:rPr>
          <w:rFonts w:cs="Arial"/>
          <w:bCs/>
          <w:lang w:val="en-US"/>
        </w:rPr>
        <w:t>Housing and Urban Development Act 1993</w:t>
      </w:r>
    </w:p>
    <w:p w14:paraId="2C9BFB92" w14:textId="77777777" w:rsidR="00FF01C7"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 xml:space="preserve">Data Protection Act </w:t>
      </w:r>
      <w:r>
        <w:rPr>
          <w:rFonts w:cs="Arial"/>
          <w:bCs/>
          <w:lang w:val="en-US"/>
        </w:rPr>
        <w:t>2018</w:t>
      </w:r>
    </w:p>
    <w:p w14:paraId="770EEB4C" w14:textId="77777777" w:rsidR="00FF01C7" w:rsidRPr="00522956" w:rsidRDefault="00FF01C7" w:rsidP="00FF01C7">
      <w:pPr>
        <w:numPr>
          <w:ilvl w:val="2"/>
          <w:numId w:val="1"/>
        </w:numPr>
        <w:autoSpaceDE w:val="0"/>
        <w:autoSpaceDN w:val="0"/>
        <w:adjustRightInd w:val="0"/>
        <w:spacing w:after="0" w:line="240" w:lineRule="auto"/>
        <w:rPr>
          <w:rFonts w:cs="Arial"/>
          <w:bCs/>
          <w:lang w:val="en-US"/>
        </w:rPr>
      </w:pPr>
      <w:r>
        <w:rPr>
          <w:rFonts w:cs="Arial"/>
          <w:bCs/>
          <w:lang w:val="en-US"/>
        </w:rPr>
        <w:t>GDPR 2018</w:t>
      </w:r>
    </w:p>
    <w:p w14:paraId="1265CBF5" w14:textId="77777777" w:rsidR="00FF01C7" w:rsidRPr="00522956"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Localism Act 2011</w:t>
      </w:r>
    </w:p>
    <w:p w14:paraId="664E2788" w14:textId="7F8AC0E5" w:rsidR="00FF01C7" w:rsidRPr="00522956" w:rsidRDefault="00FF01C7" w:rsidP="00FF01C7">
      <w:pPr>
        <w:numPr>
          <w:ilvl w:val="2"/>
          <w:numId w:val="1"/>
        </w:numPr>
        <w:autoSpaceDE w:val="0"/>
        <w:autoSpaceDN w:val="0"/>
        <w:adjustRightInd w:val="0"/>
        <w:spacing w:after="0" w:line="240" w:lineRule="auto"/>
        <w:rPr>
          <w:rFonts w:cs="Arial"/>
          <w:bCs/>
          <w:lang w:val="en-US"/>
        </w:rPr>
      </w:pPr>
      <w:r w:rsidRPr="00522956">
        <w:rPr>
          <w:rFonts w:cs="Arial"/>
          <w:bCs/>
          <w:lang w:val="en-US"/>
        </w:rPr>
        <w:t xml:space="preserve">Home, </w:t>
      </w:r>
      <w:r w:rsidR="006C06A8" w:rsidRPr="00522956">
        <w:rPr>
          <w:rFonts w:cs="Arial"/>
          <w:bCs/>
          <w:lang w:val="en-US"/>
        </w:rPr>
        <w:t>disturbance,</w:t>
      </w:r>
      <w:r w:rsidRPr="00522956">
        <w:rPr>
          <w:rFonts w:cs="Arial"/>
          <w:bCs/>
          <w:lang w:val="en-US"/>
        </w:rPr>
        <w:t xml:space="preserve"> and Loss of Amenity</w:t>
      </w:r>
    </w:p>
    <w:p w14:paraId="5F4F68B7" w14:textId="59ABC2B2" w:rsidR="00FF01C7" w:rsidRPr="00B65468" w:rsidRDefault="00FF01C7" w:rsidP="00FF01C7">
      <w:pPr>
        <w:numPr>
          <w:ilvl w:val="2"/>
          <w:numId w:val="1"/>
        </w:numPr>
        <w:autoSpaceDE w:val="0"/>
        <w:autoSpaceDN w:val="0"/>
        <w:adjustRightInd w:val="0"/>
        <w:spacing w:after="0" w:line="240" w:lineRule="auto"/>
        <w:rPr>
          <w:rFonts w:cs="Arial"/>
          <w:bCs/>
          <w:lang w:val="en-US"/>
        </w:rPr>
      </w:pPr>
      <w:r w:rsidRPr="00522956">
        <w:rPr>
          <w:rFonts w:cs="Arial"/>
        </w:rPr>
        <w:t>Land Compensation Act 1991</w:t>
      </w:r>
    </w:p>
    <w:p w14:paraId="1C1DB4BA" w14:textId="4437A8C2" w:rsidR="00B65468" w:rsidRDefault="00B65468" w:rsidP="00B65468">
      <w:pPr>
        <w:pStyle w:val="ListParagraph"/>
        <w:numPr>
          <w:ilvl w:val="2"/>
          <w:numId w:val="1"/>
        </w:numPr>
        <w:rPr>
          <w:rFonts w:cs="Arial"/>
          <w:bCs/>
          <w:lang w:val="en-US"/>
        </w:rPr>
      </w:pPr>
      <w:r w:rsidRPr="00B65468">
        <w:rPr>
          <w:rFonts w:cs="Arial"/>
          <w:bCs/>
          <w:lang w:val="en-US"/>
        </w:rPr>
        <w:t>Social Housing White Paper</w:t>
      </w:r>
    </w:p>
    <w:p w14:paraId="6D79A004" w14:textId="77777777" w:rsidR="00B65468" w:rsidRPr="00B65468" w:rsidRDefault="00B65468" w:rsidP="00B65468">
      <w:pPr>
        <w:pStyle w:val="ListParagraph"/>
        <w:numPr>
          <w:ilvl w:val="2"/>
          <w:numId w:val="1"/>
        </w:numPr>
        <w:rPr>
          <w:rFonts w:cs="Arial"/>
          <w:bCs/>
          <w:lang w:val="en-US"/>
        </w:rPr>
      </w:pPr>
      <w:r w:rsidRPr="00B65468">
        <w:rPr>
          <w:rFonts w:cs="Arial"/>
          <w:bCs/>
          <w:lang w:val="en-US"/>
        </w:rPr>
        <w:t xml:space="preserve">Housing Ombudsman Complaints Handlers Code </w:t>
      </w:r>
    </w:p>
    <w:p w14:paraId="602C613D" w14:textId="77777777" w:rsidR="00B65468" w:rsidRPr="00B65468" w:rsidRDefault="00B65468" w:rsidP="00B65468">
      <w:pPr>
        <w:pStyle w:val="ListParagraph"/>
        <w:numPr>
          <w:ilvl w:val="2"/>
          <w:numId w:val="1"/>
        </w:numPr>
        <w:rPr>
          <w:rFonts w:cs="Arial"/>
          <w:bCs/>
          <w:lang w:val="en-US"/>
        </w:rPr>
      </w:pPr>
      <w:r w:rsidRPr="00B65468">
        <w:rPr>
          <w:rFonts w:cs="Arial"/>
          <w:bCs/>
          <w:lang w:val="en-US"/>
        </w:rPr>
        <w:t>Housing Ombudsman Guidance on Calculating Financial Redress</w:t>
      </w:r>
    </w:p>
    <w:p w14:paraId="2D590A18" w14:textId="56CD4CE8" w:rsidR="00B65468" w:rsidRPr="00B65468" w:rsidRDefault="00B65468" w:rsidP="00B65468">
      <w:pPr>
        <w:pStyle w:val="ListParagraph"/>
        <w:numPr>
          <w:ilvl w:val="2"/>
          <w:numId w:val="1"/>
        </w:numPr>
        <w:rPr>
          <w:rFonts w:cs="Arial"/>
          <w:bCs/>
          <w:lang w:val="en-US"/>
        </w:rPr>
      </w:pPr>
      <w:r w:rsidRPr="00B65468">
        <w:rPr>
          <w:rFonts w:cs="Arial"/>
          <w:bCs/>
          <w:lang w:val="en-US"/>
        </w:rPr>
        <w:t>Right to Repair</w:t>
      </w:r>
    </w:p>
    <w:p w14:paraId="04712C4B" w14:textId="77777777" w:rsidR="00FF01C7" w:rsidRPr="00E05483" w:rsidRDefault="00FF01C7" w:rsidP="00FF01C7">
      <w:pPr>
        <w:widowControl w:val="0"/>
        <w:numPr>
          <w:ilvl w:val="1"/>
          <w:numId w:val="1"/>
        </w:numPr>
        <w:autoSpaceDE w:val="0"/>
        <w:autoSpaceDN w:val="0"/>
        <w:adjustRightInd w:val="0"/>
        <w:spacing w:after="0" w:line="240" w:lineRule="auto"/>
        <w:rPr>
          <w:rFonts w:cs="Arial"/>
          <w:bCs/>
        </w:rPr>
      </w:pPr>
      <w:r w:rsidRPr="00E05483">
        <w:rPr>
          <w:rFonts w:cs="Arial"/>
          <w:bCs/>
        </w:rPr>
        <w:t>Internal</w:t>
      </w:r>
    </w:p>
    <w:p w14:paraId="04BCFDBC" w14:textId="77777777" w:rsidR="00FF01C7" w:rsidRPr="00522956" w:rsidRDefault="00FF01C7" w:rsidP="00FF01C7">
      <w:pPr>
        <w:widowControl w:val="0"/>
        <w:numPr>
          <w:ilvl w:val="2"/>
          <w:numId w:val="1"/>
        </w:numPr>
        <w:autoSpaceDE w:val="0"/>
        <w:autoSpaceDN w:val="0"/>
        <w:adjustRightInd w:val="0"/>
        <w:spacing w:after="0" w:line="240" w:lineRule="auto"/>
        <w:rPr>
          <w:rFonts w:cs="Arial"/>
        </w:rPr>
      </w:pPr>
      <w:r w:rsidRPr="00522956">
        <w:rPr>
          <w:rFonts w:cs="Arial"/>
        </w:rPr>
        <w:t>Corporate Complaints Procedure</w:t>
      </w:r>
    </w:p>
    <w:p w14:paraId="615EC985" w14:textId="77777777" w:rsidR="00FF01C7" w:rsidRPr="00522956" w:rsidRDefault="00FF01C7" w:rsidP="00FF01C7">
      <w:pPr>
        <w:numPr>
          <w:ilvl w:val="2"/>
          <w:numId w:val="1"/>
        </w:numPr>
        <w:tabs>
          <w:tab w:val="num" w:pos="900"/>
        </w:tabs>
        <w:autoSpaceDE w:val="0"/>
        <w:autoSpaceDN w:val="0"/>
        <w:adjustRightInd w:val="0"/>
        <w:spacing w:after="0" w:line="240" w:lineRule="auto"/>
        <w:jc w:val="both"/>
        <w:rPr>
          <w:rFonts w:cs="Arial"/>
        </w:rPr>
      </w:pPr>
      <w:r w:rsidRPr="00522956">
        <w:rPr>
          <w:rFonts w:cs="Arial"/>
        </w:rPr>
        <w:t xml:space="preserve">Medway Council Tenancy Agreement(s) </w:t>
      </w:r>
    </w:p>
    <w:p w14:paraId="0C65E450" w14:textId="77777777" w:rsidR="00AA150F" w:rsidRDefault="00AA150F" w:rsidP="00AA150F">
      <w:pPr>
        <w:pStyle w:val="Heading1"/>
        <w:numPr>
          <w:ilvl w:val="0"/>
          <w:numId w:val="1"/>
        </w:numPr>
      </w:pPr>
      <w:r>
        <w:t>Policy</w:t>
      </w:r>
    </w:p>
    <w:p w14:paraId="3BF4813E" w14:textId="77777777" w:rsidR="00FF01C7" w:rsidRPr="00FE1F4F" w:rsidRDefault="00FF01C7" w:rsidP="00FF01C7">
      <w:pPr>
        <w:widowControl w:val="0"/>
        <w:numPr>
          <w:ilvl w:val="1"/>
          <w:numId w:val="1"/>
        </w:numPr>
        <w:autoSpaceDE w:val="0"/>
        <w:autoSpaceDN w:val="0"/>
        <w:adjustRightInd w:val="0"/>
        <w:spacing w:after="0" w:line="240" w:lineRule="auto"/>
        <w:rPr>
          <w:rFonts w:cs="Arial"/>
          <w:bCs/>
        </w:rPr>
      </w:pPr>
      <w:r w:rsidRPr="00FE1F4F">
        <w:rPr>
          <w:rFonts w:cs="Arial"/>
          <w:bCs/>
        </w:rPr>
        <w:t>Before financial awards are approved</w:t>
      </w:r>
      <w:r>
        <w:rPr>
          <w:rFonts w:cs="Arial"/>
          <w:bCs/>
        </w:rPr>
        <w:t xml:space="preserve">, </w:t>
      </w:r>
      <w:r w:rsidRPr="00FE1F4F">
        <w:rPr>
          <w:rFonts w:cs="Arial"/>
          <w:bCs/>
        </w:rPr>
        <w:t xml:space="preserve">consideration will be given to a range of remedies that may be appropriate. </w:t>
      </w:r>
      <w:r>
        <w:rPr>
          <w:rFonts w:cs="Arial"/>
          <w:bCs/>
        </w:rPr>
        <w:t xml:space="preserve">It is good practice to </w:t>
      </w:r>
      <w:r w:rsidRPr="00FE1F4F">
        <w:rPr>
          <w:rFonts w:cs="Arial"/>
          <w:bCs/>
        </w:rPr>
        <w:t>consult with the complainant to find out how they woul</w:t>
      </w:r>
      <w:r>
        <w:rPr>
          <w:rFonts w:cs="Arial"/>
          <w:bCs/>
        </w:rPr>
        <w:t xml:space="preserve">d like things </w:t>
      </w:r>
      <w:proofErr w:type="gramStart"/>
      <w:r>
        <w:rPr>
          <w:rFonts w:cs="Arial"/>
          <w:bCs/>
        </w:rPr>
        <w:t>put</w:t>
      </w:r>
      <w:proofErr w:type="gramEnd"/>
      <w:r>
        <w:rPr>
          <w:rFonts w:cs="Arial"/>
          <w:bCs/>
        </w:rPr>
        <w:t xml:space="preserve"> right</w:t>
      </w:r>
      <w:r w:rsidRPr="00FE1F4F">
        <w:rPr>
          <w:rFonts w:cs="Arial"/>
          <w:bCs/>
        </w:rPr>
        <w:t xml:space="preserve">. The following list is not exhaustive, but ‘putting things right’ could include: </w:t>
      </w:r>
    </w:p>
    <w:p w14:paraId="2E0EF97F"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sidRPr="00FE1F4F">
        <w:rPr>
          <w:rFonts w:cs="Arial"/>
          <w:bCs/>
        </w:rPr>
        <w:t xml:space="preserve">An apology </w:t>
      </w:r>
    </w:p>
    <w:p w14:paraId="0F864C0A"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sidRPr="00FE1F4F">
        <w:rPr>
          <w:rFonts w:cs="Arial"/>
          <w:bCs/>
        </w:rPr>
        <w:t xml:space="preserve">An explanation giving a full answer to all points raised in the complaint </w:t>
      </w:r>
    </w:p>
    <w:p w14:paraId="2E1FD960"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sidRPr="00FE1F4F">
        <w:rPr>
          <w:rFonts w:cs="Arial"/>
          <w:bCs/>
        </w:rPr>
        <w:t xml:space="preserve">An assurance that every effort will be made to ensure the same thing does not happen again. This must be matched by action and monitoring of the complaint </w:t>
      </w:r>
    </w:p>
    <w:p w14:paraId="16E30521"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sidRPr="00FE1F4F">
        <w:rPr>
          <w:rFonts w:cs="Arial"/>
          <w:bCs/>
        </w:rPr>
        <w:t>Action taken to put things right – demonstrable action to show that complaint has been taken seriously</w:t>
      </w:r>
    </w:p>
    <w:p w14:paraId="1E4880E2"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Pr>
          <w:rFonts w:cs="Arial"/>
          <w:bCs/>
        </w:rPr>
        <w:t xml:space="preserve">Where appropriate, a </w:t>
      </w:r>
      <w:r w:rsidRPr="00FE1F4F">
        <w:rPr>
          <w:rFonts w:cs="Arial"/>
          <w:bCs/>
        </w:rPr>
        <w:t xml:space="preserve">review of policies and procedures </w:t>
      </w:r>
    </w:p>
    <w:p w14:paraId="5E8512ED"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sidRPr="00FE1F4F">
        <w:rPr>
          <w:rFonts w:cs="Arial"/>
          <w:bCs/>
        </w:rPr>
        <w:t xml:space="preserve">Staff guidance or training </w:t>
      </w:r>
    </w:p>
    <w:p w14:paraId="3233EA1C"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sidRPr="00FE1F4F">
        <w:rPr>
          <w:rFonts w:cs="Arial"/>
          <w:bCs/>
        </w:rPr>
        <w:t xml:space="preserve">Appropriate disciplinary action </w:t>
      </w:r>
    </w:p>
    <w:p w14:paraId="0CA9101D" w14:textId="77777777" w:rsidR="00FF01C7" w:rsidRPr="00FE1F4F" w:rsidRDefault="00FF01C7" w:rsidP="00FF01C7">
      <w:pPr>
        <w:widowControl w:val="0"/>
        <w:numPr>
          <w:ilvl w:val="2"/>
          <w:numId w:val="1"/>
        </w:numPr>
        <w:autoSpaceDE w:val="0"/>
        <w:autoSpaceDN w:val="0"/>
        <w:adjustRightInd w:val="0"/>
        <w:spacing w:after="0" w:line="240" w:lineRule="auto"/>
        <w:rPr>
          <w:rFonts w:cs="Arial"/>
          <w:bCs/>
        </w:rPr>
      </w:pPr>
      <w:r w:rsidRPr="00FE1F4F">
        <w:rPr>
          <w:rFonts w:cs="Arial"/>
          <w:bCs/>
        </w:rPr>
        <w:t xml:space="preserve">Financial compensation </w:t>
      </w:r>
    </w:p>
    <w:p w14:paraId="353E9F56" w14:textId="77777777" w:rsidR="00FF01C7" w:rsidRPr="00FE1F4F" w:rsidRDefault="00FF01C7" w:rsidP="00FF01C7">
      <w:pPr>
        <w:rPr>
          <w:rFonts w:cs="Arial"/>
          <w:b/>
        </w:rPr>
      </w:pPr>
    </w:p>
    <w:p w14:paraId="3E73827B" w14:textId="7FE3B01A" w:rsidR="00FF01C7" w:rsidRPr="00FE1F4F" w:rsidRDefault="00B65468" w:rsidP="00161708">
      <w:pPr>
        <w:pStyle w:val="Heading2"/>
      </w:pPr>
      <w:r>
        <w:t>Discretion</w:t>
      </w:r>
    </w:p>
    <w:p w14:paraId="70617329" w14:textId="3CE20B20" w:rsidR="00FF01C7" w:rsidRPr="00FE1F4F" w:rsidRDefault="00B65468" w:rsidP="00FF01C7">
      <w:pPr>
        <w:widowControl w:val="0"/>
        <w:numPr>
          <w:ilvl w:val="1"/>
          <w:numId w:val="1"/>
        </w:numPr>
        <w:autoSpaceDE w:val="0"/>
        <w:autoSpaceDN w:val="0"/>
        <w:adjustRightInd w:val="0"/>
        <w:spacing w:after="0" w:line="240" w:lineRule="auto"/>
        <w:rPr>
          <w:rFonts w:cs="Arial"/>
          <w:bCs/>
        </w:rPr>
      </w:pPr>
      <w:r w:rsidRPr="00B65468">
        <w:rPr>
          <w:rFonts w:cs="Arial"/>
          <w:bCs/>
        </w:rPr>
        <w:t>We recognise that each complaint needs to be considered on its individual merits, and that discretion and common sense need to be applied whilst using this policy.  We may deal with a compensation request differently where individual circumstances apply.  Any discretion will be applied fairly and appropriately, and all complaints will be progressed as far as possible to maximise the opportunity to resolve a complaint.</w:t>
      </w:r>
    </w:p>
    <w:p w14:paraId="658BDADD" w14:textId="77777777" w:rsidR="00FF01C7" w:rsidRPr="00FE1F4F" w:rsidRDefault="00FF01C7" w:rsidP="00FF01C7">
      <w:pPr>
        <w:ind w:left="1146"/>
        <w:rPr>
          <w:rFonts w:cs="Arial"/>
        </w:rPr>
      </w:pPr>
    </w:p>
    <w:p w14:paraId="41582A93" w14:textId="6E366FB1" w:rsidR="00FF01C7" w:rsidRPr="000047A0" w:rsidRDefault="00B65468" w:rsidP="00FF01C7">
      <w:pPr>
        <w:pStyle w:val="Heading3"/>
      </w:pPr>
      <w:r>
        <w:lastRenderedPageBreak/>
        <w:t>Exclusions</w:t>
      </w:r>
    </w:p>
    <w:p w14:paraId="56348094" w14:textId="77777777" w:rsidR="00B65468" w:rsidRDefault="00B65468" w:rsidP="00B65468">
      <w:pPr>
        <w:widowControl w:val="0"/>
        <w:numPr>
          <w:ilvl w:val="1"/>
          <w:numId w:val="1"/>
        </w:numPr>
        <w:autoSpaceDE w:val="0"/>
        <w:autoSpaceDN w:val="0"/>
        <w:adjustRightInd w:val="0"/>
        <w:spacing w:after="0" w:line="240" w:lineRule="auto"/>
        <w:rPr>
          <w:rFonts w:cs="Arial"/>
          <w:bCs/>
        </w:rPr>
      </w:pPr>
      <w:r w:rsidRPr="00B65468">
        <w:rPr>
          <w:rFonts w:cs="Arial"/>
          <w:bCs/>
        </w:rPr>
        <w:t>This policy does not apply to:</w:t>
      </w:r>
    </w:p>
    <w:p w14:paraId="17431DA1" w14:textId="34AC6F3F" w:rsidR="00B65468" w:rsidRPr="00B65468" w:rsidRDefault="00B65468" w:rsidP="00B65468">
      <w:pPr>
        <w:widowControl w:val="0"/>
        <w:numPr>
          <w:ilvl w:val="2"/>
          <w:numId w:val="1"/>
        </w:numPr>
        <w:autoSpaceDE w:val="0"/>
        <w:autoSpaceDN w:val="0"/>
        <w:adjustRightInd w:val="0"/>
        <w:spacing w:after="0" w:line="240" w:lineRule="auto"/>
        <w:rPr>
          <w:rFonts w:cs="Arial"/>
          <w:bCs/>
        </w:rPr>
      </w:pPr>
      <w:r w:rsidRPr="00B65468">
        <w:rPr>
          <w:rFonts w:cs="Arial"/>
          <w:bCs/>
        </w:rPr>
        <w:t>Issues that are, or have been, subject to legal proceedings</w:t>
      </w:r>
    </w:p>
    <w:p w14:paraId="06086290" w14:textId="680F0AF0" w:rsidR="00B65468" w:rsidRDefault="00B65468" w:rsidP="00B65468">
      <w:pPr>
        <w:pStyle w:val="ListParagraph"/>
        <w:numPr>
          <w:ilvl w:val="2"/>
          <w:numId w:val="1"/>
        </w:numPr>
        <w:rPr>
          <w:rFonts w:cs="Arial"/>
          <w:bCs/>
        </w:rPr>
      </w:pPr>
      <w:r w:rsidRPr="00B65468">
        <w:rPr>
          <w:rFonts w:cs="Arial"/>
          <w:bCs/>
        </w:rPr>
        <w:t>Liability issues that are subject to an insurance claim</w:t>
      </w:r>
    </w:p>
    <w:p w14:paraId="0850287F" w14:textId="77777777" w:rsidR="00B65468" w:rsidRPr="00B65468" w:rsidRDefault="00B65468" w:rsidP="00B65468">
      <w:pPr>
        <w:pStyle w:val="ListParagraph"/>
        <w:numPr>
          <w:ilvl w:val="2"/>
          <w:numId w:val="1"/>
        </w:numPr>
        <w:rPr>
          <w:rFonts w:cs="Arial"/>
          <w:bCs/>
        </w:rPr>
      </w:pPr>
      <w:r w:rsidRPr="00B65468">
        <w:rPr>
          <w:rFonts w:cs="Arial"/>
          <w:bCs/>
        </w:rPr>
        <w:t>Any claim that should be covered by a home contents insurance policy, including damage through flood or fire to your belongings such as floor coverings</w:t>
      </w:r>
    </w:p>
    <w:p w14:paraId="5EFBBAD1" w14:textId="77777777" w:rsidR="00B65468" w:rsidRPr="00B65468" w:rsidRDefault="00B65468" w:rsidP="00B65468">
      <w:pPr>
        <w:pStyle w:val="ListParagraph"/>
        <w:numPr>
          <w:ilvl w:val="2"/>
          <w:numId w:val="1"/>
        </w:numPr>
        <w:rPr>
          <w:rFonts w:cs="Arial"/>
          <w:bCs/>
        </w:rPr>
      </w:pPr>
      <w:r w:rsidRPr="00B65468">
        <w:rPr>
          <w:rFonts w:cs="Arial"/>
          <w:bCs/>
        </w:rPr>
        <w:t>Claims for personal injury</w:t>
      </w:r>
    </w:p>
    <w:p w14:paraId="360B43EB" w14:textId="77777777" w:rsidR="00B65468" w:rsidRPr="00B65468" w:rsidRDefault="00B65468" w:rsidP="00B65468">
      <w:pPr>
        <w:pStyle w:val="ListParagraph"/>
        <w:numPr>
          <w:ilvl w:val="2"/>
          <w:numId w:val="1"/>
        </w:numPr>
        <w:rPr>
          <w:rFonts w:cs="Arial"/>
          <w:bCs/>
        </w:rPr>
      </w:pPr>
      <w:r w:rsidRPr="00B65468">
        <w:rPr>
          <w:rFonts w:cs="Arial"/>
          <w:bCs/>
        </w:rPr>
        <w:t>Claims for loss of income</w:t>
      </w:r>
    </w:p>
    <w:p w14:paraId="377F8021" w14:textId="77777777" w:rsidR="00B65468" w:rsidRDefault="00B65468" w:rsidP="00B65468">
      <w:pPr>
        <w:pStyle w:val="ListParagraph"/>
        <w:numPr>
          <w:ilvl w:val="2"/>
          <w:numId w:val="1"/>
        </w:numPr>
        <w:rPr>
          <w:rFonts w:cs="Arial"/>
          <w:bCs/>
        </w:rPr>
      </w:pPr>
      <w:r w:rsidRPr="00B65468">
        <w:rPr>
          <w:rFonts w:cs="Arial"/>
          <w:bCs/>
        </w:rPr>
        <w:t>Complaints and compensation requests raised after 12 months from the incident/issue arising</w:t>
      </w:r>
    </w:p>
    <w:p w14:paraId="32739F19" w14:textId="32426092" w:rsidR="00B65468" w:rsidRPr="00B65468" w:rsidRDefault="00B65468" w:rsidP="00B65468">
      <w:pPr>
        <w:pStyle w:val="ListParagraph"/>
        <w:numPr>
          <w:ilvl w:val="2"/>
          <w:numId w:val="1"/>
        </w:numPr>
        <w:rPr>
          <w:rFonts w:cs="Arial"/>
          <w:bCs/>
        </w:rPr>
      </w:pPr>
      <w:r w:rsidRPr="00B65468">
        <w:rPr>
          <w:rFonts w:cs="Arial"/>
          <w:bCs/>
        </w:rPr>
        <w:t>Complaints and compensation requests that have already been considered</w:t>
      </w:r>
    </w:p>
    <w:p w14:paraId="49F8EF84" w14:textId="4324DC92" w:rsidR="00FF01C7" w:rsidRPr="000047A0" w:rsidRDefault="00C84355" w:rsidP="00FF01C7">
      <w:pPr>
        <w:pStyle w:val="Heading3"/>
      </w:pPr>
      <w:r>
        <w:t>Compensation categories</w:t>
      </w:r>
    </w:p>
    <w:p w14:paraId="25E41428" w14:textId="2D7F8CF1" w:rsidR="00C84355" w:rsidRDefault="00C84355" w:rsidP="00C84355">
      <w:pPr>
        <w:pStyle w:val="ListParagraph"/>
        <w:numPr>
          <w:ilvl w:val="1"/>
          <w:numId w:val="1"/>
        </w:numPr>
        <w:rPr>
          <w:rFonts w:cs="Arial"/>
          <w:bCs/>
        </w:rPr>
      </w:pPr>
      <w:r w:rsidRPr="00C84355">
        <w:rPr>
          <w:rFonts w:cs="Arial"/>
          <w:b/>
        </w:rPr>
        <w:t>Mandatory</w:t>
      </w:r>
      <w:r w:rsidRPr="00C84355">
        <w:rPr>
          <w:rFonts w:cs="Arial"/>
          <w:bCs/>
        </w:rPr>
        <w:t>:  This applies to disturbance or home loss, where payments will be made to compensate where you lose the right to rent your home, or to compensate reasonable expenses incurred in being re-housed, either on a temporary or permanent basis</w:t>
      </w:r>
      <w:r w:rsidR="00475938">
        <w:rPr>
          <w:rFonts w:cs="Arial"/>
          <w:bCs/>
        </w:rPr>
        <w:t>.</w:t>
      </w:r>
    </w:p>
    <w:p w14:paraId="114ECBE6" w14:textId="77777777" w:rsidR="00475938" w:rsidRDefault="00475938" w:rsidP="00475938">
      <w:pPr>
        <w:pStyle w:val="ListParagraph"/>
        <w:rPr>
          <w:rFonts w:cs="Arial"/>
          <w:bCs/>
        </w:rPr>
      </w:pPr>
    </w:p>
    <w:p w14:paraId="0ACDD51E" w14:textId="77777777" w:rsidR="00475938" w:rsidRDefault="00C84355" w:rsidP="00475938">
      <w:pPr>
        <w:pStyle w:val="ListParagraph"/>
        <w:numPr>
          <w:ilvl w:val="1"/>
          <w:numId w:val="1"/>
        </w:numPr>
        <w:rPr>
          <w:rFonts w:cs="Arial"/>
          <w:bCs/>
        </w:rPr>
      </w:pPr>
      <w:r w:rsidRPr="00C84355">
        <w:rPr>
          <w:rFonts w:cs="Arial"/>
          <w:b/>
        </w:rPr>
        <w:t>Quantifiable loss:</w:t>
      </w:r>
      <w:r w:rsidRPr="00C84355">
        <w:rPr>
          <w:rFonts w:cs="Arial"/>
          <w:bCs/>
        </w:rPr>
        <w:t xml:space="preserve">  Where you can demonstrate actual loss as a result of our actions or omissions, or those of a third party working on our </w:t>
      </w:r>
      <w:proofErr w:type="gramStart"/>
      <w:r w:rsidRPr="00C84355">
        <w:rPr>
          <w:rFonts w:cs="Arial"/>
          <w:bCs/>
        </w:rPr>
        <w:t>behalf</w:t>
      </w:r>
      <w:proofErr w:type="gramEnd"/>
    </w:p>
    <w:p w14:paraId="15758C09" w14:textId="77777777" w:rsidR="00475938" w:rsidRPr="00475938" w:rsidRDefault="00475938" w:rsidP="00475938">
      <w:pPr>
        <w:pStyle w:val="ListParagraph"/>
        <w:rPr>
          <w:rFonts w:cs="Arial"/>
          <w:b/>
        </w:rPr>
      </w:pPr>
    </w:p>
    <w:p w14:paraId="31EB6A9C" w14:textId="19EF4243" w:rsidR="00475938" w:rsidRPr="00475938" w:rsidRDefault="00475938" w:rsidP="00475938">
      <w:pPr>
        <w:pStyle w:val="ListParagraph"/>
        <w:numPr>
          <w:ilvl w:val="1"/>
          <w:numId w:val="1"/>
        </w:numPr>
        <w:rPr>
          <w:rFonts w:cs="Arial"/>
          <w:bCs/>
        </w:rPr>
      </w:pPr>
      <w:r w:rsidRPr="00475938">
        <w:rPr>
          <w:rFonts w:cs="Arial"/>
          <w:b/>
        </w:rPr>
        <w:t>Discretionary:</w:t>
      </w:r>
      <w:r w:rsidRPr="00475938">
        <w:rPr>
          <w:rFonts w:cs="Arial"/>
          <w:bCs/>
        </w:rPr>
        <w:t xml:space="preserve">  Goodwill gestures and payments may be made when there has been a failure of service which has caused delay, distress, or inconvenience.</w:t>
      </w:r>
    </w:p>
    <w:p w14:paraId="6D10340B" w14:textId="5BA61EB2" w:rsidR="00475938" w:rsidRPr="00475938" w:rsidRDefault="00475938" w:rsidP="00EA04C7">
      <w:pPr>
        <w:pStyle w:val="Heading3"/>
      </w:pPr>
      <w:r>
        <w:t>Examples of when we may choose not to offer compensation include</w:t>
      </w:r>
    </w:p>
    <w:p w14:paraId="5E472047" w14:textId="77777777" w:rsidR="00475938" w:rsidRDefault="00475938" w:rsidP="00475938">
      <w:pPr>
        <w:pStyle w:val="ListParagraph"/>
        <w:numPr>
          <w:ilvl w:val="1"/>
          <w:numId w:val="1"/>
        </w:numPr>
        <w:rPr>
          <w:rFonts w:cs="Arial"/>
          <w:bCs/>
        </w:rPr>
      </w:pPr>
      <w:r w:rsidRPr="00475938">
        <w:rPr>
          <w:rFonts w:cs="Arial"/>
          <w:bCs/>
        </w:rPr>
        <w:t>failure by the complainant to communicate clearly with us</w:t>
      </w:r>
    </w:p>
    <w:p w14:paraId="6B404662" w14:textId="6453ABCA" w:rsidR="00FF01C7" w:rsidRDefault="00475938" w:rsidP="00475938">
      <w:pPr>
        <w:pStyle w:val="ListParagraph"/>
        <w:numPr>
          <w:ilvl w:val="1"/>
          <w:numId w:val="1"/>
        </w:numPr>
        <w:rPr>
          <w:rFonts w:cs="Arial"/>
          <w:bCs/>
        </w:rPr>
      </w:pPr>
      <w:r w:rsidRPr="00475938">
        <w:rPr>
          <w:rFonts w:cs="Arial"/>
          <w:bCs/>
        </w:rPr>
        <w:t>failure to bring individual matters to our attention within reasonable timeframe</w:t>
      </w:r>
    </w:p>
    <w:p w14:paraId="3612888D" w14:textId="000D5B0C" w:rsidR="00EA04C7" w:rsidRDefault="00475938" w:rsidP="00EA04C7">
      <w:pPr>
        <w:pStyle w:val="ListParagraph"/>
        <w:numPr>
          <w:ilvl w:val="1"/>
          <w:numId w:val="1"/>
        </w:numPr>
        <w:rPr>
          <w:rFonts w:cs="Arial"/>
          <w:bCs/>
        </w:rPr>
      </w:pPr>
      <w:r w:rsidRPr="00475938">
        <w:rPr>
          <w:rFonts w:cs="Arial"/>
          <w:bCs/>
        </w:rPr>
        <w:t xml:space="preserve">refusing help to make coherent complaint </w:t>
      </w:r>
      <w:bookmarkStart w:id="0" w:name="_Hlk112084308"/>
    </w:p>
    <w:p w14:paraId="1B6A9C53" w14:textId="0AA2F31B" w:rsidR="00EA04C7" w:rsidRPr="00EA04C7" w:rsidRDefault="00EA04C7" w:rsidP="00EA04C7">
      <w:pPr>
        <w:pStyle w:val="ListParagraph"/>
        <w:numPr>
          <w:ilvl w:val="1"/>
          <w:numId w:val="1"/>
        </w:numPr>
        <w:spacing w:after="120"/>
        <w:rPr>
          <w:rFonts w:cs="Arial"/>
          <w:bCs/>
        </w:rPr>
      </w:pPr>
      <w:r w:rsidRPr="00EA04C7">
        <w:rPr>
          <w:rFonts w:cs="Arial"/>
          <w:bCs/>
        </w:rPr>
        <w:t xml:space="preserve">failing to respond to contact from us </w:t>
      </w:r>
    </w:p>
    <w:p w14:paraId="7C61AE4D" w14:textId="1A8D340D" w:rsidR="00EA04C7" w:rsidRPr="00EA04C7" w:rsidRDefault="00EA04C7" w:rsidP="00EA04C7">
      <w:pPr>
        <w:pStyle w:val="ListParagraph"/>
        <w:numPr>
          <w:ilvl w:val="1"/>
          <w:numId w:val="1"/>
        </w:numPr>
        <w:spacing w:after="120"/>
        <w:rPr>
          <w:rFonts w:cs="Arial"/>
          <w:bCs/>
        </w:rPr>
      </w:pPr>
      <w:r w:rsidRPr="00EA04C7">
        <w:rPr>
          <w:rFonts w:cs="Arial"/>
          <w:bCs/>
        </w:rPr>
        <w:t xml:space="preserve">the dispute is about repairs, but a complainant has repeatedly refused to allow us or our contractor(s) access to inspect the property and assess the extent of works needed </w:t>
      </w:r>
    </w:p>
    <w:p w14:paraId="48532A7C" w14:textId="77777777" w:rsidR="00EA04C7" w:rsidRPr="00EA04C7" w:rsidRDefault="00EA04C7" w:rsidP="00EA04C7">
      <w:pPr>
        <w:pStyle w:val="ListParagraph"/>
        <w:numPr>
          <w:ilvl w:val="1"/>
          <w:numId w:val="1"/>
        </w:numPr>
        <w:spacing w:after="120"/>
        <w:rPr>
          <w:rFonts w:cs="Arial"/>
          <w:bCs/>
        </w:rPr>
      </w:pPr>
      <w:r w:rsidRPr="00EA04C7">
        <w:rPr>
          <w:rFonts w:cs="Arial"/>
          <w:bCs/>
        </w:rPr>
        <w:t>where a complainant’s behaviour in pursuing their complaint becomes unreasonable, such as pursuing the matter in an unreasonable or excessive way.</w:t>
      </w:r>
    </w:p>
    <w:p w14:paraId="649EB81C" w14:textId="77777777" w:rsidR="00EA04C7" w:rsidRPr="00EA04C7" w:rsidRDefault="00EA04C7" w:rsidP="00EA04C7">
      <w:pPr>
        <w:pStyle w:val="ListParagraph"/>
        <w:numPr>
          <w:ilvl w:val="1"/>
          <w:numId w:val="1"/>
        </w:numPr>
        <w:spacing w:after="120"/>
        <w:rPr>
          <w:rFonts w:cs="Arial"/>
          <w:bCs/>
        </w:rPr>
      </w:pPr>
      <w:r w:rsidRPr="00EA04C7">
        <w:rPr>
          <w:rFonts w:cs="Arial"/>
          <w:bCs/>
        </w:rPr>
        <w:t>where the loss or damage was caused by the complainant, another household member or visitor to the property</w:t>
      </w:r>
    </w:p>
    <w:p w14:paraId="4DDD550B" w14:textId="77777777" w:rsidR="00EA04C7" w:rsidRPr="00EA04C7" w:rsidRDefault="00EA04C7" w:rsidP="00EA04C7">
      <w:pPr>
        <w:pStyle w:val="ListParagraph"/>
        <w:numPr>
          <w:ilvl w:val="1"/>
          <w:numId w:val="1"/>
        </w:numPr>
        <w:spacing w:after="120"/>
        <w:rPr>
          <w:rFonts w:cs="Arial"/>
          <w:bCs/>
        </w:rPr>
      </w:pPr>
      <w:r w:rsidRPr="00EA04C7">
        <w:rPr>
          <w:rFonts w:cs="Arial"/>
          <w:bCs/>
        </w:rPr>
        <w:t>where the fault was unforeseeable and/or caused by a 3rd party or Medway Council Housing had no control over it, such as water leaking from a neighbouring property (unless we had already been alerted to this and had not resolved it promptly)</w:t>
      </w:r>
    </w:p>
    <w:p w14:paraId="4456B950" w14:textId="77777777" w:rsidR="00EA04C7" w:rsidRPr="00EA04C7" w:rsidRDefault="00EA04C7" w:rsidP="00EA04C7">
      <w:pPr>
        <w:pStyle w:val="ListParagraph"/>
        <w:numPr>
          <w:ilvl w:val="1"/>
          <w:numId w:val="1"/>
        </w:numPr>
        <w:spacing w:after="120"/>
        <w:rPr>
          <w:rFonts w:cs="Arial"/>
          <w:bCs/>
        </w:rPr>
      </w:pPr>
      <w:r w:rsidRPr="00EA04C7">
        <w:rPr>
          <w:rFonts w:cs="Arial"/>
          <w:bCs/>
        </w:rPr>
        <w:t>personal possessions are lost, stolen or damaged through no fault of Medway Council Housing or its contractors</w:t>
      </w:r>
    </w:p>
    <w:p w14:paraId="4C376028" w14:textId="77777777" w:rsidR="00EA04C7" w:rsidRPr="00EA04C7" w:rsidRDefault="00EA04C7" w:rsidP="00EA04C7">
      <w:pPr>
        <w:pStyle w:val="ListParagraph"/>
        <w:numPr>
          <w:ilvl w:val="1"/>
          <w:numId w:val="1"/>
        </w:numPr>
        <w:spacing w:after="120"/>
        <w:rPr>
          <w:rFonts w:cs="Arial"/>
          <w:bCs/>
        </w:rPr>
      </w:pPr>
      <w:r w:rsidRPr="00EA04C7">
        <w:rPr>
          <w:rFonts w:cs="Arial"/>
          <w:bCs/>
        </w:rPr>
        <w:t>service failure or damage that is the result of extreme or unforeseen conditions, such as the weather</w:t>
      </w:r>
    </w:p>
    <w:p w14:paraId="34C69B58" w14:textId="77777777" w:rsidR="00EA04C7" w:rsidRPr="00EA04C7" w:rsidRDefault="00EA04C7" w:rsidP="00EA04C7">
      <w:pPr>
        <w:pStyle w:val="ListParagraph"/>
        <w:numPr>
          <w:ilvl w:val="1"/>
          <w:numId w:val="1"/>
        </w:numPr>
        <w:spacing w:after="120"/>
        <w:rPr>
          <w:rFonts w:cs="Arial"/>
          <w:bCs/>
        </w:rPr>
      </w:pPr>
      <w:r w:rsidRPr="00EA04C7">
        <w:rPr>
          <w:rFonts w:cs="Arial"/>
          <w:bCs/>
        </w:rPr>
        <w:t>loss of supply of gas, electricity or water that is outside of Medway Council Housing control, such as a failure by the utility provider</w:t>
      </w:r>
    </w:p>
    <w:p w14:paraId="555A5B59" w14:textId="5AF3E10D" w:rsidR="00EA04C7" w:rsidRDefault="00EA04C7" w:rsidP="00EA04C7">
      <w:pPr>
        <w:pStyle w:val="ListParagraph"/>
        <w:spacing w:after="120"/>
        <w:rPr>
          <w:rFonts w:cs="Arial"/>
          <w:bCs/>
        </w:rPr>
      </w:pPr>
    </w:p>
    <w:p w14:paraId="590D9241" w14:textId="78B09BFB" w:rsidR="00EA04C7" w:rsidRDefault="00EA04C7" w:rsidP="00EA04C7">
      <w:pPr>
        <w:pStyle w:val="ListParagraph"/>
        <w:rPr>
          <w:rFonts w:cs="Arial"/>
          <w:bCs/>
        </w:rPr>
      </w:pPr>
    </w:p>
    <w:p w14:paraId="2A5CDA41" w14:textId="472DC302" w:rsidR="00EA04C7" w:rsidRDefault="00EA04C7" w:rsidP="00EA04C7">
      <w:pPr>
        <w:pStyle w:val="ListParagraph"/>
        <w:rPr>
          <w:rFonts w:cs="Arial"/>
          <w:bCs/>
        </w:rPr>
      </w:pPr>
    </w:p>
    <w:p w14:paraId="419F03EF" w14:textId="0C66CA5C" w:rsidR="00EA04C7" w:rsidRDefault="00EA04C7" w:rsidP="00EA04C7">
      <w:pPr>
        <w:pStyle w:val="ListParagraph"/>
        <w:rPr>
          <w:rFonts w:cs="Arial"/>
          <w:bCs/>
        </w:rPr>
      </w:pPr>
    </w:p>
    <w:p w14:paraId="5E6DD96D" w14:textId="373B18AB" w:rsidR="00EA04C7" w:rsidRDefault="00EA04C7" w:rsidP="00EA04C7">
      <w:pPr>
        <w:pStyle w:val="ListParagraph"/>
        <w:rPr>
          <w:rFonts w:cs="Arial"/>
          <w:bCs/>
        </w:rPr>
      </w:pPr>
    </w:p>
    <w:p w14:paraId="712E2B70" w14:textId="77777777" w:rsidR="00EA04C7" w:rsidRDefault="00EA04C7" w:rsidP="00EA04C7">
      <w:pPr>
        <w:pStyle w:val="ListParagraph"/>
        <w:rPr>
          <w:rFonts w:cs="Arial"/>
          <w:bCs/>
        </w:rPr>
      </w:pPr>
    </w:p>
    <w:bookmarkEnd w:id="0"/>
    <w:p w14:paraId="550AF9BC" w14:textId="77777777" w:rsidR="00FF01C7" w:rsidRPr="007D7C8A" w:rsidRDefault="00FF01C7" w:rsidP="00FF01C7">
      <w:pPr>
        <w:widowControl w:val="0"/>
        <w:autoSpaceDE w:val="0"/>
        <w:autoSpaceDN w:val="0"/>
        <w:adjustRightInd w:val="0"/>
        <w:rPr>
          <w:rFonts w:cs="Arial"/>
          <w:bCs/>
        </w:rPr>
      </w:pPr>
    </w:p>
    <w:p w14:paraId="211B76DE" w14:textId="6509B8FC" w:rsidR="00FF01C7" w:rsidRDefault="007A14A1" w:rsidP="00FF01C7">
      <w:pPr>
        <w:pStyle w:val="Heading3"/>
      </w:pPr>
      <w:r>
        <w:t>Compensation amounts</w:t>
      </w:r>
    </w:p>
    <w:p w14:paraId="35ABE6C2" w14:textId="77777777" w:rsidR="00FF01C7" w:rsidRDefault="00FF01C7" w:rsidP="00FF01C7">
      <w:pPr>
        <w:pStyle w:val="ListParagraph"/>
        <w:rPr>
          <w:rFonts w:cs="Arial"/>
          <w:b/>
          <w:bCs/>
        </w:rPr>
      </w:pPr>
    </w:p>
    <w:p w14:paraId="1EC07E97" w14:textId="7CDBA130" w:rsidR="00FF01C7" w:rsidRPr="00BE43F8" w:rsidRDefault="007A14A1" w:rsidP="00FF01C7">
      <w:pPr>
        <w:widowControl w:val="0"/>
        <w:numPr>
          <w:ilvl w:val="1"/>
          <w:numId w:val="1"/>
        </w:numPr>
        <w:autoSpaceDE w:val="0"/>
        <w:autoSpaceDN w:val="0"/>
        <w:adjustRightInd w:val="0"/>
        <w:spacing w:after="0" w:line="240" w:lineRule="auto"/>
        <w:rPr>
          <w:rFonts w:cs="Arial"/>
          <w:bCs/>
        </w:rPr>
      </w:pPr>
      <w:r w:rsidRPr="007A14A1">
        <w:rPr>
          <w:rFonts w:cs="Arial"/>
          <w:bCs/>
        </w:rPr>
        <w:t>Notwithstanding any statutory legislation which governs the amount of compensation the Council should pay. Below are the guidelines on the amount of compensation and circumstances where it will be paid:</w:t>
      </w:r>
    </w:p>
    <w:p w14:paraId="02367389" w14:textId="77777777" w:rsidR="00FF01C7" w:rsidRDefault="00FF01C7" w:rsidP="00FF01C7">
      <w:pPr>
        <w:widowControl w:val="0"/>
        <w:autoSpaceDE w:val="0"/>
        <w:autoSpaceDN w:val="0"/>
        <w:adjustRightInd w:val="0"/>
        <w:rPr>
          <w:rFonts w:cs="Arial"/>
          <w:b/>
          <w:bCs/>
        </w:rPr>
      </w:pPr>
    </w:p>
    <w:p w14:paraId="7DFAFCD9" w14:textId="729506AB" w:rsidR="00FF01C7" w:rsidRPr="005D5AE8" w:rsidRDefault="00FF01C7" w:rsidP="00FF01C7">
      <w:pPr>
        <w:pStyle w:val="Heading3"/>
      </w:pPr>
      <w:r>
        <w:t xml:space="preserve"> </w:t>
      </w:r>
      <w:r w:rsidR="007A14A1">
        <w:t>Mandatory – Right to Repair</w:t>
      </w:r>
    </w:p>
    <w:p w14:paraId="27CE718D" w14:textId="65D969B1" w:rsidR="007A14A1" w:rsidRDefault="00FF01C7" w:rsidP="007A14A1">
      <w:pPr>
        <w:widowControl w:val="0"/>
        <w:numPr>
          <w:ilvl w:val="1"/>
          <w:numId w:val="1"/>
        </w:numPr>
        <w:autoSpaceDE w:val="0"/>
        <w:autoSpaceDN w:val="0"/>
        <w:adjustRightInd w:val="0"/>
        <w:spacing w:after="0" w:line="240" w:lineRule="auto"/>
        <w:rPr>
          <w:rFonts w:cs="Arial"/>
          <w:bCs/>
        </w:rPr>
      </w:pPr>
      <w:r>
        <w:rPr>
          <w:rFonts w:cs="Arial"/>
          <w:bCs/>
        </w:rPr>
        <w:t xml:space="preserve"> </w:t>
      </w:r>
      <w:r w:rsidR="007A14A1" w:rsidRPr="007A14A1">
        <w:rPr>
          <w:rFonts w:cs="Arial"/>
          <w:bCs/>
        </w:rPr>
        <w:t>The Council will honour the Right to Repair provisions of section 121 of the Leasehold Reform and the Housing and Urban Development Act 1993</w:t>
      </w:r>
      <w:r w:rsidR="007A14A1">
        <w:rPr>
          <w:rFonts w:cs="Arial"/>
          <w:bCs/>
        </w:rPr>
        <w:t>.</w:t>
      </w:r>
    </w:p>
    <w:p w14:paraId="60B88CA2" w14:textId="77777777" w:rsidR="007A14A1" w:rsidRDefault="007A14A1" w:rsidP="007A14A1">
      <w:pPr>
        <w:widowControl w:val="0"/>
        <w:autoSpaceDE w:val="0"/>
        <w:autoSpaceDN w:val="0"/>
        <w:adjustRightInd w:val="0"/>
        <w:spacing w:after="0" w:line="240" w:lineRule="auto"/>
        <w:ind w:left="720"/>
        <w:rPr>
          <w:rFonts w:cs="Arial"/>
          <w:bCs/>
        </w:rPr>
      </w:pPr>
    </w:p>
    <w:p w14:paraId="4371289E" w14:textId="22F7FAD2" w:rsidR="007A14A1" w:rsidRDefault="007A14A1" w:rsidP="007A14A1">
      <w:pPr>
        <w:widowControl w:val="0"/>
        <w:numPr>
          <w:ilvl w:val="1"/>
          <w:numId w:val="1"/>
        </w:numPr>
        <w:autoSpaceDE w:val="0"/>
        <w:autoSpaceDN w:val="0"/>
        <w:adjustRightInd w:val="0"/>
        <w:spacing w:after="0" w:line="240" w:lineRule="auto"/>
        <w:rPr>
          <w:rFonts w:cs="Arial"/>
          <w:bCs/>
        </w:rPr>
      </w:pPr>
      <w:r w:rsidRPr="007A14A1">
        <w:rPr>
          <w:rFonts w:cs="Arial"/>
          <w:bCs/>
        </w:rPr>
        <w:t>The Council is required to comply with the right to repair scheme, which gives residents the right to be compensated if certain small, urgent, or emergency repairs likely to affect their health, safety, and security costing less than £250 are not carried out within specific time limits. These are defined as ‘qualifying repairs’ under regulations issued under the above acts. Details of the right to repair will be published in the tenants’ handbook.</w:t>
      </w:r>
    </w:p>
    <w:p w14:paraId="18474995" w14:textId="77777777" w:rsidR="007A14A1" w:rsidRDefault="007A14A1" w:rsidP="007A14A1">
      <w:pPr>
        <w:pStyle w:val="ListParagraph"/>
        <w:rPr>
          <w:rFonts w:cs="Arial"/>
          <w:bCs/>
        </w:rPr>
      </w:pPr>
    </w:p>
    <w:p w14:paraId="1E5E0735" w14:textId="2ED3E089" w:rsidR="007A14A1" w:rsidRPr="007A14A1" w:rsidRDefault="007A14A1" w:rsidP="007A14A1">
      <w:pPr>
        <w:widowControl w:val="0"/>
        <w:numPr>
          <w:ilvl w:val="1"/>
          <w:numId w:val="1"/>
        </w:numPr>
        <w:autoSpaceDE w:val="0"/>
        <w:autoSpaceDN w:val="0"/>
        <w:adjustRightInd w:val="0"/>
        <w:spacing w:after="0" w:line="240" w:lineRule="auto"/>
        <w:rPr>
          <w:rFonts w:cs="Arial"/>
          <w:bCs/>
        </w:rPr>
      </w:pPr>
      <w:r w:rsidRPr="007A14A1">
        <w:rPr>
          <w:rFonts w:cs="Arial"/>
          <w:bCs/>
        </w:rPr>
        <w:t>Where the Council fails to carry out any qualifying repairs within the prescribed timescales and reasonable access has been provided, compensation will be paid at a rate of £10 for the first day, and £2 for every subsequent day the repairs are not carried out up to a maximum of £50. Payment will not be made if the resident has failed to allow contractor access, or the repair is not completed because of matters outside of the Councils control i.e., extreme weather conditions.  Appendix A – provide details of qualifying repairs.</w:t>
      </w:r>
    </w:p>
    <w:p w14:paraId="170350E4" w14:textId="77777777" w:rsidR="00FF01C7" w:rsidRDefault="00FF01C7" w:rsidP="00FF01C7">
      <w:pPr>
        <w:pStyle w:val="ListParagraph"/>
        <w:rPr>
          <w:rFonts w:cs="Arial"/>
          <w:b/>
          <w:bCs/>
        </w:rPr>
      </w:pPr>
    </w:p>
    <w:p w14:paraId="7542FA84" w14:textId="27BB9285" w:rsidR="00FF01C7" w:rsidRPr="005D5AE8" w:rsidRDefault="00FF01C7" w:rsidP="00FF01C7">
      <w:pPr>
        <w:pStyle w:val="Heading3"/>
      </w:pPr>
      <w:r>
        <w:t xml:space="preserve"> </w:t>
      </w:r>
      <w:r w:rsidR="007A14A1">
        <w:t>Quantifiable Loss</w:t>
      </w:r>
    </w:p>
    <w:p w14:paraId="259182EE" w14:textId="352A9E4A" w:rsidR="00FF01C7" w:rsidRPr="000477C2" w:rsidRDefault="00FF01C7" w:rsidP="00FF01C7">
      <w:pPr>
        <w:widowControl w:val="0"/>
        <w:numPr>
          <w:ilvl w:val="1"/>
          <w:numId w:val="1"/>
        </w:numPr>
        <w:autoSpaceDE w:val="0"/>
        <w:autoSpaceDN w:val="0"/>
        <w:adjustRightInd w:val="0"/>
        <w:spacing w:after="0" w:line="240" w:lineRule="auto"/>
        <w:rPr>
          <w:rFonts w:cs="Arial"/>
          <w:bCs/>
        </w:rPr>
      </w:pPr>
      <w:r>
        <w:rPr>
          <w:rFonts w:cs="Arial"/>
          <w:bCs/>
        </w:rPr>
        <w:t xml:space="preserve"> </w:t>
      </w:r>
      <w:r w:rsidR="006265F4" w:rsidRPr="006265F4">
        <w:rPr>
          <w:rFonts w:cs="Arial"/>
          <w:bCs/>
        </w:rPr>
        <w:t>If a complaint investigation finds that a resident is out of pocket as a direct result of Medway Council Housings actions or omissions, then we will consider compensation to offset the losses.  This could include (but is not limited to):</w:t>
      </w:r>
    </w:p>
    <w:p w14:paraId="6E2EF9F2" w14:textId="77777777" w:rsidR="006265F4" w:rsidRPr="006265F4" w:rsidRDefault="006265F4" w:rsidP="006265F4">
      <w:pPr>
        <w:pStyle w:val="ListParagraph"/>
        <w:numPr>
          <w:ilvl w:val="2"/>
          <w:numId w:val="1"/>
        </w:numPr>
        <w:rPr>
          <w:rFonts w:cs="Arial"/>
          <w:bCs/>
        </w:rPr>
      </w:pPr>
      <w:r w:rsidRPr="006265F4">
        <w:rPr>
          <w:rFonts w:cs="Arial"/>
          <w:bCs/>
        </w:rPr>
        <w:t>Increased heating bills due to disrepair</w:t>
      </w:r>
    </w:p>
    <w:p w14:paraId="6A650F62" w14:textId="77777777" w:rsidR="006265F4" w:rsidRPr="006265F4" w:rsidRDefault="006265F4" w:rsidP="006265F4">
      <w:pPr>
        <w:pStyle w:val="ListParagraph"/>
        <w:numPr>
          <w:ilvl w:val="2"/>
          <w:numId w:val="1"/>
        </w:numPr>
        <w:rPr>
          <w:rFonts w:cs="Arial"/>
          <w:bCs/>
        </w:rPr>
      </w:pPr>
      <w:r w:rsidRPr="006265F4">
        <w:rPr>
          <w:rFonts w:cs="Arial"/>
          <w:bCs/>
        </w:rPr>
        <w:t>Having to pay for alternative accommodation or takeaway food</w:t>
      </w:r>
    </w:p>
    <w:p w14:paraId="264ABA2C" w14:textId="77777777" w:rsidR="006265F4" w:rsidRPr="006265F4" w:rsidRDefault="006265F4" w:rsidP="006265F4">
      <w:pPr>
        <w:pStyle w:val="ListParagraph"/>
        <w:numPr>
          <w:ilvl w:val="2"/>
          <w:numId w:val="1"/>
        </w:numPr>
        <w:rPr>
          <w:rFonts w:cs="Arial"/>
          <w:bCs/>
        </w:rPr>
      </w:pPr>
      <w:r w:rsidRPr="006265F4">
        <w:rPr>
          <w:rFonts w:cs="Arial"/>
          <w:bCs/>
        </w:rPr>
        <w:t>Paying for cleaning</w:t>
      </w:r>
    </w:p>
    <w:p w14:paraId="34777EC2" w14:textId="77777777" w:rsidR="006265F4" w:rsidRPr="006265F4" w:rsidRDefault="006265F4" w:rsidP="006265F4">
      <w:pPr>
        <w:pStyle w:val="ListParagraph"/>
        <w:numPr>
          <w:ilvl w:val="2"/>
          <w:numId w:val="1"/>
        </w:numPr>
        <w:rPr>
          <w:rFonts w:cs="Arial"/>
          <w:bCs/>
        </w:rPr>
      </w:pPr>
      <w:r w:rsidRPr="006265F4">
        <w:rPr>
          <w:rFonts w:cs="Arial"/>
          <w:bCs/>
        </w:rPr>
        <w:t>Carrying out your own repairs where it is proven that we have failed to carry out our obligations</w:t>
      </w:r>
    </w:p>
    <w:p w14:paraId="0D633D74" w14:textId="121BC8F5" w:rsidR="006265F4" w:rsidRDefault="006265F4" w:rsidP="006265F4">
      <w:pPr>
        <w:pStyle w:val="ListParagraph"/>
        <w:numPr>
          <w:ilvl w:val="2"/>
          <w:numId w:val="1"/>
        </w:numPr>
        <w:rPr>
          <w:rFonts w:cs="Arial"/>
          <w:bCs/>
        </w:rPr>
      </w:pPr>
      <w:r w:rsidRPr="006265F4">
        <w:rPr>
          <w:rFonts w:cs="Arial"/>
          <w:bCs/>
        </w:rPr>
        <w:t>Replacement of lost or damaged possessions</w:t>
      </w:r>
    </w:p>
    <w:p w14:paraId="4EF90FDB" w14:textId="77777777" w:rsidR="006265F4" w:rsidRDefault="006265F4" w:rsidP="006265F4">
      <w:pPr>
        <w:pStyle w:val="ListParagraph"/>
        <w:ind w:left="1080"/>
        <w:rPr>
          <w:rFonts w:cs="Arial"/>
          <w:bCs/>
        </w:rPr>
      </w:pPr>
    </w:p>
    <w:p w14:paraId="0F5384D6" w14:textId="11CEDE96" w:rsidR="006265F4" w:rsidRPr="006265F4" w:rsidRDefault="006265F4" w:rsidP="006265F4">
      <w:pPr>
        <w:pStyle w:val="ListParagraph"/>
        <w:numPr>
          <w:ilvl w:val="1"/>
          <w:numId w:val="1"/>
        </w:numPr>
        <w:rPr>
          <w:rFonts w:cs="Arial"/>
          <w:bCs/>
        </w:rPr>
      </w:pPr>
      <w:r w:rsidRPr="006265F4">
        <w:rPr>
          <w:rFonts w:cs="Arial"/>
          <w:bCs/>
        </w:rPr>
        <w:t>We will not cover costs if the resident has:</w:t>
      </w:r>
    </w:p>
    <w:p w14:paraId="5A58AA5E" w14:textId="666ACC11" w:rsidR="00FF01C7" w:rsidRDefault="00FF01C7" w:rsidP="006265F4">
      <w:pPr>
        <w:widowControl w:val="0"/>
        <w:autoSpaceDE w:val="0"/>
        <w:autoSpaceDN w:val="0"/>
        <w:adjustRightInd w:val="0"/>
        <w:spacing w:after="0" w:line="240" w:lineRule="auto"/>
        <w:ind w:left="1080"/>
        <w:rPr>
          <w:rFonts w:cs="Arial"/>
          <w:bCs/>
        </w:rPr>
      </w:pPr>
    </w:p>
    <w:p w14:paraId="4F4D4C3E" w14:textId="77777777" w:rsidR="006265F4" w:rsidRPr="006265F4" w:rsidRDefault="006265F4" w:rsidP="006265F4">
      <w:pPr>
        <w:pStyle w:val="ListParagraph"/>
        <w:numPr>
          <w:ilvl w:val="2"/>
          <w:numId w:val="1"/>
        </w:numPr>
        <w:rPr>
          <w:rFonts w:cs="Arial"/>
          <w:bCs/>
        </w:rPr>
      </w:pPr>
      <w:r w:rsidRPr="006265F4">
        <w:rPr>
          <w:rFonts w:cs="Arial"/>
          <w:bCs/>
        </w:rPr>
        <w:t>Not notified us of the issue</w:t>
      </w:r>
    </w:p>
    <w:p w14:paraId="363E72A3" w14:textId="77777777" w:rsidR="006265F4" w:rsidRPr="006265F4" w:rsidRDefault="006265F4" w:rsidP="006265F4">
      <w:pPr>
        <w:pStyle w:val="ListParagraph"/>
        <w:numPr>
          <w:ilvl w:val="2"/>
          <w:numId w:val="1"/>
        </w:numPr>
        <w:rPr>
          <w:rFonts w:cs="Arial"/>
          <w:bCs/>
        </w:rPr>
      </w:pPr>
      <w:r w:rsidRPr="006265F4">
        <w:rPr>
          <w:rFonts w:cs="Arial"/>
          <w:bCs/>
        </w:rPr>
        <w:t>Not given us reasonable time to rectify the issue</w:t>
      </w:r>
    </w:p>
    <w:p w14:paraId="54C6E491" w14:textId="77777777" w:rsidR="006265F4" w:rsidRPr="006265F4" w:rsidRDefault="006265F4" w:rsidP="006265F4">
      <w:pPr>
        <w:pStyle w:val="ListParagraph"/>
        <w:numPr>
          <w:ilvl w:val="2"/>
          <w:numId w:val="1"/>
        </w:numPr>
        <w:rPr>
          <w:rFonts w:cs="Arial"/>
          <w:bCs/>
        </w:rPr>
      </w:pPr>
      <w:r w:rsidRPr="006265F4">
        <w:rPr>
          <w:rFonts w:cs="Arial"/>
          <w:bCs/>
        </w:rPr>
        <w:t>Refused us access to the property</w:t>
      </w:r>
    </w:p>
    <w:p w14:paraId="626B8265" w14:textId="77777777" w:rsidR="006265F4" w:rsidRPr="006265F4" w:rsidRDefault="006265F4" w:rsidP="006265F4">
      <w:pPr>
        <w:pStyle w:val="ListParagraph"/>
        <w:numPr>
          <w:ilvl w:val="2"/>
          <w:numId w:val="1"/>
        </w:numPr>
        <w:rPr>
          <w:rFonts w:cs="Arial"/>
          <w:bCs/>
        </w:rPr>
      </w:pPr>
      <w:r w:rsidRPr="006265F4">
        <w:rPr>
          <w:rFonts w:cs="Arial"/>
          <w:bCs/>
        </w:rPr>
        <w:t>Refused our offer to rectify the issue</w:t>
      </w:r>
    </w:p>
    <w:p w14:paraId="76C0C52A" w14:textId="4D0B355F" w:rsidR="00FF01C7" w:rsidRPr="000477C2" w:rsidRDefault="006265F4" w:rsidP="006265F4">
      <w:pPr>
        <w:widowControl w:val="0"/>
        <w:numPr>
          <w:ilvl w:val="1"/>
          <w:numId w:val="1"/>
        </w:numPr>
        <w:autoSpaceDE w:val="0"/>
        <w:autoSpaceDN w:val="0"/>
        <w:adjustRightInd w:val="0"/>
        <w:spacing w:after="0" w:line="240" w:lineRule="auto"/>
        <w:rPr>
          <w:rFonts w:cs="Arial"/>
          <w:bCs/>
        </w:rPr>
      </w:pPr>
      <w:r w:rsidRPr="006265F4">
        <w:rPr>
          <w:rFonts w:cs="Arial"/>
          <w:bCs/>
        </w:rPr>
        <w:t>The residents will need to provide evidence of the costs incurred, such as a receipt, paid invoice, or bill, within 8 weeks of the request</w:t>
      </w:r>
    </w:p>
    <w:p w14:paraId="4EF5F4E8" w14:textId="155B88AE" w:rsidR="00FF01C7" w:rsidRPr="00FE1F4F" w:rsidRDefault="00FF01C7" w:rsidP="006265F4">
      <w:pPr>
        <w:widowControl w:val="0"/>
        <w:autoSpaceDE w:val="0"/>
        <w:autoSpaceDN w:val="0"/>
        <w:adjustRightInd w:val="0"/>
        <w:spacing w:after="0" w:line="240" w:lineRule="auto"/>
        <w:rPr>
          <w:rFonts w:cs="Arial"/>
          <w:lang w:eastAsia="en-GB"/>
        </w:rPr>
      </w:pPr>
    </w:p>
    <w:p w14:paraId="4CC1390E" w14:textId="702D6904" w:rsidR="00FF01C7" w:rsidRPr="000477C2" w:rsidRDefault="00FF01C7" w:rsidP="00FF01C7">
      <w:pPr>
        <w:pStyle w:val="Heading3"/>
      </w:pPr>
      <w:r>
        <w:lastRenderedPageBreak/>
        <w:t xml:space="preserve"> </w:t>
      </w:r>
      <w:r w:rsidR="006265F4">
        <w:t xml:space="preserve">Discretionary </w:t>
      </w:r>
    </w:p>
    <w:p w14:paraId="75D8171D" w14:textId="77777777" w:rsidR="006265F4" w:rsidRPr="006F6F31" w:rsidRDefault="00FF01C7" w:rsidP="006265F4">
      <w:pPr>
        <w:widowControl w:val="0"/>
        <w:numPr>
          <w:ilvl w:val="1"/>
          <w:numId w:val="1"/>
        </w:numPr>
        <w:autoSpaceDE w:val="0"/>
        <w:autoSpaceDN w:val="0"/>
        <w:adjustRightInd w:val="0"/>
        <w:spacing w:after="0" w:line="240" w:lineRule="auto"/>
        <w:rPr>
          <w:rFonts w:cs="Arial"/>
          <w:b/>
        </w:rPr>
      </w:pPr>
      <w:r w:rsidRPr="006F6F31">
        <w:rPr>
          <w:rFonts w:cs="Arial"/>
          <w:b/>
        </w:rPr>
        <w:t xml:space="preserve"> </w:t>
      </w:r>
      <w:r w:rsidR="006265F4" w:rsidRPr="006F6F31">
        <w:rPr>
          <w:rFonts w:cs="Arial"/>
          <w:b/>
        </w:rPr>
        <w:t>If you cannot use a room in your home</w:t>
      </w:r>
    </w:p>
    <w:p w14:paraId="7DFBA0A1" w14:textId="77777777" w:rsidR="006265F4" w:rsidRPr="006265F4" w:rsidRDefault="006265F4" w:rsidP="006265F4">
      <w:pPr>
        <w:widowControl w:val="0"/>
        <w:autoSpaceDE w:val="0"/>
        <w:autoSpaceDN w:val="0"/>
        <w:adjustRightInd w:val="0"/>
        <w:spacing w:after="0" w:line="240" w:lineRule="auto"/>
        <w:ind w:left="720"/>
        <w:rPr>
          <w:rFonts w:cs="Arial"/>
          <w:bCs/>
        </w:rPr>
      </w:pPr>
    </w:p>
    <w:p w14:paraId="70152CAF" w14:textId="1BD133BC" w:rsidR="006F6F31" w:rsidRDefault="006265F4" w:rsidP="006F6F31">
      <w:pPr>
        <w:widowControl w:val="0"/>
        <w:numPr>
          <w:ilvl w:val="1"/>
          <w:numId w:val="1"/>
        </w:numPr>
        <w:autoSpaceDE w:val="0"/>
        <w:autoSpaceDN w:val="0"/>
        <w:adjustRightInd w:val="0"/>
        <w:spacing w:after="0" w:line="240" w:lineRule="auto"/>
        <w:rPr>
          <w:rFonts w:cs="Arial"/>
          <w:bCs/>
        </w:rPr>
      </w:pPr>
      <w:r w:rsidRPr="006265F4">
        <w:rPr>
          <w:rFonts w:cs="Arial"/>
          <w:bCs/>
        </w:rPr>
        <w:t>We will pay you compensation if we have not carried out work that is needed and your room is unsuitable for living in within our advertised standards. This only applies if you have not caused damage to the room yourself, and you have allowed us to carry out the required work. The payment will be calculated by dividing the number of rooms in your home by the amount of full rent you pay.</w:t>
      </w:r>
    </w:p>
    <w:p w14:paraId="43BA62CD" w14:textId="77777777" w:rsidR="006F6F31" w:rsidRPr="006F6F31" w:rsidRDefault="006F6F31" w:rsidP="006F6F31">
      <w:pPr>
        <w:widowControl w:val="0"/>
        <w:autoSpaceDE w:val="0"/>
        <w:autoSpaceDN w:val="0"/>
        <w:adjustRightInd w:val="0"/>
        <w:spacing w:after="0" w:line="240" w:lineRule="auto"/>
        <w:rPr>
          <w:rFonts w:cs="Arial"/>
          <w:bCs/>
        </w:rPr>
      </w:pPr>
    </w:p>
    <w:p w14:paraId="37F5E9C0" w14:textId="58358021" w:rsidR="006F6F31" w:rsidRDefault="006F6F31" w:rsidP="006265F4">
      <w:pPr>
        <w:widowControl w:val="0"/>
        <w:numPr>
          <w:ilvl w:val="1"/>
          <w:numId w:val="1"/>
        </w:numPr>
        <w:autoSpaceDE w:val="0"/>
        <w:autoSpaceDN w:val="0"/>
        <w:adjustRightInd w:val="0"/>
        <w:spacing w:after="0" w:line="240" w:lineRule="auto"/>
        <w:rPr>
          <w:rFonts w:cs="Arial"/>
          <w:bCs/>
        </w:rPr>
      </w:pPr>
      <w:r w:rsidRPr="006F6F31">
        <w:rPr>
          <w:rFonts w:cs="Arial"/>
          <w:bCs/>
        </w:rPr>
        <w:t>For example, if your rent is £50 a week and you have five rooms in total, we would divide £50 by 5, giving £10 a room for every week that it is not usable.</w:t>
      </w:r>
    </w:p>
    <w:p w14:paraId="574F49CA" w14:textId="77777777" w:rsidR="006F6F31" w:rsidRDefault="006F6F31" w:rsidP="006F6F31">
      <w:pPr>
        <w:pStyle w:val="ListParagraph"/>
        <w:rPr>
          <w:rFonts w:cs="Arial"/>
          <w:bCs/>
        </w:rPr>
      </w:pPr>
    </w:p>
    <w:p w14:paraId="178152B9" w14:textId="4B360E0D" w:rsidR="006F6F31" w:rsidRPr="000477C2" w:rsidRDefault="006F6F31" w:rsidP="006265F4">
      <w:pPr>
        <w:widowControl w:val="0"/>
        <w:numPr>
          <w:ilvl w:val="1"/>
          <w:numId w:val="1"/>
        </w:numPr>
        <w:autoSpaceDE w:val="0"/>
        <w:autoSpaceDN w:val="0"/>
        <w:adjustRightInd w:val="0"/>
        <w:spacing w:after="0" w:line="240" w:lineRule="auto"/>
        <w:rPr>
          <w:rFonts w:cs="Arial"/>
          <w:bCs/>
        </w:rPr>
      </w:pPr>
      <w:r w:rsidRPr="006F6F31">
        <w:rPr>
          <w:rFonts w:cs="Arial"/>
          <w:bCs/>
        </w:rPr>
        <w:t xml:space="preserve">We may offer you temporary housing. This would be instead of compensation.   </w:t>
      </w:r>
    </w:p>
    <w:p w14:paraId="183B4D72" w14:textId="77777777" w:rsidR="00FF01C7" w:rsidRPr="00FE1F4F" w:rsidRDefault="00FF01C7" w:rsidP="00FF01C7">
      <w:pPr>
        <w:autoSpaceDE w:val="0"/>
        <w:autoSpaceDN w:val="0"/>
        <w:adjustRightInd w:val="0"/>
        <w:rPr>
          <w:rFonts w:cs="Arial"/>
          <w:color w:val="231F20"/>
          <w:lang w:eastAsia="en-GB"/>
        </w:rPr>
      </w:pPr>
    </w:p>
    <w:p w14:paraId="3616D5AC" w14:textId="4575DA06" w:rsidR="00FF01C7" w:rsidRPr="000477C2" w:rsidRDefault="00FF01C7" w:rsidP="00FF01C7">
      <w:pPr>
        <w:pStyle w:val="Heading3"/>
      </w:pPr>
      <w:r>
        <w:t xml:space="preserve"> </w:t>
      </w:r>
      <w:r w:rsidR="006F6F31">
        <w:t xml:space="preserve">Failure to provide a service where a service charge has been paid  </w:t>
      </w:r>
      <w:r w:rsidR="006F6F31">
        <w:tab/>
      </w:r>
    </w:p>
    <w:p w14:paraId="24F9EAEE" w14:textId="67994551" w:rsidR="006F6F31" w:rsidRPr="006F6F31" w:rsidRDefault="00FF01C7" w:rsidP="006F6F31">
      <w:pPr>
        <w:widowControl w:val="0"/>
        <w:numPr>
          <w:ilvl w:val="1"/>
          <w:numId w:val="1"/>
        </w:numPr>
        <w:autoSpaceDE w:val="0"/>
        <w:autoSpaceDN w:val="0"/>
        <w:adjustRightInd w:val="0"/>
        <w:spacing w:after="0" w:line="240" w:lineRule="auto"/>
        <w:rPr>
          <w:rFonts w:cs="Arial"/>
          <w:bCs/>
        </w:rPr>
      </w:pPr>
      <w:r>
        <w:rPr>
          <w:rFonts w:cs="Arial"/>
          <w:bCs/>
        </w:rPr>
        <w:t xml:space="preserve"> </w:t>
      </w:r>
      <w:r w:rsidR="006F6F31" w:rsidRPr="006F6F31">
        <w:rPr>
          <w:rFonts w:cs="Arial"/>
          <w:bCs/>
        </w:rPr>
        <w:t xml:space="preserve">If we fail to provide a service for more than 14 days (or the number of days appropriate for a particular service) the level of the compensation will be the same amount that you paid for the service for the length of time that we failed to provide it; plus, a single payment of £10.   </w:t>
      </w:r>
    </w:p>
    <w:p w14:paraId="70915006" w14:textId="77777777" w:rsidR="00FF01C7" w:rsidRDefault="00FF01C7" w:rsidP="00FF01C7">
      <w:pPr>
        <w:widowControl w:val="0"/>
        <w:autoSpaceDE w:val="0"/>
        <w:autoSpaceDN w:val="0"/>
        <w:adjustRightInd w:val="0"/>
        <w:ind w:left="600"/>
        <w:rPr>
          <w:rFonts w:cs="Arial"/>
          <w:bCs/>
        </w:rPr>
      </w:pPr>
    </w:p>
    <w:p w14:paraId="11B7DA96" w14:textId="62A47394" w:rsidR="00FF01C7" w:rsidRPr="00FE1F4F" w:rsidRDefault="00FF01C7" w:rsidP="00FF01C7">
      <w:pPr>
        <w:pStyle w:val="Heading3"/>
        <w:rPr>
          <w:color w:val="231F20"/>
          <w:lang w:eastAsia="en-GB"/>
        </w:rPr>
      </w:pPr>
      <w:r>
        <w:t xml:space="preserve"> </w:t>
      </w:r>
      <w:r w:rsidR="006F6F31">
        <w:t>Serious disturbance and inconvenience in major works</w:t>
      </w:r>
    </w:p>
    <w:p w14:paraId="55496F41" w14:textId="7CB65B6E" w:rsidR="00FF01C7" w:rsidRDefault="00FF01C7" w:rsidP="00FF01C7">
      <w:pPr>
        <w:widowControl w:val="0"/>
        <w:numPr>
          <w:ilvl w:val="1"/>
          <w:numId w:val="1"/>
        </w:numPr>
        <w:autoSpaceDE w:val="0"/>
        <w:autoSpaceDN w:val="0"/>
        <w:adjustRightInd w:val="0"/>
        <w:spacing w:after="0" w:line="240" w:lineRule="auto"/>
        <w:rPr>
          <w:rFonts w:cs="Arial"/>
          <w:bCs/>
        </w:rPr>
      </w:pPr>
      <w:r>
        <w:rPr>
          <w:rFonts w:cs="Arial"/>
          <w:bCs/>
        </w:rPr>
        <w:t xml:space="preserve"> </w:t>
      </w:r>
      <w:r w:rsidR="006F6F31" w:rsidRPr="006F6F31">
        <w:rPr>
          <w:rFonts w:cs="Arial"/>
          <w:bCs/>
        </w:rPr>
        <w:t>In most cases, the Council will plan major work and agree a disturbance allowance’ (an amount of money we give the customer because we have disturbed your planned day-to-day activities) with you before the work takes place. We will pay you compensation if you are affected by unplanned work or emergency work that causes serious disturbance.</w:t>
      </w:r>
    </w:p>
    <w:p w14:paraId="7ADE8996" w14:textId="77777777" w:rsidR="006F6F31" w:rsidRDefault="006F6F31" w:rsidP="006F6F31">
      <w:pPr>
        <w:widowControl w:val="0"/>
        <w:autoSpaceDE w:val="0"/>
        <w:autoSpaceDN w:val="0"/>
        <w:adjustRightInd w:val="0"/>
        <w:spacing w:after="0" w:line="240" w:lineRule="auto"/>
        <w:ind w:left="720"/>
        <w:rPr>
          <w:rFonts w:cs="Arial"/>
          <w:bCs/>
        </w:rPr>
      </w:pPr>
    </w:p>
    <w:p w14:paraId="31E14C06" w14:textId="111C109F" w:rsidR="006F6F31" w:rsidRPr="000477C2" w:rsidRDefault="006F6F31" w:rsidP="00FF01C7">
      <w:pPr>
        <w:widowControl w:val="0"/>
        <w:numPr>
          <w:ilvl w:val="1"/>
          <w:numId w:val="1"/>
        </w:numPr>
        <w:autoSpaceDE w:val="0"/>
        <w:autoSpaceDN w:val="0"/>
        <w:adjustRightInd w:val="0"/>
        <w:spacing w:after="0" w:line="240" w:lineRule="auto"/>
        <w:rPr>
          <w:rFonts w:cs="Arial"/>
          <w:bCs/>
        </w:rPr>
      </w:pPr>
      <w:r w:rsidRPr="006F6F31">
        <w:rPr>
          <w:rFonts w:cs="Arial"/>
          <w:bCs/>
        </w:rPr>
        <w:t xml:space="preserve">This will be calculated based on the length of the disruption, the impact it has had on the use of utilities such as heating and hot water.   </w:t>
      </w:r>
    </w:p>
    <w:p w14:paraId="7D3DE461" w14:textId="77777777" w:rsidR="00FF01C7" w:rsidRPr="00FE1F4F" w:rsidRDefault="00FF01C7" w:rsidP="00FF01C7">
      <w:pPr>
        <w:autoSpaceDE w:val="0"/>
        <w:autoSpaceDN w:val="0"/>
        <w:adjustRightInd w:val="0"/>
        <w:rPr>
          <w:rFonts w:cs="Arial"/>
          <w:color w:val="231F20"/>
          <w:lang w:eastAsia="en-GB"/>
        </w:rPr>
      </w:pPr>
    </w:p>
    <w:p w14:paraId="4A6F604A" w14:textId="4F2B46F6" w:rsidR="00FF01C7" w:rsidRPr="000477C2" w:rsidRDefault="00FF01C7" w:rsidP="00FF01C7">
      <w:pPr>
        <w:pStyle w:val="Heading3"/>
      </w:pPr>
      <w:r>
        <w:t xml:space="preserve"> </w:t>
      </w:r>
      <w:r w:rsidR="006F6F31">
        <w:t>Loss of heating and hot water</w:t>
      </w:r>
    </w:p>
    <w:p w14:paraId="2DCDC4E2" w14:textId="2D59621B" w:rsidR="00FF01C7" w:rsidRDefault="00FF01C7" w:rsidP="00FF01C7">
      <w:pPr>
        <w:widowControl w:val="0"/>
        <w:numPr>
          <w:ilvl w:val="1"/>
          <w:numId w:val="1"/>
        </w:numPr>
        <w:autoSpaceDE w:val="0"/>
        <w:autoSpaceDN w:val="0"/>
        <w:adjustRightInd w:val="0"/>
        <w:spacing w:after="0" w:line="240" w:lineRule="auto"/>
        <w:rPr>
          <w:rFonts w:cs="Arial"/>
          <w:bCs/>
        </w:rPr>
      </w:pPr>
      <w:r>
        <w:rPr>
          <w:rFonts w:cs="Arial"/>
          <w:bCs/>
        </w:rPr>
        <w:t xml:space="preserve"> </w:t>
      </w:r>
      <w:r w:rsidR="006F6F31" w:rsidRPr="006F6F31">
        <w:rPr>
          <w:rFonts w:cs="Arial"/>
          <w:bCs/>
        </w:rPr>
        <w:t>Between 31 October and 30 April, if you are without heating for a period of longer than 3 working days, we will provide compensation of £15 per day from day 4, up to a total value of £150. This includes the cost of using any temporary heating that we provide.</w:t>
      </w:r>
    </w:p>
    <w:p w14:paraId="20AA1C1C" w14:textId="77777777" w:rsidR="006F6F31" w:rsidRPr="006F6F31" w:rsidRDefault="006F6F31" w:rsidP="006F6F31">
      <w:pPr>
        <w:widowControl w:val="0"/>
        <w:autoSpaceDE w:val="0"/>
        <w:autoSpaceDN w:val="0"/>
        <w:adjustRightInd w:val="0"/>
        <w:spacing w:after="0" w:line="240" w:lineRule="auto"/>
        <w:ind w:left="720"/>
        <w:rPr>
          <w:rFonts w:cs="Arial"/>
          <w:bCs/>
        </w:rPr>
      </w:pPr>
    </w:p>
    <w:p w14:paraId="2593779F" w14:textId="77777777" w:rsidR="006F6F31" w:rsidRDefault="006F6F31" w:rsidP="006F6F31">
      <w:pPr>
        <w:widowControl w:val="0"/>
        <w:numPr>
          <w:ilvl w:val="1"/>
          <w:numId w:val="1"/>
        </w:numPr>
        <w:autoSpaceDE w:val="0"/>
        <w:autoSpaceDN w:val="0"/>
        <w:adjustRightInd w:val="0"/>
        <w:spacing w:after="0" w:line="240" w:lineRule="auto"/>
        <w:rPr>
          <w:rFonts w:cs="Arial"/>
          <w:bCs/>
        </w:rPr>
      </w:pPr>
      <w:r w:rsidRPr="006F6F31">
        <w:rPr>
          <w:rFonts w:cs="Arial"/>
          <w:bCs/>
        </w:rPr>
        <w:t>Between 31st October and 30th April, if you are without hot water for a period of longer than five working days, from day 6 we will provide compensation of £5 per day, up to a total value of £50.</w:t>
      </w:r>
    </w:p>
    <w:p w14:paraId="2560D7AB" w14:textId="77777777" w:rsidR="006F6F31" w:rsidRDefault="006F6F31" w:rsidP="006F6F31">
      <w:pPr>
        <w:pStyle w:val="ListParagraph"/>
        <w:rPr>
          <w:rFonts w:cs="Arial"/>
          <w:bCs/>
        </w:rPr>
      </w:pPr>
    </w:p>
    <w:p w14:paraId="08B1386F" w14:textId="0195D31E" w:rsidR="00FF01C7" w:rsidRDefault="006F6F31" w:rsidP="003809CC">
      <w:pPr>
        <w:widowControl w:val="0"/>
        <w:numPr>
          <w:ilvl w:val="1"/>
          <w:numId w:val="1"/>
        </w:numPr>
        <w:autoSpaceDE w:val="0"/>
        <w:autoSpaceDN w:val="0"/>
        <w:adjustRightInd w:val="0"/>
        <w:spacing w:after="0" w:line="240" w:lineRule="auto"/>
        <w:rPr>
          <w:rFonts w:cs="Arial"/>
          <w:bCs/>
        </w:rPr>
      </w:pPr>
      <w:r w:rsidRPr="006F6F31">
        <w:rPr>
          <w:rFonts w:cs="Arial"/>
          <w:bCs/>
        </w:rPr>
        <w:t xml:space="preserve">The provision of temporary heating will be reviewed on a case-by-case basis and will be influenced by the makeup of the household (for example, households with elderly, disabled, or children under the age of 12).    </w:t>
      </w:r>
    </w:p>
    <w:p w14:paraId="458C30EB" w14:textId="77777777" w:rsidR="003809CC" w:rsidRDefault="003809CC" w:rsidP="003809CC">
      <w:pPr>
        <w:pStyle w:val="ListParagraph"/>
        <w:rPr>
          <w:rFonts w:cs="Arial"/>
          <w:bCs/>
        </w:rPr>
      </w:pPr>
    </w:p>
    <w:p w14:paraId="11CEC10F" w14:textId="6FF69044" w:rsidR="00FF01C7" w:rsidRPr="000477C2" w:rsidRDefault="00FF01C7" w:rsidP="00FF01C7">
      <w:pPr>
        <w:pStyle w:val="Heading3"/>
      </w:pPr>
      <w:r>
        <w:t xml:space="preserve"> </w:t>
      </w:r>
      <w:r w:rsidR="003809CC">
        <w:t xml:space="preserve">All other discretionary and compensation payments </w:t>
      </w:r>
    </w:p>
    <w:p w14:paraId="43D121E8" w14:textId="7A16956D" w:rsidR="00FF01C7" w:rsidRDefault="00FF01C7" w:rsidP="00FF01C7">
      <w:pPr>
        <w:widowControl w:val="0"/>
        <w:numPr>
          <w:ilvl w:val="1"/>
          <w:numId w:val="1"/>
        </w:numPr>
        <w:autoSpaceDE w:val="0"/>
        <w:autoSpaceDN w:val="0"/>
        <w:adjustRightInd w:val="0"/>
        <w:spacing w:after="0" w:line="240" w:lineRule="auto"/>
        <w:rPr>
          <w:rFonts w:cs="Arial"/>
          <w:bCs/>
        </w:rPr>
      </w:pPr>
      <w:r>
        <w:rPr>
          <w:rFonts w:cs="Arial"/>
          <w:bCs/>
        </w:rPr>
        <w:t xml:space="preserve"> </w:t>
      </w:r>
      <w:r w:rsidR="003809CC" w:rsidRPr="003809CC">
        <w:rPr>
          <w:rFonts w:cs="Arial"/>
          <w:bCs/>
        </w:rPr>
        <w:t>Each case will be considered for compensation on an individual basis and consider all known circumstances and supporting evidence. We will work on evidence and facts and will generally not make any compensation awards based on the belief of what might have happened. All reports of loss or inconvenience will be investigated. Factors that will be considered when the level of compensation is considered include:</w:t>
      </w:r>
    </w:p>
    <w:p w14:paraId="62F51283" w14:textId="7336CE8E" w:rsidR="003809CC" w:rsidRDefault="003809CC" w:rsidP="003809CC">
      <w:pPr>
        <w:pStyle w:val="ListParagraph"/>
        <w:numPr>
          <w:ilvl w:val="2"/>
          <w:numId w:val="1"/>
        </w:numPr>
        <w:rPr>
          <w:rFonts w:cs="Arial"/>
          <w:bCs/>
        </w:rPr>
      </w:pPr>
      <w:r w:rsidRPr="003809CC">
        <w:rPr>
          <w:rFonts w:cs="Arial"/>
          <w:bCs/>
        </w:rPr>
        <w:lastRenderedPageBreak/>
        <w:t>Whether you have contributed to the failure in service. This could be when there have been problems gaining access due to your availability, or delays in reporting the problem</w:t>
      </w:r>
      <w:r>
        <w:rPr>
          <w:rFonts w:cs="Arial"/>
          <w:bCs/>
        </w:rPr>
        <w:t>.</w:t>
      </w:r>
    </w:p>
    <w:p w14:paraId="189F139A" w14:textId="77777777" w:rsidR="003809CC" w:rsidRPr="003809CC" w:rsidRDefault="003809CC" w:rsidP="003809CC">
      <w:pPr>
        <w:pStyle w:val="ListParagraph"/>
        <w:ind w:left="1080"/>
        <w:rPr>
          <w:rFonts w:cs="Arial"/>
          <w:bCs/>
        </w:rPr>
      </w:pPr>
    </w:p>
    <w:p w14:paraId="0CA09263" w14:textId="5C07CA7F" w:rsidR="003809CC" w:rsidRDefault="003809CC" w:rsidP="003809CC">
      <w:pPr>
        <w:pStyle w:val="ListParagraph"/>
        <w:numPr>
          <w:ilvl w:val="2"/>
          <w:numId w:val="1"/>
        </w:numPr>
        <w:rPr>
          <w:rFonts w:cs="Arial"/>
          <w:bCs/>
        </w:rPr>
      </w:pPr>
      <w:r w:rsidRPr="003809CC">
        <w:rPr>
          <w:rFonts w:cs="Arial"/>
          <w:bCs/>
        </w:rPr>
        <w:t xml:space="preserve">The level of stress or distress caused </w:t>
      </w:r>
      <w:proofErr w:type="gramStart"/>
      <w:r w:rsidRPr="003809CC">
        <w:rPr>
          <w:rFonts w:cs="Arial"/>
          <w:bCs/>
        </w:rPr>
        <w:t>as a result of</w:t>
      </w:r>
      <w:proofErr w:type="gramEnd"/>
      <w:r w:rsidRPr="003809CC">
        <w:rPr>
          <w:rFonts w:cs="Arial"/>
          <w:bCs/>
        </w:rPr>
        <w:t xml:space="preserve"> action or inaction by Medway Housing Services or its contractors. This will include the severity of the distress, the length of time involved, and the number of people affected</w:t>
      </w:r>
      <w:r>
        <w:rPr>
          <w:rFonts w:cs="Arial"/>
          <w:bCs/>
        </w:rPr>
        <w:t>.</w:t>
      </w:r>
    </w:p>
    <w:p w14:paraId="6DAB2E9B" w14:textId="77777777" w:rsidR="003809CC" w:rsidRPr="003809CC" w:rsidRDefault="003809CC" w:rsidP="003809CC">
      <w:pPr>
        <w:pStyle w:val="ListParagraph"/>
        <w:rPr>
          <w:rFonts w:cs="Arial"/>
          <w:bCs/>
        </w:rPr>
      </w:pPr>
    </w:p>
    <w:p w14:paraId="31F0604D" w14:textId="77777777" w:rsidR="003809CC" w:rsidRPr="003809CC" w:rsidRDefault="003809CC" w:rsidP="003809CC">
      <w:pPr>
        <w:pStyle w:val="ListParagraph"/>
        <w:ind w:left="1080"/>
        <w:rPr>
          <w:rFonts w:cs="Arial"/>
          <w:bCs/>
        </w:rPr>
      </w:pPr>
    </w:p>
    <w:p w14:paraId="490EA9BB" w14:textId="1C5FD1EF" w:rsidR="00FF01C7" w:rsidRPr="003809CC" w:rsidRDefault="003809CC" w:rsidP="003809CC">
      <w:pPr>
        <w:pStyle w:val="ListParagraph"/>
        <w:numPr>
          <w:ilvl w:val="2"/>
          <w:numId w:val="1"/>
        </w:numPr>
        <w:rPr>
          <w:rFonts w:cs="Arial"/>
          <w:bCs/>
        </w:rPr>
      </w:pPr>
      <w:r w:rsidRPr="003809CC">
        <w:rPr>
          <w:rFonts w:cs="Arial"/>
          <w:bCs/>
        </w:rPr>
        <w:t>The amount of inconvenience (time and trouble) you have experienced and how much effort was required by you to resolve the problem</w:t>
      </w:r>
      <w:r>
        <w:rPr>
          <w:rFonts w:cs="Arial"/>
          <w:bCs/>
        </w:rPr>
        <w:t>.</w:t>
      </w:r>
    </w:p>
    <w:p w14:paraId="52924CB7" w14:textId="08ECE21C" w:rsidR="00FF01C7" w:rsidRPr="000477C2" w:rsidRDefault="00FF01C7" w:rsidP="00FF01C7">
      <w:pPr>
        <w:pStyle w:val="Heading3"/>
      </w:pPr>
    </w:p>
    <w:p w14:paraId="5195E3E4" w14:textId="4B65960A" w:rsidR="00FF01C7" w:rsidRPr="00F8049A" w:rsidRDefault="00FF01C7" w:rsidP="00FF01C7">
      <w:pPr>
        <w:widowControl w:val="0"/>
        <w:numPr>
          <w:ilvl w:val="1"/>
          <w:numId w:val="1"/>
        </w:numPr>
        <w:autoSpaceDE w:val="0"/>
        <w:autoSpaceDN w:val="0"/>
        <w:adjustRightInd w:val="0"/>
        <w:spacing w:after="0" w:line="240" w:lineRule="auto"/>
        <w:rPr>
          <w:rFonts w:cs="Arial"/>
          <w:bCs/>
        </w:rPr>
      </w:pPr>
      <w:r>
        <w:rPr>
          <w:rFonts w:cs="Arial"/>
          <w:bCs/>
        </w:rPr>
        <w:t xml:space="preserve"> </w:t>
      </w:r>
      <w:r w:rsidR="003809CC" w:rsidRPr="003809CC">
        <w:rPr>
          <w:rFonts w:cs="Arial"/>
          <w:bCs/>
        </w:rPr>
        <w:t>Compensation payments for delay and distress will be made based on the level of Medway Housing Services responsibility for the loss or inconvenience and the impact on you. This matrix sets out the maximum payment that can be made. These payments may be in addition to another loss payment.</w:t>
      </w:r>
    </w:p>
    <w:p w14:paraId="7E5492BE" w14:textId="77777777" w:rsidR="00FF01C7" w:rsidRPr="00F8049A" w:rsidRDefault="00FF01C7" w:rsidP="00FF01C7">
      <w:pPr>
        <w:widowControl w:val="0"/>
        <w:autoSpaceDE w:val="0"/>
        <w:autoSpaceDN w:val="0"/>
        <w:adjustRightInd w:val="0"/>
        <w:ind w:left="600"/>
        <w:rPr>
          <w:rFonts w:cs="Arial"/>
          <w:b/>
          <w:bCs/>
        </w:rPr>
      </w:pPr>
    </w:p>
    <w:p w14:paraId="0D8E78F7" w14:textId="7FF3B3BE" w:rsidR="00FF01C7" w:rsidRDefault="00FF01C7" w:rsidP="00FF01C7">
      <w:pPr>
        <w:pStyle w:val="Heading3"/>
      </w:pPr>
      <w:bookmarkStart w:id="1" w:name="_Hlk112086470"/>
      <w:r>
        <w:t xml:space="preserve"> </w:t>
      </w:r>
      <w:r w:rsidR="003809CC">
        <w:t>Compensatio</w:t>
      </w:r>
      <w:r w:rsidR="00EF547C">
        <w:t>n table based on the impact</w:t>
      </w:r>
    </w:p>
    <w:p w14:paraId="434373F0" w14:textId="33421DBD" w:rsidR="006C06A8" w:rsidRPr="006C06A8" w:rsidRDefault="006C06A8" w:rsidP="006C06A8">
      <w:r w:rsidRPr="006C06A8">
        <w:rPr>
          <w:rFonts w:cs="Arial"/>
          <w:b/>
          <w:sz w:val="16"/>
          <w:szCs w:val="16"/>
        </w:rPr>
        <w:t>*</w:t>
      </w:r>
      <w:proofErr w:type="gramStart"/>
      <w:r w:rsidRPr="006C06A8">
        <w:rPr>
          <w:rFonts w:cs="Arial"/>
          <w:b/>
          <w:sz w:val="16"/>
          <w:szCs w:val="16"/>
        </w:rPr>
        <w:t>this</w:t>
      </w:r>
      <w:proofErr w:type="gramEnd"/>
      <w:r w:rsidRPr="006C06A8">
        <w:rPr>
          <w:rFonts w:cs="Arial"/>
          <w:b/>
          <w:sz w:val="16"/>
          <w:szCs w:val="16"/>
        </w:rPr>
        <w:t xml:space="preserve"> table is to act as a guide</w:t>
      </w:r>
      <w:r w:rsidRPr="006C06A8">
        <w:rPr>
          <w:rFonts w:cs="Arial"/>
          <w:b/>
        </w:rPr>
        <w:t>:</w:t>
      </w:r>
    </w:p>
    <w:tbl>
      <w:tblPr>
        <w:tblStyle w:val="TableGridLight"/>
        <w:tblpPr w:leftFromText="180" w:rightFromText="180" w:vertAnchor="text" w:horzAnchor="page" w:tblpX="2601" w:tblpY="327"/>
        <w:tblW w:w="6921" w:type="dxa"/>
        <w:tblLook w:val="04A0" w:firstRow="1" w:lastRow="0" w:firstColumn="1" w:lastColumn="0" w:noHBand="0" w:noVBand="1"/>
        <w:tblCaption w:val="Table of compensation "/>
        <w:tblDescription w:val="Partital level of responsibility Low impact £25, Medium impact £15, High Impact £250. Full level of responsibility No impact £10, Low impact £50, Medium impact £250, High impact £500"/>
      </w:tblPr>
      <w:tblGrid>
        <w:gridCol w:w="2179"/>
        <w:gridCol w:w="1044"/>
        <w:gridCol w:w="1119"/>
        <w:gridCol w:w="1432"/>
        <w:gridCol w:w="1147"/>
      </w:tblGrid>
      <w:tr w:rsidR="00B31AD3" w:rsidRPr="00EF547C" w14:paraId="1665D2FB" w14:textId="77777777" w:rsidTr="00B31AD3">
        <w:trPr>
          <w:trHeight w:val="557"/>
        </w:trPr>
        <w:tc>
          <w:tcPr>
            <w:tcW w:w="0" w:type="auto"/>
            <w:hideMark/>
          </w:tcPr>
          <w:bookmarkEnd w:id="1"/>
          <w:p w14:paraId="51D8D3F7" w14:textId="77777777" w:rsidR="00B31AD3" w:rsidRPr="00EF547C" w:rsidRDefault="00B31AD3" w:rsidP="00B31AD3">
            <w:pPr>
              <w:rPr>
                <w:bCs/>
              </w:rPr>
            </w:pPr>
            <w:r w:rsidRPr="00EF547C">
              <w:rPr>
                <w:bCs/>
              </w:rPr>
              <w:t>Level of our responsibility</w:t>
            </w:r>
          </w:p>
        </w:tc>
        <w:tc>
          <w:tcPr>
            <w:tcW w:w="0" w:type="auto"/>
            <w:hideMark/>
          </w:tcPr>
          <w:p w14:paraId="06489642" w14:textId="77777777" w:rsidR="00B31AD3" w:rsidRPr="00EF547C" w:rsidRDefault="00B31AD3" w:rsidP="00B31AD3">
            <w:pPr>
              <w:rPr>
                <w:bCs/>
              </w:rPr>
            </w:pPr>
            <w:r w:rsidRPr="00EF547C">
              <w:rPr>
                <w:bCs/>
              </w:rPr>
              <w:t>No impact</w:t>
            </w:r>
          </w:p>
        </w:tc>
        <w:tc>
          <w:tcPr>
            <w:tcW w:w="0" w:type="auto"/>
            <w:hideMark/>
          </w:tcPr>
          <w:p w14:paraId="29B90831" w14:textId="77777777" w:rsidR="00B31AD3" w:rsidRPr="00EF547C" w:rsidRDefault="00B31AD3" w:rsidP="00B31AD3">
            <w:pPr>
              <w:rPr>
                <w:bCs/>
              </w:rPr>
            </w:pPr>
            <w:r w:rsidRPr="00EF547C">
              <w:rPr>
                <w:bCs/>
              </w:rPr>
              <w:t>Low impact</w:t>
            </w:r>
          </w:p>
        </w:tc>
        <w:tc>
          <w:tcPr>
            <w:tcW w:w="0" w:type="auto"/>
            <w:hideMark/>
          </w:tcPr>
          <w:p w14:paraId="3A7C0BB4" w14:textId="77777777" w:rsidR="00B31AD3" w:rsidRPr="00EF547C" w:rsidRDefault="00B31AD3" w:rsidP="00B31AD3">
            <w:pPr>
              <w:rPr>
                <w:bCs/>
              </w:rPr>
            </w:pPr>
            <w:r w:rsidRPr="00EF547C">
              <w:rPr>
                <w:bCs/>
              </w:rPr>
              <w:t>Medium impact</w:t>
            </w:r>
          </w:p>
        </w:tc>
        <w:tc>
          <w:tcPr>
            <w:tcW w:w="0" w:type="auto"/>
            <w:hideMark/>
          </w:tcPr>
          <w:p w14:paraId="43D9D24E" w14:textId="77777777" w:rsidR="00B31AD3" w:rsidRPr="00EF547C" w:rsidRDefault="00B31AD3" w:rsidP="00B31AD3">
            <w:pPr>
              <w:rPr>
                <w:bCs/>
              </w:rPr>
            </w:pPr>
            <w:r w:rsidRPr="00EF547C">
              <w:rPr>
                <w:bCs/>
              </w:rPr>
              <w:t>High impact</w:t>
            </w:r>
          </w:p>
        </w:tc>
      </w:tr>
      <w:tr w:rsidR="00B31AD3" w:rsidRPr="00EF547C" w14:paraId="7E3E4E2A" w14:textId="77777777" w:rsidTr="00B31AD3">
        <w:trPr>
          <w:trHeight w:val="278"/>
        </w:trPr>
        <w:tc>
          <w:tcPr>
            <w:tcW w:w="0" w:type="auto"/>
            <w:hideMark/>
          </w:tcPr>
          <w:p w14:paraId="5B5B9616" w14:textId="77777777" w:rsidR="00B31AD3" w:rsidRPr="00EF547C" w:rsidRDefault="00B31AD3" w:rsidP="00B31AD3">
            <w:pPr>
              <w:rPr>
                <w:bCs/>
              </w:rPr>
            </w:pPr>
            <w:r w:rsidRPr="00EF547C">
              <w:rPr>
                <w:bCs/>
              </w:rPr>
              <w:t>None</w:t>
            </w:r>
          </w:p>
        </w:tc>
        <w:tc>
          <w:tcPr>
            <w:tcW w:w="0" w:type="auto"/>
            <w:hideMark/>
          </w:tcPr>
          <w:p w14:paraId="6399BEF4" w14:textId="77777777" w:rsidR="00B31AD3" w:rsidRPr="00EF547C" w:rsidRDefault="00B31AD3" w:rsidP="00B31AD3">
            <w:pPr>
              <w:rPr>
                <w:bCs/>
              </w:rPr>
            </w:pPr>
            <w:r w:rsidRPr="00EF547C">
              <w:rPr>
                <w:bCs/>
              </w:rPr>
              <w:t>£0</w:t>
            </w:r>
          </w:p>
        </w:tc>
        <w:tc>
          <w:tcPr>
            <w:tcW w:w="0" w:type="auto"/>
            <w:hideMark/>
          </w:tcPr>
          <w:p w14:paraId="1C3F853D" w14:textId="77777777" w:rsidR="00B31AD3" w:rsidRPr="00EF547C" w:rsidRDefault="00B31AD3" w:rsidP="00B31AD3">
            <w:pPr>
              <w:rPr>
                <w:bCs/>
              </w:rPr>
            </w:pPr>
            <w:r w:rsidRPr="00EF547C">
              <w:rPr>
                <w:bCs/>
              </w:rPr>
              <w:t>£0</w:t>
            </w:r>
          </w:p>
        </w:tc>
        <w:tc>
          <w:tcPr>
            <w:tcW w:w="0" w:type="auto"/>
            <w:hideMark/>
          </w:tcPr>
          <w:p w14:paraId="4BE72C88" w14:textId="77777777" w:rsidR="00B31AD3" w:rsidRPr="00EF547C" w:rsidRDefault="00B31AD3" w:rsidP="00B31AD3">
            <w:pPr>
              <w:rPr>
                <w:bCs/>
              </w:rPr>
            </w:pPr>
            <w:r w:rsidRPr="00EF547C">
              <w:rPr>
                <w:bCs/>
              </w:rPr>
              <w:t>£0</w:t>
            </w:r>
          </w:p>
        </w:tc>
        <w:tc>
          <w:tcPr>
            <w:tcW w:w="0" w:type="auto"/>
            <w:hideMark/>
          </w:tcPr>
          <w:p w14:paraId="7EA44029" w14:textId="77777777" w:rsidR="00B31AD3" w:rsidRPr="00EF547C" w:rsidRDefault="00B31AD3" w:rsidP="00B31AD3">
            <w:pPr>
              <w:rPr>
                <w:bCs/>
              </w:rPr>
            </w:pPr>
            <w:r w:rsidRPr="00EF547C">
              <w:rPr>
                <w:bCs/>
              </w:rPr>
              <w:t>£0</w:t>
            </w:r>
          </w:p>
        </w:tc>
      </w:tr>
      <w:tr w:rsidR="00B31AD3" w:rsidRPr="00EF547C" w14:paraId="5445A2B3" w14:textId="77777777" w:rsidTr="00B31AD3">
        <w:trPr>
          <w:trHeight w:val="278"/>
        </w:trPr>
        <w:tc>
          <w:tcPr>
            <w:tcW w:w="0" w:type="auto"/>
            <w:hideMark/>
          </w:tcPr>
          <w:p w14:paraId="3749A967" w14:textId="77777777" w:rsidR="00B31AD3" w:rsidRPr="00EF547C" w:rsidRDefault="00B31AD3" w:rsidP="00B31AD3">
            <w:pPr>
              <w:rPr>
                <w:bCs/>
              </w:rPr>
            </w:pPr>
            <w:r w:rsidRPr="00EF547C">
              <w:rPr>
                <w:bCs/>
              </w:rPr>
              <w:t>Partial</w:t>
            </w:r>
          </w:p>
        </w:tc>
        <w:tc>
          <w:tcPr>
            <w:tcW w:w="0" w:type="auto"/>
            <w:hideMark/>
          </w:tcPr>
          <w:p w14:paraId="1FF4AFE8" w14:textId="77777777" w:rsidR="00B31AD3" w:rsidRPr="00EF547C" w:rsidRDefault="00B31AD3" w:rsidP="00B31AD3">
            <w:pPr>
              <w:rPr>
                <w:bCs/>
              </w:rPr>
            </w:pPr>
            <w:r w:rsidRPr="00EF547C">
              <w:rPr>
                <w:bCs/>
              </w:rPr>
              <w:t>£0</w:t>
            </w:r>
          </w:p>
        </w:tc>
        <w:tc>
          <w:tcPr>
            <w:tcW w:w="0" w:type="auto"/>
            <w:hideMark/>
          </w:tcPr>
          <w:p w14:paraId="090D28CF" w14:textId="77777777" w:rsidR="00B31AD3" w:rsidRPr="00EF547C" w:rsidRDefault="00B31AD3" w:rsidP="00B31AD3">
            <w:pPr>
              <w:rPr>
                <w:bCs/>
              </w:rPr>
            </w:pPr>
            <w:r w:rsidRPr="00EF547C">
              <w:rPr>
                <w:bCs/>
              </w:rPr>
              <w:t>£25</w:t>
            </w:r>
          </w:p>
        </w:tc>
        <w:tc>
          <w:tcPr>
            <w:tcW w:w="0" w:type="auto"/>
            <w:hideMark/>
          </w:tcPr>
          <w:p w14:paraId="58E3324A" w14:textId="42638D86" w:rsidR="00B31AD3" w:rsidRPr="00EF547C" w:rsidRDefault="00B31AD3" w:rsidP="00B31AD3">
            <w:pPr>
              <w:rPr>
                <w:bCs/>
              </w:rPr>
            </w:pPr>
            <w:r w:rsidRPr="00EF547C">
              <w:rPr>
                <w:bCs/>
              </w:rPr>
              <w:t>£1</w:t>
            </w:r>
            <w:r w:rsidR="006C06A8">
              <w:rPr>
                <w:bCs/>
              </w:rPr>
              <w:t>00</w:t>
            </w:r>
          </w:p>
        </w:tc>
        <w:tc>
          <w:tcPr>
            <w:tcW w:w="0" w:type="auto"/>
            <w:hideMark/>
          </w:tcPr>
          <w:p w14:paraId="1F0D175A" w14:textId="77777777" w:rsidR="00B31AD3" w:rsidRPr="00EF547C" w:rsidRDefault="00B31AD3" w:rsidP="00B31AD3">
            <w:pPr>
              <w:rPr>
                <w:bCs/>
              </w:rPr>
            </w:pPr>
            <w:r w:rsidRPr="00EF547C">
              <w:rPr>
                <w:bCs/>
              </w:rPr>
              <w:t>£250</w:t>
            </w:r>
          </w:p>
        </w:tc>
      </w:tr>
      <w:tr w:rsidR="00B31AD3" w:rsidRPr="00EF547C" w14:paraId="3D01100B" w14:textId="77777777" w:rsidTr="00B31AD3">
        <w:trPr>
          <w:trHeight w:val="278"/>
        </w:trPr>
        <w:tc>
          <w:tcPr>
            <w:tcW w:w="0" w:type="auto"/>
            <w:hideMark/>
          </w:tcPr>
          <w:p w14:paraId="0E7F800D" w14:textId="77777777" w:rsidR="00B31AD3" w:rsidRPr="00EF547C" w:rsidRDefault="00B31AD3" w:rsidP="00B31AD3">
            <w:pPr>
              <w:rPr>
                <w:bCs/>
              </w:rPr>
            </w:pPr>
            <w:r w:rsidRPr="00EF547C">
              <w:rPr>
                <w:bCs/>
              </w:rPr>
              <w:t>Full</w:t>
            </w:r>
          </w:p>
        </w:tc>
        <w:tc>
          <w:tcPr>
            <w:tcW w:w="0" w:type="auto"/>
            <w:hideMark/>
          </w:tcPr>
          <w:p w14:paraId="4C603017" w14:textId="77777777" w:rsidR="00B31AD3" w:rsidRPr="00EF547C" w:rsidRDefault="00B31AD3" w:rsidP="00B31AD3">
            <w:pPr>
              <w:rPr>
                <w:bCs/>
              </w:rPr>
            </w:pPr>
            <w:r w:rsidRPr="00EF547C">
              <w:rPr>
                <w:bCs/>
              </w:rPr>
              <w:t>£10</w:t>
            </w:r>
          </w:p>
        </w:tc>
        <w:tc>
          <w:tcPr>
            <w:tcW w:w="0" w:type="auto"/>
            <w:hideMark/>
          </w:tcPr>
          <w:p w14:paraId="2121B321" w14:textId="77777777" w:rsidR="00B31AD3" w:rsidRPr="00EF547C" w:rsidRDefault="00B31AD3" w:rsidP="00B31AD3">
            <w:pPr>
              <w:rPr>
                <w:bCs/>
              </w:rPr>
            </w:pPr>
            <w:r w:rsidRPr="00EF547C">
              <w:rPr>
                <w:bCs/>
              </w:rPr>
              <w:t>£50</w:t>
            </w:r>
          </w:p>
        </w:tc>
        <w:tc>
          <w:tcPr>
            <w:tcW w:w="0" w:type="auto"/>
            <w:hideMark/>
          </w:tcPr>
          <w:p w14:paraId="24E1CB7C" w14:textId="77777777" w:rsidR="00B31AD3" w:rsidRPr="00EF547C" w:rsidRDefault="00B31AD3" w:rsidP="00B31AD3">
            <w:pPr>
              <w:rPr>
                <w:bCs/>
              </w:rPr>
            </w:pPr>
            <w:r w:rsidRPr="00EF547C">
              <w:rPr>
                <w:bCs/>
              </w:rPr>
              <w:t>£250</w:t>
            </w:r>
          </w:p>
        </w:tc>
        <w:tc>
          <w:tcPr>
            <w:tcW w:w="0" w:type="auto"/>
            <w:hideMark/>
          </w:tcPr>
          <w:p w14:paraId="05482D5E" w14:textId="77777777" w:rsidR="00B31AD3" w:rsidRPr="00EF547C" w:rsidRDefault="00B31AD3" w:rsidP="00B31AD3">
            <w:pPr>
              <w:rPr>
                <w:bCs/>
              </w:rPr>
            </w:pPr>
            <w:r w:rsidRPr="00EF547C">
              <w:rPr>
                <w:bCs/>
              </w:rPr>
              <w:t>£500</w:t>
            </w:r>
          </w:p>
        </w:tc>
      </w:tr>
    </w:tbl>
    <w:p w14:paraId="245493F5" w14:textId="77777777" w:rsidR="00EF547C" w:rsidRPr="00EF547C" w:rsidRDefault="00EF547C" w:rsidP="00EF547C"/>
    <w:p w14:paraId="77F72863" w14:textId="16D83164" w:rsidR="00DF6D7C" w:rsidRPr="00DF6D7C" w:rsidRDefault="00DF6D7C" w:rsidP="00DF6D7C">
      <w:pPr>
        <w:widowControl w:val="0"/>
        <w:autoSpaceDE w:val="0"/>
        <w:autoSpaceDN w:val="0"/>
        <w:adjustRightInd w:val="0"/>
        <w:spacing w:after="0" w:line="240" w:lineRule="auto"/>
        <w:rPr>
          <w:rFonts w:cs="Arial"/>
          <w:b/>
        </w:rPr>
      </w:pPr>
    </w:p>
    <w:p w14:paraId="2DC34B9C" w14:textId="5477C112" w:rsidR="00FF01C7" w:rsidRPr="00F8049A" w:rsidRDefault="00DF6D7C" w:rsidP="00DF6D7C">
      <w:pPr>
        <w:widowControl w:val="0"/>
        <w:numPr>
          <w:ilvl w:val="1"/>
          <w:numId w:val="1"/>
        </w:numPr>
        <w:autoSpaceDE w:val="0"/>
        <w:autoSpaceDN w:val="0"/>
        <w:adjustRightInd w:val="0"/>
        <w:spacing w:after="0" w:line="240" w:lineRule="auto"/>
        <w:rPr>
          <w:rFonts w:cs="Arial"/>
          <w:bCs/>
        </w:rPr>
      </w:pPr>
      <w:r w:rsidRPr="00DF6D7C">
        <w:rPr>
          <w:rFonts w:cs="Arial"/>
          <w:b/>
        </w:rPr>
        <w:t xml:space="preserve">Low impact </w:t>
      </w:r>
      <w:r w:rsidRPr="00DF6D7C">
        <w:rPr>
          <w:rFonts w:cs="Arial"/>
          <w:bCs/>
        </w:rPr>
        <w:t xml:space="preserve">– your complaint has been upheld but there has not been significant inconvenience or distress caused. The impact has been no more than a reasonable person could be expected to accept and the compensation is a token to acknowledge Medway Housing Services </w:t>
      </w:r>
      <w:r w:rsidR="006C06A8" w:rsidRPr="00DF6D7C">
        <w:rPr>
          <w:rFonts w:cs="Arial"/>
          <w:bCs/>
        </w:rPr>
        <w:t>responsibility.</w:t>
      </w:r>
    </w:p>
    <w:p w14:paraId="38387C22" w14:textId="77777777" w:rsidR="00FF01C7" w:rsidRPr="00F8049A" w:rsidRDefault="00FF01C7" w:rsidP="00FF01C7">
      <w:pPr>
        <w:widowControl w:val="0"/>
        <w:autoSpaceDE w:val="0"/>
        <w:autoSpaceDN w:val="0"/>
        <w:adjustRightInd w:val="0"/>
        <w:ind w:left="600"/>
        <w:rPr>
          <w:rFonts w:cs="Arial"/>
          <w:bCs/>
        </w:rPr>
      </w:pPr>
    </w:p>
    <w:p w14:paraId="7FC903EE" w14:textId="51EC019C" w:rsidR="00DF6D7C" w:rsidRDefault="00FF01C7" w:rsidP="00DF6D7C">
      <w:pPr>
        <w:widowControl w:val="0"/>
        <w:numPr>
          <w:ilvl w:val="1"/>
          <w:numId w:val="1"/>
        </w:numPr>
        <w:autoSpaceDE w:val="0"/>
        <w:autoSpaceDN w:val="0"/>
        <w:adjustRightInd w:val="0"/>
        <w:spacing w:after="0" w:line="240" w:lineRule="auto"/>
        <w:rPr>
          <w:rFonts w:cs="Arial"/>
          <w:bCs/>
        </w:rPr>
      </w:pPr>
      <w:r w:rsidRPr="00F8049A">
        <w:rPr>
          <w:rFonts w:cs="Arial"/>
          <w:bCs/>
        </w:rPr>
        <w:t xml:space="preserve"> </w:t>
      </w:r>
      <w:r w:rsidR="00DF6D7C" w:rsidRPr="00DF6D7C">
        <w:rPr>
          <w:rFonts w:cs="Arial"/>
          <w:b/>
          <w:bCs/>
        </w:rPr>
        <w:t>Medium impact</w:t>
      </w:r>
      <w:r w:rsidR="00DF6D7C" w:rsidRPr="00DF6D7C">
        <w:rPr>
          <w:rFonts w:cs="Arial"/>
          <w:bCs/>
        </w:rPr>
        <w:t xml:space="preserve"> – Inconvenience and/or distress has clearly been caused </w:t>
      </w:r>
      <w:proofErr w:type="gramStart"/>
      <w:r w:rsidR="00DF6D7C" w:rsidRPr="00DF6D7C">
        <w:rPr>
          <w:rFonts w:cs="Arial"/>
          <w:bCs/>
        </w:rPr>
        <w:t>as a result of</w:t>
      </w:r>
      <w:proofErr w:type="gramEnd"/>
      <w:r w:rsidR="00DF6D7C" w:rsidRPr="00DF6D7C">
        <w:rPr>
          <w:rFonts w:cs="Arial"/>
          <w:bCs/>
        </w:rPr>
        <w:t xml:space="preserve"> a failure in service. A repeated failure of a low impact event could lead to it being increased to a medium impact.</w:t>
      </w:r>
    </w:p>
    <w:p w14:paraId="244E8104" w14:textId="77777777" w:rsidR="00DF6D7C" w:rsidRDefault="00DF6D7C" w:rsidP="00DF6D7C">
      <w:pPr>
        <w:pStyle w:val="ListParagraph"/>
        <w:rPr>
          <w:rFonts w:cs="Arial"/>
          <w:bCs/>
        </w:rPr>
      </w:pPr>
    </w:p>
    <w:p w14:paraId="66068CA5" w14:textId="51229FCB" w:rsidR="00DF6D7C" w:rsidRDefault="00DF6D7C" w:rsidP="00DF6D7C">
      <w:pPr>
        <w:widowControl w:val="0"/>
        <w:numPr>
          <w:ilvl w:val="1"/>
          <w:numId w:val="1"/>
        </w:numPr>
        <w:autoSpaceDE w:val="0"/>
        <w:autoSpaceDN w:val="0"/>
        <w:adjustRightInd w:val="0"/>
        <w:spacing w:after="0" w:line="240" w:lineRule="auto"/>
        <w:rPr>
          <w:rFonts w:cs="Arial"/>
          <w:bCs/>
        </w:rPr>
      </w:pPr>
      <w:r w:rsidRPr="00DF6D7C">
        <w:rPr>
          <w:rFonts w:cs="Arial"/>
          <w:b/>
        </w:rPr>
        <w:t>High impact</w:t>
      </w:r>
      <w:r w:rsidRPr="00DF6D7C">
        <w:rPr>
          <w:rFonts w:cs="Arial"/>
          <w:bCs/>
        </w:rPr>
        <w:t xml:space="preserve"> – A serious failure in service has taken place. This could either be due to the severity of the event or a persistent failure has occurred over a prolonged </w:t>
      </w:r>
      <w:proofErr w:type="gramStart"/>
      <w:r w:rsidRPr="00DF6D7C">
        <w:rPr>
          <w:rFonts w:cs="Arial"/>
          <w:bCs/>
        </w:rPr>
        <w:t>period of time</w:t>
      </w:r>
      <w:proofErr w:type="gramEnd"/>
      <w:r w:rsidRPr="00DF6D7C">
        <w:rPr>
          <w:rFonts w:cs="Arial"/>
          <w:bCs/>
        </w:rPr>
        <w:t xml:space="preserve">, or an unacceptable number of attempts to resolve the complaint have failed.     </w:t>
      </w:r>
    </w:p>
    <w:p w14:paraId="4E1ACC97" w14:textId="77777777" w:rsidR="00DF6D7C" w:rsidRDefault="00DF6D7C" w:rsidP="00DF6D7C">
      <w:pPr>
        <w:pStyle w:val="ListParagraph"/>
        <w:rPr>
          <w:rFonts w:cs="Arial"/>
          <w:bCs/>
        </w:rPr>
      </w:pPr>
    </w:p>
    <w:p w14:paraId="6854C12D" w14:textId="6DD25949" w:rsidR="00DF6D7C" w:rsidRDefault="00DF6D7C" w:rsidP="00DF6D7C">
      <w:pPr>
        <w:pStyle w:val="Heading3"/>
      </w:pPr>
      <w:bookmarkStart w:id="2" w:name="_Hlk112086536"/>
      <w:r>
        <w:t>Compensation notes</w:t>
      </w:r>
    </w:p>
    <w:bookmarkEnd w:id="2"/>
    <w:p w14:paraId="38591F84" w14:textId="42F87FCD" w:rsidR="00DF6D7C" w:rsidRDefault="00DF6D7C" w:rsidP="00DF6D7C">
      <w:pPr>
        <w:widowControl w:val="0"/>
        <w:numPr>
          <w:ilvl w:val="1"/>
          <w:numId w:val="1"/>
        </w:numPr>
        <w:autoSpaceDE w:val="0"/>
        <w:autoSpaceDN w:val="0"/>
        <w:adjustRightInd w:val="0"/>
        <w:spacing w:after="0" w:line="240" w:lineRule="auto"/>
        <w:rPr>
          <w:rFonts w:cs="Arial"/>
          <w:bCs/>
        </w:rPr>
      </w:pPr>
      <w:r w:rsidRPr="00DF6D7C">
        <w:rPr>
          <w:rFonts w:cs="Arial"/>
          <w:bCs/>
        </w:rPr>
        <w:t xml:space="preserve">Compensation will typically be awarded only when the complaint investigation has concluded.    </w:t>
      </w:r>
    </w:p>
    <w:p w14:paraId="524BC3FF" w14:textId="77777777" w:rsidR="00DF6D7C" w:rsidRPr="00DF6D7C" w:rsidRDefault="00DF6D7C" w:rsidP="00DF6D7C">
      <w:pPr>
        <w:widowControl w:val="0"/>
        <w:autoSpaceDE w:val="0"/>
        <w:autoSpaceDN w:val="0"/>
        <w:adjustRightInd w:val="0"/>
        <w:spacing w:after="0" w:line="240" w:lineRule="auto"/>
        <w:ind w:left="720"/>
        <w:rPr>
          <w:rFonts w:cs="Arial"/>
          <w:bCs/>
        </w:rPr>
      </w:pPr>
    </w:p>
    <w:p w14:paraId="69FF03BC" w14:textId="20F4ECE5" w:rsidR="00FF01C7" w:rsidRDefault="00DF6D7C" w:rsidP="00FF01C7">
      <w:pPr>
        <w:widowControl w:val="0"/>
        <w:numPr>
          <w:ilvl w:val="1"/>
          <w:numId w:val="1"/>
        </w:numPr>
        <w:autoSpaceDE w:val="0"/>
        <w:autoSpaceDN w:val="0"/>
        <w:adjustRightInd w:val="0"/>
        <w:spacing w:after="0" w:line="240" w:lineRule="auto"/>
        <w:rPr>
          <w:rFonts w:cs="Arial"/>
          <w:bCs/>
        </w:rPr>
      </w:pPr>
      <w:r w:rsidRPr="00DF6D7C">
        <w:rPr>
          <w:rFonts w:cs="Arial"/>
          <w:bCs/>
        </w:rPr>
        <w:t>In general, we will deduct any arrears or money owed to Medway Housing Services from the compensation prior to it being paid to the resident.</w:t>
      </w:r>
    </w:p>
    <w:p w14:paraId="3C92CF56" w14:textId="77777777" w:rsidR="006C06A8" w:rsidRDefault="006C06A8" w:rsidP="006C06A8">
      <w:pPr>
        <w:pStyle w:val="ListParagraph"/>
        <w:rPr>
          <w:rFonts w:cs="Arial"/>
          <w:bCs/>
        </w:rPr>
      </w:pPr>
    </w:p>
    <w:p w14:paraId="1AFA6A85" w14:textId="7CF955D2" w:rsidR="00DF6D7C" w:rsidRDefault="006C06A8" w:rsidP="006C06A8">
      <w:pPr>
        <w:widowControl w:val="0"/>
        <w:numPr>
          <w:ilvl w:val="1"/>
          <w:numId w:val="1"/>
        </w:numPr>
        <w:autoSpaceDE w:val="0"/>
        <w:autoSpaceDN w:val="0"/>
        <w:adjustRightInd w:val="0"/>
        <w:spacing w:after="0" w:line="240" w:lineRule="auto"/>
        <w:rPr>
          <w:rFonts w:cs="Arial"/>
          <w:bCs/>
        </w:rPr>
      </w:pPr>
      <w:r w:rsidRPr="006C06A8">
        <w:rPr>
          <w:rFonts w:cs="Arial"/>
          <w:bCs/>
        </w:rPr>
        <w:lastRenderedPageBreak/>
        <w:t>The amounts in the Compensation Table can be influenced by other outside factors such as, compensation amounts paid by Contractors/Services who are acting on behalf of Medway Council Housing Services.  In such cases it may be decided that payments made by such services are sufficient to redress any complaints upheld.</w:t>
      </w:r>
      <w:bookmarkStart w:id="3" w:name="_Hlk112086642"/>
    </w:p>
    <w:p w14:paraId="045E5347" w14:textId="77777777" w:rsidR="006C06A8" w:rsidRPr="006C06A8" w:rsidRDefault="006C06A8" w:rsidP="006C06A8">
      <w:pPr>
        <w:widowControl w:val="0"/>
        <w:autoSpaceDE w:val="0"/>
        <w:autoSpaceDN w:val="0"/>
        <w:adjustRightInd w:val="0"/>
        <w:spacing w:after="0" w:line="240" w:lineRule="auto"/>
        <w:rPr>
          <w:rFonts w:cs="Arial"/>
          <w:bCs/>
        </w:rPr>
      </w:pPr>
    </w:p>
    <w:p w14:paraId="0226E1DB" w14:textId="1B1F730F" w:rsidR="00DF6D7C" w:rsidRPr="00DF6D7C" w:rsidRDefault="00DF6D7C" w:rsidP="00DF6D7C">
      <w:pPr>
        <w:keepNext/>
        <w:keepLines/>
        <w:spacing w:before="40" w:after="0"/>
        <w:outlineLvl w:val="2"/>
        <w:rPr>
          <w:rFonts w:asciiTheme="majorHAnsi" w:eastAsiaTheme="majorEastAsia" w:hAnsiTheme="majorHAnsi" w:cstheme="majorBidi"/>
          <w:color w:val="1F4D78" w:themeColor="accent1" w:themeShade="7F"/>
          <w:sz w:val="24"/>
          <w:szCs w:val="24"/>
        </w:rPr>
      </w:pPr>
      <w:r w:rsidRPr="00DF6D7C">
        <w:rPr>
          <w:rFonts w:asciiTheme="majorHAnsi" w:eastAsiaTheme="majorEastAsia" w:hAnsiTheme="majorHAnsi" w:cstheme="majorBidi"/>
          <w:color w:val="1F4D78" w:themeColor="accent1" w:themeShade="7F"/>
          <w:sz w:val="24"/>
          <w:szCs w:val="24"/>
        </w:rPr>
        <w:t>Compensation notes</w:t>
      </w:r>
      <w:bookmarkEnd w:id="3"/>
    </w:p>
    <w:p w14:paraId="4C9DEA41" w14:textId="2E6C43B8" w:rsidR="00FF01C7" w:rsidRDefault="00DF6D7C" w:rsidP="00FF01C7">
      <w:pPr>
        <w:widowControl w:val="0"/>
        <w:numPr>
          <w:ilvl w:val="1"/>
          <w:numId w:val="1"/>
        </w:numPr>
        <w:autoSpaceDE w:val="0"/>
        <w:autoSpaceDN w:val="0"/>
        <w:adjustRightInd w:val="0"/>
        <w:spacing w:after="0" w:line="240" w:lineRule="auto"/>
        <w:rPr>
          <w:rFonts w:cs="Arial"/>
          <w:bCs/>
        </w:rPr>
      </w:pPr>
      <w:r w:rsidRPr="00DF6D7C">
        <w:rPr>
          <w:rFonts w:cs="Arial"/>
          <w:bCs/>
        </w:rPr>
        <w:t xml:space="preserve">Compensation will typically be awarded only when the complaint investigation has concluded.    </w:t>
      </w:r>
    </w:p>
    <w:p w14:paraId="6130A9A3" w14:textId="77777777" w:rsidR="00FF01C7" w:rsidRPr="00F8049A" w:rsidRDefault="00FF01C7" w:rsidP="00FF01C7">
      <w:pPr>
        <w:widowControl w:val="0"/>
        <w:autoSpaceDE w:val="0"/>
        <w:autoSpaceDN w:val="0"/>
        <w:adjustRightInd w:val="0"/>
        <w:rPr>
          <w:rFonts w:cs="Arial"/>
          <w:bCs/>
        </w:rPr>
      </w:pPr>
    </w:p>
    <w:p w14:paraId="68E30AF3" w14:textId="7C3BB67E" w:rsidR="00DF6D7C" w:rsidRDefault="00FF01C7" w:rsidP="00DF6D7C">
      <w:pPr>
        <w:widowControl w:val="0"/>
        <w:numPr>
          <w:ilvl w:val="1"/>
          <w:numId w:val="1"/>
        </w:numPr>
        <w:autoSpaceDE w:val="0"/>
        <w:autoSpaceDN w:val="0"/>
        <w:adjustRightInd w:val="0"/>
        <w:spacing w:after="0" w:line="240" w:lineRule="auto"/>
        <w:rPr>
          <w:rFonts w:cs="Arial"/>
          <w:bCs/>
        </w:rPr>
      </w:pPr>
      <w:r>
        <w:rPr>
          <w:rFonts w:cs="Arial"/>
          <w:bCs/>
        </w:rPr>
        <w:t xml:space="preserve"> </w:t>
      </w:r>
      <w:bookmarkStart w:id="4" w:name="_Hlk112086521"/>
      <w:r w:rsidR="00DF6D7C" w:rsidRPr="00DF6D7C">
        <w:rPr>
          <w:rFonts w:cs="Arial"/>
          <w:bCs/>
        </w:rPr>
        <w:t xml:space="preserve">In general, </w:t>
      </w:r>
      <w:bookmarkStart w:id="5" w:name="_Hlk111203564"/>
      <w:r w:rsidR="00DF6D7C" w:rsidRPr="00DF6D7C">
        <w:rPr>
          <w:rFonts w:cs="Arial"/>
          <w:bCs/>
        </w:rPr>
        <w:t>we will deduct any arrears or money owed to Medway Housing Services from the compensation prior to it being paid to the resident.</w:t>
      </w:r>
    </w:p>
    <w:p w14:paraId="78EA6421" w14:textId="77777777" w:rsidR="00622FE2" w:rsidRDefault="00622FE2" w:rsidP="00622FE2">
      <w:pPr>
        <w:pStyle w:val="ListParagraph"/>
        <w:rPr>
          <w:rFonts w:cs="Arial"/>
          <w:bCs/>
        </w:rPr>
      </w:pPr>
    </w:p>
    <w:p w14:paraId="19D4EBD3" w14:textId="368D5A96" w:rsidR="00DF6D7C" w:rsidRPr="00622FE2" w:rsidRDefault="00622FE2" w:rsidP="00622FE2">
      <w:pPr>
        <w:keepNext/>
        <w:keepLines/>
        <w:spacing w:before="40" w:after="0"/>
        <w:outlineLvl w:val="2"/>
        <w:rPr>
          <w:rFonts w:asciiTheme="majorHAnsi" w:eastAsiaTheme="majorEastAsia" w:hAnsiTheme="majorHAnsi" w:cstheme="majorBidi"/>
          <w:color w:val="1F4D78" w:themeColor="accent1" w:themeShade="7F"/>
          <w:sz w:val="24"/>
          <w:szCs w:val="24"/>
        </w:rPr>
      </w:pPr>
      <w:bookmarkStart w:id="6" w:name="_Hlk112086794"/>
      <w:r>
        <w:rPr>
          <w:rFonts w:asciiTheme="majorHAnsi" w:eastAsiaTheme="majorEastAsia" w:hAnsiTheme="majorHAnsi" w:cstheme="majorBidi"/>
          <w:color w:val="1F4D78" w:themeColor="accent1" w:themeShade="7F"/>
          <w:sz w:val="24"/>
          <w:szCs w:val="24"/>
        </w:rPr>
        <w:t>Authorisation of compensation payments</w:t>
      </w:r>
      <w:bookmarkEnd w:id="6"/>
    </w:p>
    <w:bookmarkEnd w:id="4"/>
    <w:bookmarkEnd w:id="5"/>
    <w:p w14:paraId="22E8ACE1" w14:textId="78E6B136" w:rsidR="00FF01C7" w:rsidRDefault="00622FE2" w:rsidP="00FF01C7">
      <w:pPr>
        <w:widowControl w:val="0"/>
        <w:numPr>
          <w:ilvl w:val="1"/>
          <w:numId w:val="1"/>
        </w:numPr>
        <w:autoSpaceDE w:val="0"/>
        <w:autoSpaceDN w:val="0"/>
        <w:adjustRightInd w:val="0"/>
        <w:spacing w:after="0" w:line="240" w:lineRule="auto"/>
        <w:rPr>
          <w:rFonts w:cs="Arial"/>
          <w:bCs/>
        </w:rPr>
      </w:pPr>
      <w:r w:rsidRPr="00622FE2">
        <w:rPr>
          <w:rFonts w:cs="Arial"/>
          <w:bCs/>
        </w:rPr>
        <w:t>Authorisation levels for compensation are as follows:</w:t>
      </w:r>
    </w:p>
    <w:p w14:paraId="45294DD1" w14:textId="1CA4F9D0" w:rsidR="00622FE2" w:rsidRDefault="00622FE2" w:rsidP="00622FE2">
      <w:pPr>
        <w:pStyle w:val="ListParagraph"/>
        <w:numPr>
          <w:ilvl w:val="2"/>
          <w:numId w:val="1"/>
        </w:numPr>
        <w:rPr>
          <w:rFonts w:cs="Arial"/>
          <w:bCs/>
        </w:rPr>
      </w:pPr>
      <w:r w:rsidRPr="00622FE2">
        <w:rPr>
          <w:rFonts w:cs="Arial"/>
          <w:bCs/>
        </w:rPr>
        <w:t xml:space="preserve">£10 to £250 – Departmental Agreement </w:t>
      </w:r>
    </w:p>
    <w:p w14:paraId="51B89553" w14:textId="77777777" w:rsidR="00622FE2" w:rsidRPr="00622FE2" w:rsidRDefault="00622FE2" w:rsidP="00622FE2">
      <w:pPr>
        <w:pStyle w:val="ListParagraph"/>
        <w:numPr>
          <w:ilvl w:val="2"/>
          <w:numId w:val="1"/>
        </w:numPr>
        <w:rPr>
          <w:rFonts w:cs="Arial"/>
          <w:bCs/>
        </w:rPr>
      </w:pPr>
      <w:r w:rsidRPr="00622FE2">
        <w:rPr>
          <w:rFonts w:cs="Arial"/>
          <w:bCs/>
        </w:rPr>
        <w:t>£250 to £5,000 – Head of Service</w:t>
      </w:r>
    </w:p>
    <w:p w14:paraId="4D16EA6E" w14:textId="77777777" w:rsidR="00622FE2" w:rsidRPr="00622FE2" w:rsidRDefault="00622FE2" w:rsidP="00622FE2">
      <w:pPr>
        <w:pStyle w:val="ListParagraph"/>
        <w:numPr>
          <w:ilvl w:val="2"/>
          <w:numId w:val="1"/>
        </w:numPr>
        <w:rPr>
          <w:rFonts w:cs="Arial"/>
          <w:bCs/>
        </w:rPr>
      </w:pPr>
      <w:r w:rsidRPr="00622FE2">
        <w:rPr>
          <w:rFonts w:cs="Arial"/>
          <w:bCs/>
        </w:rPr>
        <w:t>£5,000 to £10,000 – Director</w:t>
      </w:r>
    </w:p>
    <w:p w14:paraId="0ECE3CEE" w14:textId="6431424A" w:rsidR="00622FE2" w:rsidRDefault="00622FE2" w:rsidP="00622FE2">
      <w:pPr>
        <w:pStyle w:val="ListParagraph"/>
        <w:numPr>
          <w:ilvl w:val="2"/>
          <w:numId w:val="1"/>
        </w:numPr>
        <w:rPr>
          <w:rFonts w:cs="Arial"/>
          <w:bCs/>
        </w:rPr>
      </w:pPr>
      <w:r w:rsidRPr="00622FE2">
        <w:rPr>
          <w:rFonts w:cs="Arial"/>
          <w:bCs/>
        </w:rPr>
        <w:t>Over £10,000 – Cabinet</w:t>
      </w:r>
    </w:p>
    <w:p w14:paraId="3C33EF71" w14:textId="2BB0BE9D" w:rsidR="00622FE2" w:rsidRPr="00622FE2" w:rsidRDefault="00622FE2" w:rsidP="00622FE2">
      <w:pPr>
        <w:keepNext/>
        <w:keepLines/>
        <w:spacing w:before="40" w:after="0"/>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Housing Ombudsman</w:t>
      </w:r>
    </w:p>
    <w:p w14:paraId="7E4CD26B" w14:textId="7FD2BF58" w:rsidR="00622FE2" w:rsidRPr="00622FE2" w:rsidRDefault="00622FE2" w:rsidP="00622FE2">
      <w:pPr>
        <w:pStyle w:val="ListParagraph"/>
        <w:numPr>
          <w:ilvl w:val="1"/>
          <w:numId w:val="1"/>
        </w:numPr>
        <w:rPr>
          <w:rFonts w:cs="Arial"/>
          <w:bCs/>
        </w:rPr>
      </w:pPr>
      <w:r w:rsidRPr="00622FE2">
        <w:rPr>
          <w:rFonts w:cs="Arial"/>
          <w:bCs/>
        </w:rPr>
        <w:t>This compensation policy does not apply where a resident has made a claim for compensation via the Housing Ombudsman.  In such cases the Council will pay compensation as directed by the Ombudsman.</w:t>
      </w:r>
    </w:p>
    <w:p w14:paraId="00106A4C" w14:textId="5E99EE53" w:rsidR="00622FE2" w:rsidRDefault="00622FE2" w:rsidP="00622FE2">
      <w:pPr>
        <w:pStyle w:val="ListParagraph"/>
        <w:ind w:left="1080"/>
        <w:rPr>
          <w:rFonts w:cs="Arial"/>
          <w:bCs/>
        </w:rPr>
      </w:pPr>
    </w:p>
    <w:p w14:paraId="5258CE4D" w14:textId="77777777" w:rsidR="00622FE2" w:rsidRPr="00622FE2" w:rsidRDefault="00622FE2" w:rsidP="00622FE2">
      <w:pPr>
        <w:pStyle w:val="ListParagraph"/>
        <w:ind w:left="1080"/>
        <w:rPr>
          <w:rFonts w:cs="Arial"/>
          <w:bCs/>
        </w:rPr>
      </w:pPr>
    </w:p>
    <w:p w14:paraId="533D0556" w14:textId="58A62DD2" w:rsidR="00AA150F" w:rsidRDefault="00AA150F" w:rsidP="00AA150F">
      <w:pPr>
        <w:pStyle w:val="Heading1"/>
        <w:numPr>
          <w:ilvl w:val="0"/>
          <w:numId w:val="1"/>
        </w:numPr>
      </w:pPr>
      <w:r>
        <w:t>Role, responsibilities</w:t>
      </w:r>
      <w:r w:rsidR="00B03F26">
        <w:t>,</w:t>
      </w:r>
      <w:r>
        <w:t xml:space="preserve"> and authority</w:t>
      </w:r>
    </w:p>
    <w:p w14:paraId="670286A9" w14:textId="77777777" w:rsidR="00FF01C7" w:rsidRPr="00FE1F4F" w:rsidRDefault="00FF01C7" w:rsidP="00FF01C7">
      <w:pPr>
        <w:numPr>
          <w:ilvl w:val="1"/>
          <w:numId w:val="1"/>
        </w:numPr>
        <w:autoSpaceDE w:val="0"/>
        <w:autoSpaceDN w:val="0"/>
        <w:adjustRightInd w:val="0"/>
        <w:spacing w:after="0" w:line="240" w:lineRule="auto"/>
        <w:rPr>
          <w:rFonts w:cs="Arial"/>
        </w:rPr>
      </w:pPr>
      <w:r w:rsidRPr="00FE1F4F">
        <w:rPr>
          <w:rFonts w:cs="Arial"/>
        </w:rPr>
        <w:t>The Assistant Director of Physical and Cultural Regeneration retains the overall responsibility for the implementation of this policy.</w:t>
      </w:r>
    </w:p>
    <w:p w14:paraId="66F4FA1A" w14:textId="77777777" w:rsidR="00FF01C7" w:rsidRPr="00FE1F4F" w:rsidRDefault="00FF01C7" w:rsidP="00FF01C7">
      <w:pPr>
        <w:autoSpaceDE w:val="0"/>
        <w:autoSpaceDN w:val="0"/>
        <w:adjustRightInd w:val="0"/>
        <w:ind w:left="600" w:hanging="480"/>
        <w:rPr>
          <w:rFonts w:cs="Arial"/>
        </w:rPr>
      </w:pPr>
    </w:p>
    <w:p w14:paraId="5F2BA92F" w14:textId="77777777" w:rsidR="00FF01C7" w:rsidRPr="00FE1F4F" w:rsidRDefault="00FF01C7" w:rsidP="00FF01C7">
      <w:pPr>
        <w:numPr>
          <w:ilvl w:val="1"/>
          <w:numId w:val="1"/>
        </w:numPr>
        <w:autoSpaceDE w:val="0"/>
        <w:autoSpaceDN w:val="0"/>
        <w:adjustRightInd w:val="0"/>
        <w:spacing w:after="0" w:line="240" w:lineRule="auto"/>
        <w:rPr>
          <w:rFonts w:cs="Arial"/>
        </w:rPr>
      </w:pPr>
      <w:r w:rsidRPr="00FE1F4F">
        <w:rPr>
          <w:rFonts w:cs="Arial"/>
        </w:rPr>
        <w:t>The Head of Housing is responsible for the operational delivery of this policy and the associated procedures. This includes responsibility for monitoring and reviewing, staff awareness and training, policy development and communication to tenants.</w:t>
      </w:r>
    </w:p>
    <w:p w14:paraId="290665F0" w14:textId="77777777" w:rsidR="00CB11CD" w:rsidRPr="00CB11CD" w:rsidRDefault="00CB11CD" w:rsidP="00CB11CD"/>
    <w:p w14:paraId="7581774F" w14:textId="6C998592" w:rsidR="00AA150F" w:rsidRDefault="00AA150F" w:rsidP="00AA150F">
      <w:pPr>
        <w:pStyle w:val="Heading1"/>
        <w:numPr>
          <w:ilvl w:val="0"/>
          <w:numId w:val="1"/>
        </w:numPr>
      </w:pPr>
      <w:r>
        <w:t>Monitoring, review</w:t>
      </w:r>
      <w:r w:rsidR="00B03F26">
        <w:t>,</w:t>
      </w:r>
      <w:r>
        <w:t xml:space="preserve"> and evaluation</w:t>
      </w:r>
    </w:p>
    <w:p w14:paraId="02CB0AB6" w14:textId="77777777" w:rsidR="00FF01C7" w:rsidRDefault="00FF01C7" w:rsidP="00FF01C7">
      <w:pPr>
        <w:pStyle w:val="ListParagraph"/>
        <w:numPr>
          <w:ilvl w:val="1"/>
          <w:numId w:val="1"/>
        </w:numPr>
        <w:spacing w:after="0" w:line="240" w:lineRule="auto"/>
        <w:contextualSpacing w:val="0"/>
      </w:pPr>
      <w:r w:rsidRPr="001C6CC8">
        <w:rPr>
          <w:lang w:eastAsia="en-GB"/>
        </w:rPr>
        <w:t>This policy will accompany the Councils corporate complaints procedure.</w:t>
      </w:r>
    </w:p>
    <w:p w14:paraId="4266A915" w14:textId="77777777" w:rsidR="00FF01C7" w:rsidRDefault="00FF01C7" w:rsidP="00FF01C7">
      <w:pPr>
        <w:pStyle w:val="ListParagraph"/>
        <w:numPr>
          <w:ilvl w:val="1"/>
          <w:numId w:val="1"/>
        </w:numPr>
        <w:spacing w:after="0" w:line="240" w:lineRule="auto"/>
        <w:contextualSpacing w:val="0"/>
      </w:pPr>
      <w:r w:rsidRPr="001C6CC8">
        <w:rPr>
          <w:lang w:eastAsia="en-GB"/>
        </w:rPr>
        <w:t xml:space="preserve">Payments of compensation and redress will be documented and monitored through the compensation policy.  </w:t>
      </w:r>
    </w:p>
    <w:p w14:paraId="7771509C" w14:textId="77777777" w:rsidR="00FF01C7" w:rsidRPr="00E878A2" w:rsidRDefault="00FF01C7" w:rsidP="00FF01C7">
      <w:pPr>
        <w:pStyle w:val="ListParagraph"/>
        <w:numPr>
          <w:ilvl w:val="1"/>
          <w:numId w:val="1"/>
        </w:numPr>
        <w:spacing w:after="0" w:line="240" w:lineRule="auto"/>
        <w:contextualSpacing w:val="0"/>
      </w:pPr>
      <w:r w:rsidRPr="001C6CC8">
        <w:rPr>
          <w:lang w:eastAsia="en-GB"/>
        </w:rPr>
        <w:t>Regular monitoring will take place to ensure that Housing Services is dealing with applications for compensation for improvement work in line with this policy.</w:t>
      </w:r>
      <w:r>
        <w:rPr>
          <w:lang w:eastAsia="en-GB"/>
        </w:rPr>
        <w:t xml:space="preserve"> </w:t>
      </w:r>
      <w:r w:rsidRPr="00E878A2">
        <w:rPr>
          <w:rFonts w:cs="Arial"/>
          <w:lang w:eastAsia="en-GB"/>
        </w:rPr>
        <w:t xml:space="preserve">The results will be used by Housing Services to inform future policy review in this area and </w:t>
      </w:r>
      <w:proofErr w:type="gramStart"/>
      <w:r w:rsidRPr="00E878A2">
        <w:rPr>
          <w:rFonts w:cs="Arial"/>
          <w:lang w:eastAsia="en-GB"/>
        </w:rPr>
        <w:t>drive up</w:t>
      </w:r>
      <w:proofErr w:type="gramEnd"/>
      <w:r w:rsidRPr="00E878A2">
        <w:rPr>
          <w:rFonts w:cs="Arial"/>
          <w:lang w:eastAsia="en-GB"/>
        </w:rPr>
        <w:t xml:space="preserve"> service standards. All reviews will consider whether:</w:t>
      </w:r>
    </w:p>
    <w:p w14:paraId="512E7A8A" w14:textId="49A268A2" w:rsidR="00FF01C7" w:rsidRPr="00E878A2" w:rsidRDefault="00FF01C7" w:rsidP="00FF01C7">
      <w:pPr>
        <w:pStyle w:val="ListParagraph"/>
        <w:numPr>
          <w:ilvl w:val="2"/>
          <w:numId w:val="1"/>
        </w:numPr>
        <w:spacing w:after="0" w:line="240" w:lineRule="auto"/>
        <w:contextualSpacing w:val="0"/>
      </w:pPr>
      <w:r w:rsidRPr="00E878A2">
        <w:rPr>
          <w:lang w:eastAsia="en-GB"/>
        </w:rPr>
        <w:t>The</w:t>
      </w:r>
      <w:r w:rsidRPr="00E878A2">
        <w:rPr>
          <w:rFonts w:cs="Arial"/>
          <w:lang w:eastAsia="en-GB"/>
        </w:rPr>
        <w:t xml:space="preserve"> current policy adheres to legislative and regulatory </w:t>
      </w:r>
      <w:proofErr w:type="gramStart"/>
      <w:r w:rsidRPr="00E878A2">
        <w:rPr>
          <w:rFonts w:cs="Arial"/>
          <w:lang w:eastAsia="en-GB"/>
        </w:rPr>
        <w:t>requirements, and</w:t>
      </w:r>
      <w:proofErr w:type="gramEnd"/>
      <w:r w:rsidRPr="00E878A2">
        <w:rPr>
          <w:rFonts w:cs="Arial"/>
          <w:lang w:eastAsia="en-GB"/>
        </w:rPr>
        <w:t xml:space="preserve"> reflects current good practice</w:t>
      </w:r>
      <w:r w:rsidR="00622FE2">
        <w:rPr>
          <w:rFonts w:cs="Arial"/>
          <w:lang w:eastAsia="en-GB"/>
        </w:rPr>
        <w:t>.</w:t>
      </w:r>
    </w:p>
    <w:p w14:paraId="7F1FE25C" w14:textId="4D25FA3A" w:rsidR="00FF01C7" w:rsidRPr="00E878A2" w:rsidRDefault="00FF01C7" w:rsidP="00FF01C7">
      <w:pPr>
        <w:pStyle w:val="ListParagraph"/>
        <w:numPr>
          <w:ilvl w:val="2"/>
          <w:numId w:val="1"/>
        </w:numPr>
        <w:spacing w:after="0" w:line="240" w:lineRule="auto"/>
        <w:contextualSpacing w:val="0"/>
      </w:pPr>
      <w:r w:rsidRPr="00E878A2">
        <w:rPr>
          <w:lang w:eastAsia="en-GB"/>
        </w:rPr>
        <w:t>The</w:t>
      </w:r>
      <w:r w:rsidRPr="00E878A2">
        <w:rPr>
          <w:rFonts w:cs="Arial"/>
          <w:lang w:eastAsia="en-GB"/>
        </w:rPr>
        <w:t xml:space="preserve"> aims and objectives of the policy being </w:t>
      </w:r>
      <w:r w:rsidR="00622FE2" w:rsidRPr="00E878A2">
        <w:rPr>
          <w:rFonts w:cs="Arial"/>
          <w:lang w:eastAsia="en-GB"/>
        </w:rPr>
        <w:t>met.</w:t>
      </w:r>
    </w:p>
    <w:p w14:paraId="053BE8A6" w14:textId="47C9D5D4" w:rsidR="00FF01C7" w:rsidRPr="00E878A2" w:rsidRDefault="00FF01C7" w:rsidP="00FF01C7">
      <w:pPr>
        <w:pStyle w:val="ListParagraph"/>
        <w:numPr>
          <w:ilvl w:val="2"/>
          <w:numId w:val="1"/>
        </w:numPr>
        <w:spacing w:after="0" w:line="240" w:lineRule="auto"/>
        <w:contextualSpacing w:val="0"/>
      </w:pPr>
      <w:r w:rsidRPr="00E878A2">
        <w:rPr>
          <w:lang w:eastAsia="en-GB"/>
        </w:rPr>
        <w:lastRenderedPageBreak/>
        <w:t>The</w:t>
      </w:r>
      <w:r w:rsidRPr="00E878A2">
        <w:rPr>
          <w:rFonts w:cs="Arial"/>
          <w:lang w:eastAsia="en-GB"/>
        </w:rPr>
        <w:t xml:space="preserve"> current policy outcomes meet the needs and aspirations of our diverse customer base</w:t>
      </w:r>
      <w:r w:rsidR="00622FE2">
        <w:rPr>
          <w:rFonts w:cs="Arial"/>
          <w:lang w:eastAsia="en-GB"/>
        </w:rPr>
        <w:t>.</w:t>
      </w:r>
    </w:p>
    <w:p w14:paraId="6658DA48" w14:textId="6564FCA9" w:rsidR="00FF01C7" w:rsidRPr="00E878A2" w:rsidRDefault="00FF01C7" w:rsidP="00FF01C7">
      <w:pPr>
        <w:pStyle w:val="ListParagraph"/>
        <w:numPr>
          <w:ilvl w:val="2"/>
          <w:numId w:val="1"/>
        </w:numPr>
        <w:spacing w:after="0" w:line="240" w:lineRule="auto"/>
        <w:contextualSpacing w:val="0"/>
      </w:pPr>
      <w:r w:rsidRPr="00E878A2">
        <w:rPr>
          <w:lang w:eastAsia="en-GB"/>
        </w:rPr>
        <w:t>Service</w:t>
      </w:r>
      <w:r w:rsidRPr="00E878A2">
        <w:rPr>
          <w:rFonts w:cs="Arial"/>
          <w:lang w:eastAsia="en-GB"/>
        </w:rPr>
        <w:t xml:space="preserve"> users are aware of and understand the policy and believe it to be consistent and fair</w:t>
      </w:r>
      <w:r w:rsidR="00622FE2">
        <w:rPr>
          <w:rFonts w:cs="Arial"/>
          <w:lang w:eastAsia="en-GB"/>
        </w:rPr>
        <w:t>.</w:t>
      </w:r>
    </w:p>
    <w:p w14:paraId="79BADBE9" w14:textId="513181E2" w:rsidR="00FF01C7" w:rsidRPr="00E878A2" w:rsidRDefault="00FF01C7" w:rsidP="00FF01C7">
      <w:pPr>
        <w:pStyle w:val="ListParagraph"/>
        <w:numPr>
          <w:ilvl w:val="2"/>
          <w:numId w:val="1"/>
        </w:numPr>
        <w:spacing w:after="0" w:line="240" w:lineRule="auto"/>
        <w:contextualSpacing w:val="0"/>
      </w:pPr>
      <w:r w:rsidRPr="00E878A2">
        <w:rPr>
          <w:lang w:eastAsia="en-GB"/>
        </w:rPr>
        <w:t>The</w:t>
      </w:r>
      <w:r w:rsidRPr="00E878A2">
        <w:rPr>
          <w:rFonts w:cs="Arial"/>
          <w:lang w:eastAsia="en-GB"/>
        </w:rPr>
        <w:t xml:space="preserve"> service offers value for money</w:t>
      </w:r>
      <w:r w:rsidR="00622FE2">
        <w:rPr>
          <w:rFonts w:cs="Arial"/>
          <w:lang w:eastAsia="en-GB"/>
        </w:rPr>
        <w:t>.</w:t>
      </w:r>
    </w:p>
    <w:p w14:paraId="10937F18" w14:textId="77777777" w:rsidR="00FF01C7" w:rsidRPr="00FF01C7" w:rsidRDefault="00FF01C7" w:rsidP="00FF01C7">
      <w:pPr>
        <w:pStyle w:val="ListParagraph"/>
        <w:numPr>
          <w:ilvl w:val="2"/>
          <w:numId w:val="1"/>
        </w:numPr>
        <w:spacing w:after="0" w:line="240" w:lineRule="auto"/>
        <w:contextualSpacing w:val="0"/>
      </w:pPr>
      <w:r w:rsidRPr="00E878A2">
        <w:rPr>
          <w:rFonts w:cs="Arial"/>
          <w:lang w:eastAsia="en-GB"/>
        </w:rPr>
        <w:t>Partnership arrangements are working effectively.</w:t>
      </w:r>
    </w:p>
    <w:p w14:paraId="057F8288" w14:textId="77777777" w:rsidR="00CB11CD" w:rsidRPr="00FF01C7" w:rsidRDefault="00FF01C7" w:rsidP="00FF01C7">
      <w:pPr>
        <w:pStyle w:val="ListParagraph"/>
        <w:numPr>
          <w:ilvl w:val="2"/>
          <w:numId w:val="1"/>
        </w:numPr>
        <w:spacing w:after="0" w:line="240" w:lineRule="auto"/>
        <w:contextualSpacing w:val="0"/>
      </w:pPr>
      <w:r w:rsidRPr="00E878A2">
        <w:rPr>
          <w:rFonts w:cs="Arial"/>
        </w:rPr>
        <w:t>This policy will be reviewed on a biennial basis or in line with legislative or regulatory changes.</w:t>
      </w:r>
    </w:p>
    <w:p w14:paraId="07BF4179" w14:textId="77777777" w:rsidR="00CB11CD" w:rsidRDefault="00CB11CD" w:rsidP="00AA150F">
      <w:pPr>
        <w:rPr>
          <w:rFonts w:ascii="Arial" w:eastAsia="Times New Roman" w:hAnsi="Arial" w:cs="Arial"/>
          <w:sz w:val="24"/>
          <w:szCs w:val="24"/>
        </w:rPr>
      </w:pPr>
    </w:p>
    <w:p w14:paraId="4F3F7CEC" w14:textId="19E7E5F2" w:rsidR="00AA150F" w:rsidRDefault="00FF01C7" w:rsidP="00AA150F">
      <w:r>
        <w:t xml:space="preserve">This version published: </w:t>
      </w:r>
      <w:r w:rsidR="008D274E" w:rsidRPr="008D274E">
        <w:t>September 2022</w:t>
      </w:r>
    </w:p>
    <w:p w14:paraId="51A84BE4" w14:textId="3C5C5F93" w:rsidR="006F1DCF" w:rsidRDefault="00FF01C7" w:rsidP="00AA150F">
      <w:r>
        <w:t>Next review due:</w:t>
      </w:r>
      <w:r w:rsidR="008D274E">
        <w:t xml:space="preserve"> September 2024</w:t>
      </w:r>
    </w:p>
    <w:p w14:paraId="2416A608" w14:textId="133FBFCC" w:rsidR="00820263" w:rsidRPr="00622FE2" w:rsidRDefault="00820263" w:rsidP="00820263">
      <w:pPr>
        <w:keepNext/>
        <w:keepLines/>
        <w:spacing w:before="40" w:after="0"/>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Appendix A</w:t>
      </w:r>
    </w:p>
    <w:p w14:paraId="407441B8" w14:textId="2774716E" w:rsidR="006F1DCF" w:rsidRPr="00FE1F4F" w:rsidRDefault="006F1DCF" w:rsidP="006F1DCF">
      <w:pPr>
        <w:autoSpaceDE w:val="0"/>
        <w:autoSpaceDN w:val="0"/>
        <w:adjustRightInd w:val="0"/>
        <w:rPr>
          <w:rFonts w:cs="Arial"/>
          <w:color w:val="231F20"/>
          <w:lang w:eastAsia="en-GB"/>
        </w:rPr>
      </w:pPr>
    </w:p>
    <w:p w14:paraId="470A0C28" w14:textId="77777777" w:rsidR="006F1DCF" w:rsidRPr="00FE1F4F" w:rsidRDefault="006F1DCF" w:rsidP="006F1DCF">
      <w:pPr>
        <w:autoSpaceDE w:val="0"/>
        <w:autoSpaceDN w:val="0"/>
        <w:adjustRightInd w:val="0"/>
        <w:rPr>
          <w:rFonts w:cs="Arial"/>
          <w:color w:val="000000"/>
          <w:lang w:eastAsia="en-GB"/>
        </w:rPr>
      </w:pPr>
      <w:r w:rsidRPr="00FE1F4F">
        <w:rPr>
          <w:rFonts w:cs="Arial"/>
          <w:color w:val="000000"/>
          <w:lang w:eastAsia="en-GB"/>
        </w:rPr>
        <w:t>Qualifying repairs for statutory Right to Repair scheme.</w:t>
      </w:r>
    </w:p>
    <w:p w14:paraId="67812BFA" w14:textId="77777777" w:rsidR="006F1DCF" w:rsidRPr="006F1DCF" w:rsidRDefault="006F1DCF" w:rsidP="006F1DCF">
      <w:pPr>
        <w:autoSpaceDE w:val="0"/>
        <w:autoSpaceDN w:val="0"/>
        <w:adjustRightInd w:val="0"/>
        <w:rPr>
          <w:rFonts w:cs="Arial"/>
          <w:b/>
          <w:bCs/>
          <w:color w:val="000000"/>
          <w:lang w:eastAsia="en-GB"/>
        </w:rPr>
      </w:pPr>
      <w:r w:rsidRPr="00FE1F4F">
        <w:rPr>
          <w:rFonts w:cs="Arial"/>
          <w:b/>
          <w:bCs/>
          <w:color w:val="000000"/>
          <w:lang w:eastAsia="en-GB"/>
        </w:rPr>
        <w:t>Repair prescribed period in working days</w:t>
      </w:r>
    </w:p>
    <w:tbl>
      <w:tblPr>
        <w:tblStyle w:val="PlainTable1"/>
        <w:tblW w:w="0" w:type="auto"/>
        <w:tblLook w:val="04A0" w:firstRow="1" w:lastRow="0" w:firstColumn="1" w:lastColumn="0" w:noHBand="0" w:noVBand="1"/>
        <w:tblCaption w:val="Right to repair table"/>
      </w:tblPr>
      <w:tblGrid>
        <w:gridCol w:w="7428"/>
        <w:gridCol w:w="1054"/>
      </w:tblGrid>
      <w:tr w:rsidR="006F1DCF" w:rsidRPr="00FE1F4F" w14:paraId="798762BE" w14:textId="77777777" w:rsidTr="006F1D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28" w:type="dxa"/>
          </w:tcPr>
          <w:p w14:paraId="618100AB" w14:textId="77777777" w:rsidR="006F1DCF" w:rsidRPr="00FE1F4F" w:rsidRDefault="006F1DCF" w:rsidP="00A32D8B">
            <w:pPr>
              <w:autoSpaceDE w:val="0"/>
              <w:autoSpaceDN w:val="0"/>
              <w:adjustRightInd w:val="0"/>
              <w:rPr>
                <w:rFonts w:cs="Arial"/>
                <w:color w:val="000000"/>
                <w:lang w:eastAsia="en-GB"/>
              </w:rPr>
            </w:pPr>
            <w:r>
              <w:rPr>
                <w:rFonts w:cs="Arial"/>
                <w:color w:val="000000"/>
                <w:lang w:eastAsia="en-GB"/>
              </w:rPr>
              <w:t>Type of repair</w:t>
            </w:r>
          </w:p>
        </w:tc>
        <w:tc>
          <w:tcPr>
            <w:tcW w:w="1054" w:type="dxa"/>
          </w:tcPr>
          <w:p w14:paraId="2D037AB6" w14:textId="77777777" w:rsidR="006F1DCF" w:rsidRPr="00FE1F4F" w:rsidRDefault="006F1DCF" w:rsidP="00A32D8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color w:val="000000"/>
                <w:lang w:eastAsia="en-GB"/>
              </w:rPr>
            </w:pPr>
            <w:r>
              <w:rPr>
                <w:rFonts w:cs="Arial"/>
                <w:color w:val="000000"/>
                <w:lang w:eastAsia="en-GB"/>
              </w:rPr>
              <w:t>Days</w:t>
            </w:r>
          </w:p>
        </w:tc>
      </w:tr>
      <w:tr w:rsidR="006F1DCF" w:rsidRPr="00FE1F4F" w14:paraId="52482418"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59E40FED"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Total loss of electric power</w:t>
            </w:r>
          </w:p>
        </w:tc>
        <w:tc>
          <w:tcPr>
            <w:tcW w:w="1054" w:type="dxa"/>
          </w:tcPr>
          <w:p w14:paraId="1D43EF83"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7419B12F"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349D8CB4"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Partial loss of electric power</w:t>
            </w:r>
          </w:p>
        </w:tc>
        <w:tc>
          <w:tcPr>
            <w:tcW w:w="1054" w:type="dxa"/>
          </w:tcPr>
          <w:p w14:paraId="1B2BA305"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3</w:t>
            </w:r>
          </w:p>
        </w:tc>
      </w:tr>
      <w:tr w:rsidR="006F1DCF" w:rsidRPr="00FE1F4F" w14:paraId="36FBB976"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18AF4506"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Unsafe power, lighting socket or electrical fitting</w:t>
            </w:r>
          </w:p>
        </w:tc>
        <w:tc>
          <w:tcPr>
            <w:tcW w:w="1054" w:type="dxa"/>
          </w:tcPr>
          <w:p w14:paraId="16F7AEDB"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625F5684"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7206BCA8"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Total loss of water supply</w:t>
            </w:r>
          </w:p>
        </w:tc>
        <w:tc>
          <w:tcPr>
            <w:tcW w:w="1054" w:type="dxa"/>
          </w:tcPr>
          <w:p w14:paraId="07805C3D"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5158D8F4"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7E86F54B"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Partial loss of water supply</w:t>
            </w:r>
          </w:p>
        </w:tc>
        <w:tc>
          <w:tcPr>
            <w:tcW w:w="1054" w:type="dxa"/>
          </w:tcPr>
          <w:p w14:paraId="1A7D3B4E"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3</w:t>
            </w:r>
          </w:p>
        </w:tc>
      </w:tr>
      <w:tr w:rsidR="006F1DCF" w:rsidRPr="00FE1F4F" w14:paraId="617D8A4A"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5887FCA1"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Total or partial loss of gas supply</w:t>
            </w:r>
          </w:p>
        </w:tc>
        <w:tc>
          <w:tcPr>
            <w:tcW w:w="1054" w:type="dxa"/>
          </w:tcPr>
          <w:p w14:paraId="73F38D38"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580AFF01"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282F16EB"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Blocked flue to open fire or boiler</w:t>
            </w:r>
          </w:p>
        </w:tc>
        <w:tc>
          <w:tcPr>
            <w:tcW w:w="1054" w:type="dxa"/>
          </w:tcPr>
          <w:p w14:paraId="318F0DA3"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2BCCC909"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38E5AC92"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Total or partial loss of space or water heating between 31st October and 1st May</w:t>
            </w:r>
          </w:p>
        </w:tc>
        <w:tc>
          <w:tcPr>
            <w:tcW w:w="1054" w:type="dxa"/>
          </w:tcPr>
          <w:p w14:paraId="5E1A2365"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2914E774"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6A4934F6"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Total or partial loss of space or water heating between 30th April and 1st November</w:t>
            </w:r>
          </w:p>
        </w:tc>
        <w:tc>
          <w:tcPr>
            <w:tcW w:w="1054" w:type="dxa"/>
          </w:tcPr>
          <w:p w14:paraId="1581A147"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3</w:t>
            </w:r>
          </w:p>
        </w:tc>
      </w:tr>
      <w:tr w:rsidR="006F1DCF" w:rsidRPr="00FE1F4F" w14:paraId="669A7CDB"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22000BA2"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Blocked or leaking foul drain, soil stack, or (where there is no other working toilet in the dwelling-house) toilet pan</w:t>
            </w:r>
          </w:p>
        </w:tc>
        <w:tc>
          <w:tcPr>
            <w:tcW w:w="1054" w:type="dxa"/>
          </w:tcPr>
          <w:p w14:paraId="76CB0C0E"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73ECFA86"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4FB4BC7E"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Toilet not flushing (where there is no other working toilet in the dwelling-house)</w:t>
            </w:r>
          </w:p>
        </w:tc>
        <w:tc>
          <w:tcPr>
            <w:tcW w:w="1054" w:type="dxa"/>
          </w:tcPr>
          <w:p w14:paraId="63B00CEE"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26D66C13"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6553CE61"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 xml:space="preserve">Blocked sink, </w:t>
            </w:r>
            <w:proofErr w:type="gramStart"/>
            <w:r w:rsidRPr="006F1DCF">
              <w:rPr>
                <w:rFonts w:cs="Arial"/>
                <w:b w:val="0"/>
                <w:color w:val="000000"/>
                <w:lang w:eastAsia="en-GB"/>
              </w:rPr>
              <w:t>bath</w:t>
            </w:r>
            <w:proofErr w:type="gramEnd"/>
            <w:r w:rsidRPr="006F1DCF">
              <w:rPr>
                <w:rFonts w:cs="Arial"/>
                <w:b w:val="0"/>
                <w:color w:val="000000"/>
                <w:lang w:eastAsia="en-GB"/>
              </w:rPr>
              <w:t xml:space="preserve"> or basin</w:t>
            </w:r>
          </w:p>
        </w:tc>
        <w:tc>
          <w:tcPr>
            <w:tcW w:w="1054" w:type="dxa"/>
          </w:tcPr>
          <w:p w14:paraId="5B214810"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3</w:t>
            </w:r>
          </w:p>
        </w:tc>
      </w:tr>
      <w:tr w:rsidR="006F1DCF" w:rsidRPr="00FE1F4F" w14:paraId="1E9335D4"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0AFCDBB7"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Tap which cannot be turned</w:t>
            </w:r>
          </w:p>
        </w:tc>
        <w:tc>
          <w:tcPr>
            <w:tcW w:w="1054" w:type="dxa"/>
          </w:tcPr>
          <w:p w14:paraId="2185A18C"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3</w:t>
            </w:r>
          </w:p>
        </w:tc>
      </w:tr>
      <w:tr w:rsidR="006F1DCF" w:rsidRPr="00FE1F4F" w14:paraId="768620AA"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1084C1D0"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 xml:space="preserve">Leaking from water or heating pipe, </w:t>
            </w:r>
            <w:proofErr w:type="gramStart"/>
            <w:r w:rsidRPr="006F1DCF">
              <w:rPr>
                <w:rFonts w:cs="Arial"/>
                <w:b w:val="0"/>
                <w:color w:val="000000"/>
                <w:lang w:eastAsia="en-GB"/>
              </w:rPr>
              <w:t>tank</w:t>
            </w:r>
            <w:proofErr w:type="gramEnd"/>
            <w:r w:rsidRPr="006F1DCF">
              <w:rPr>
                <w:rFonts w:cs="Arial"/>
                <w:b w:val="0"/>
                <w:color w:val="000000"/>
                <w:lang w:eastAsia="en-GB"/>
              </w:rPr>
              <w:t xml:space="preserve"> or cistern</w:t>
            </w:r>
          </w:p>
        </w:tc>
        <w:tc>
          <w:tcPr>
            <w:tcW w:w="1054" w:type="dxa"/>
          </w:tcPr>
          <w:p w14:paraId="500BFA17"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16721924"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12A01192"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Leaking roof</w:t>
            </w:r>
          </w:p>
        </w:tc>
        <w:tc>
          <w:tcPr>
            <w:tcW w:w="1054" w:type="dxa"/>
          </w:tcPr>
          <w:p w14:paraId="21CED29A"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7</w:t>
            </w:r>
          </w:p>
        </w:tc>
      </w:tr>
      <w:tr w:rsidR="006F1DCF" w:rsidRPr="00FE1F4F" w14:paraId="23BC3799"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323B4096"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 xml:space="preserve">Insecure external window, </w:t>
            </w:r>
            <w:proofErr w:type="gramStart"/>
            <w:r w:rsidRPr="006F1DCF">
              <w:rPr>
                <w:rFonts w:cs="Arial"/>
                <w:b w:val="0"/>
                <w:color w:val="000000"/>
                <w:lang w:eastAsia="en-GB"/>
              </w:rPr>
              <w:t>door</w:t>
            </w:r>
            <w:proofErr w:type="gramEnd"/>
            <w:r w:rsidRPr="006F1DCF">
              <w:rPr>
                <w:rFonts w:cs="Arial"/>
                <w:b w:val="0"/>
                <w:color w:val="000000"/>
                <w:lang w:eastAsia="en-GB"/>
              </w:rPr>
              <w:t xml:space="preserve"> or lock</w:t>
            </w:r>
          </w:p>
        </w:tc>
        <w:tc>
          <w:tcPr>
            <w:tcW w:w="1054" w:type="dxa"/>
          </w:tcPr>
          <w:p w14:paraId="26299169"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1</w:t>
            </w:r>
          </w:p>
        </w:tc>
      </w:tr>
      <w:tr w:rsidR="006F1DCF" w:rsidRPr="00FE1F4F" w14:paraId="2D93CBB4"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06ADA2E1"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 xml:space="preserve">Loose or detached banister or </w:t>
            </w:r>
            <w:proofErr w:type="gramStart"/>
            <w:r w:rsidRPr="006F1DCF">
              <w:rPr>
                <w:rFonts w:cs="Arial"/>
                <w:b w:val="0"/>
                <w:color w:val="000000"/>
                <w:lang w:eastAsia="en-GB"/>
              </w:rPr>
              <w:t>hand rail</w:t>
            </w:r>
            <w:proofErr w:type="gramEnd"/>
          </w:p>
        </w:tc>
        <w:tc>
          <w:tcPr>
            <w:tcW w:w="1054" w:type="dxa"/>
          </w:tcPr>
          <w:p w14:paraId="4E4E515A"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3</w:t>
            </w:r>
          </w:p>
        </w:tc>
      </w:tr>
      <w:tr w:rsidR="006F1DCF" w:rsidRPr="00FE1F4F" w14:paraId="283C3B61"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19FA8259"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Rotten timber flooring or stair tread</w:t>
            </w:r>
          </w:p>
        </w:tc>
        <w:tc>
          <w:tcPr>
            <w:tcW w:w="1054" w:type="dxa"/>
          </w:tcPr>
          <w:p w14:paraId="3A674E86"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3</w:t>
            </w:r>
          </w:p>
        </w:tc>
      </w:tr>
      <w:tr w:rsidR="006F1DCF" w:rsidRPr="00FE1F4F" w14:paraId="58234176" w14:textId="77777777" w:rsidTr="006F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8" w:type="dxa"/>
          </w:tcPr>
          <w:p w14:paraId="29BEC3C5"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Door entry phone not working</w:t>
            </w:r>
          </w:p>
        </w:tc>
        <w:tc>
          <w:tcPr>
            <w:tcW w:w="1054" w:type="dxa"/>
          </w:tcPr>
          <w:p w14:paraId="166913A4" w14:textId="77777777" w:rsidR="006F1DCF" w:rsidRPr="00FE1F4F" w:rsidRDefault="006F1DCF" w:rsidP="00A32D8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lang w:eastAsia="en-GB"/>
              </w:rPr>
            </w:pPr>
            <w:r w:rsidRPr="00FE1F4F">
              <w:rPr>
                <w:rFonts w:cs="Arial"/>
                <w:color w:val="000000"/>
                <w:lang w:eastAsia="en-GB"/>
              </w:rPr>
              <w:t>7</w:t>
            </w:r>
          </w:p>
        </w:tc>
      </w:tr>
      <w:tr w:rsidR="006F1DCF" w:rsidRPr="00FE1F4F" w14:paraId="7E973663" w14:textId="77777777" w:rsidTr="006F1DCF">
        <w:tc>
          <w:tcPr>
            <w:cnfStyle w:val="001000000000" w:firstRow="0" w:lastRow="0" w:firstColumn="1" w:lastColumn="0" w:oddVBand="0" w:evenVBand="0" w:oddHBand="0" w:evenHBand="0" w:firstRowFirstColumn="0" w:firstRowLastColumn="0" w:lastRowFirstColumn="0" w:lastRowLastColumn="0"/>
            <w:tcW w:w="7428" w:type="dxa"/>
          </w:tcPr>
          <w:p w14:paraId="5B931F43" w14:textId="77777777" w:rsidR="006F1DCF" w:rsidRPr="006F1DCF" w:rsidRDefault="006F1DCF" w:rsidP="00A32D8B">
            <w:pPr>
              <w:autoSpaceDE w:val="0"/>
              <w:autoSpaceDN w:val="0"/>
              <w:adjustRightInd w:val="0"/>
              <w:rPr>
                <w:rFonts w:cs="Arial"/>
                <w:b w:val="0"/>
                <w:color w:val="000000"/>
                <w:lang w:eastAsia="en-GB"/>
              </w:rPr>
            </w:pPr>
            <w:r w:rsidRPr="006F1DCF">
              <w:rPr>
                <w:rFonts w:cs="Arial"/>
                <w:b w:val="0"/>
                <w:color w:val="000000"/>
                <w:lang w:eastAsia="en-GB"/>
              </w:rPr>
              <w:t>Mechanical extractor fan in internal kitchen or bathroom not working</w:t>
            </w:r>
          </w:p>
        </w:tc>
        <w:tc>
          <w:tcPr>
            <w:tcW w:w="1054" w:type="dxa"/>
          </w:tcPr>
          <w:p w14:paraId="36232D8C" w14:textId="77777777" w:rsidR="006F1DCF" w:rsidRPr="00FE1F4F" w:rsidRDefault="006F1DCF" w:rsidP="00A32D8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lang w:eastAsia="en-GB"/>
              </w:rPr>
            </w:pPr>
            <w:r w:rsidRPr="00FE1F4F">
              <w:rPr>
                <w:rFonts w:cs="Arial"/>
                <w:color w:val="000000"/>
                <w:lang w:eastAsia="en-GB"/>
              </w:rPr>
              <w:t>7</w:t>
            </w:r>
          </w:p>
        </w:tc>
      </w:tr>
    </w:tbl>
    <w:p w14:paraId="0A0E6EB3" w14:textId="77777777" w:rsidR="006F1DCF" w:rsidRDefault="006F1DCF" w:rsidP="00AA150F"/>
    <w:p w14:paraId="66B990E2" w14:textId="77777777" w:rsidR="00AA150F" w:rsidRPr="00AA150F" w:rsidRDefault="00AA150F" w:rsidP="00AA150F"/>
    <w:sectPr w:rsidR="00AA150F" w:rsidRPr="00AA15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8BF3" w14:textId="77777777" w:rsidR="004B135C" w:rsidRDefault="004B135C" w:rsidP="004B135C">
      <w:pPr>
        <w:spacing w:after="0" w:line="240" w:lineRule="auto"/>
      </w:pPr>
      <w:r>
        <w:separator/>
      </w:r>
    </w:p>
  </w:endnote>
  <w:endnote w:type="continuationSeparator" w:id="0">
    <w:p w14:paraId="62132BC3"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7A3A" w14:textId="77777777" w:rsidR="003175F2" w:rsidRDefault="00317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552FD0D0" w14:textId="1AA5312B" w:rsidR="00FC05C0" w:rsidRDefault="006C06A8">
            <w:pPr>
              <w:pStyle w:val="Footer"/>
              <w:jc w:val="center"/>
            </w:pPr>
            <w:r>
              <w:tab/>
            </w:r>
            <w:r>
              <w:tab/>
            </w:r>
            <w:r w:rsidR="00FC05C0">
              <w:t xml:space="preserve">Page </w:t>
            </w:r>
            <w:r w:rsidR="00FC05C0">
              <w:rPr>
                <w:b/>
                <w:bCs/>
                <w:sz w:val="24"/>
                <w:szCs w:val="24"/>
              </w:rPr>
              <w:fldChar w:fldCharType="begin"/>
            </w:r>
            <w:r w:rsidR="00FC05C0">
              <w:rPr>
                <w:b/>
                <w:bCs/>
              </w:rPr>
              <w:instrText xml:space="preserve"> PAGE </w:instrText>
            </w:r>
            <w:r w:rsidR="00FC05C0">
              <w:rPr>
                <w:b/>
                <w:bCs/>
                <w:sz w:val="24"/>
                <w:szCs w:val="24"/>
              </w:rPr>
              <w:fldChar w:fldCharType="separate"/>
            </w:r>
            <w:r w:rsidR="006F1DCF">
              <w:rPr>
                <w:b/>
                <w:bCs/>
                <w:noProof/>
              </w:rPr>
              <w:t>6</w:t>
            </w:r>
            <w:r w:rsidR="00FC05C0">
              <w:rPr>
                <w:b/>
                <w:bCs/>
                <w:sz w:val="24"/>
                <w:szCs w:val="24"/>
              </w:rPr>
              <w:fldChar w:fldCharType="end"/>
            </w:r>
            <w:r w:rsidR="00FC05C0">
              <w:t xml:space="preserve"> of </w:t>
            </w:r>
            <w:r w:rsidR="00FC05C0">
              <w:rPr>
                <w:b/>
                <w:bCs/>
                <w:sz w:val="24"/>
                <w:szCs w:val="24"/>
              </w:rPr>
              <w:fldChar w:fldCharType="begin"/>
            </w:r>
            <w:r w:rsidR="00FC05C0">
              <w:rPr>
                <w:b/>
                <w:bCs/>
              </w:rPr>
              <w:instrText xml:space="preserve"> NUMPAGES  </w:instrText>
            </w:r>
            <w:r w:rsidR="00FC05C0">
              <w:rPr>
                <w:b/>
                <w:bCs/>
                <w:sz w:val="24"/>
                <w:szCs w:val="24"/>
              </w:rPr>
              <w:fldChar w:fldCharType="separate"/>
            </w:r>
            <w:r w:rsidR="006F1DCF">
              <w:rPr>
                <w:b/>
                <w:bCs/>
                <w:noProof/>
              </w:rPr>
              <w:t>6</w:t>
            </w:r>
            <w:r w:rsidR="00FC05C0">
              <w:rPr>
                <w:b/>
                <w:bCs/>
                <w:sz w:val="24"/>
                <w:szCs w:val="24"/>
              </w:rPr>
              <w:fldChar w:fldCharType="end"/>
            </w:r>
          </w:p>
        </w:sdtContent>
      </w:sdt>
    </w:sdtContent>
  </w:sdt>
  <w:p w14:paraId="266A9720" w14:textId="77777777" w:rsidR="008B0E10" w:rsidRDefault="008B0E10" w:rsidP="008B0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DE41" w14:textId="77777777" w:rsidR="003175F2" w:rsidRDefault="00317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0F5B" w14:textId="77777777" w:rsidR="004B135C" w:rsidRDefault="004B135C" w:rsidP="004B135C">
      <w:pPr>
        <w:spacing w:after="0" w:line="240" w:lineRule="auto"/>
      </w:pPr>
      <w:r>
        <w:separator/>
      </w:r>
    </w:p>
  </w:footnote>
  <w:footnote w:type="continuationSeparator" w:id="0">
    <w:p w14:paraId="6C79A958"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B4A8" w14:textId="77777777" w:rsidR="003175F2" w:rsidRDefault="00317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7A08D6C7" w14:textId="77777777" w:rsidR="00FC05C0" w:rsidRDefault="00A36E66" w:rsidP="00FC05C0">
        <w:pPr>
          <w:pStyle w:val="Header"/>
          <w:jc w:val="right"/>
        </w:pPr>
        <w:r>
          <w:t>Housing Policy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CEC5" w14:textId="77777777" w:rsidR="003175F2" w:rsidRDefault="00317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198F"/>
    <w:multiLevelType w:val="hybridMultilevel"/>
    <w:tmpl w:val="9F82DE74"/>
    <w:lvl w:ilvl="0" w:tplc="0C3E2AF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7415F"/>
    <w:multiLevelType w:val="multilevel"/>
    <w:tmpl w:val="CC546CD8"/>
    <w:lvl w:ilvl="0">
      <w:start w:val="1"/>
      <w:numFmt w:val="decimal"/>
      <w:lvlText w:val="%1."/>
      <w:lvlJc w:val="left"/>
      <w:pPr>
        <w:ind w:left="720" w:hanging="360"/>
      </w:pPr>
      <w:rPr>
        <w:rFonts w:hint="default"/>
      </w:rPr>
    </w:lvl>
    <w:lvl w:ilvl="1">
      <w:start w:val="1"/>
      <w:numFmt w:val="decimal"/>
      <w:isLgl/>
      <w:lvlText w:val="%1.%2"/>
      <w:lvlJc w:val="left"/>
      <w:pPr>
        <w:ind w:left="72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1DEB05AB"/>
    <w:multiLevelType w:val="multilevel"/>
    <w:tmpl w:val="56767278"/>
    <w:lvl w:ilvl="0">
      <w:start w:val="1"/>
      <w:numFmt w:val="decimal"/>
      <w:lvlText w:val="%1."/>
      <w:lvlJc w:val="left"/>
      <w:pPr>
        <w:ind w:left="481" w:hanging="360"/>
      </w:pPr>
    </w:lvl>
    <w:lvl w:ilvl="1">
      <w:start w:val="1"/>
      <w:numFmt w:val="decimal"/>
      <w:isLgl/>
      <w:lvlText w:val="%1.%2"/>
      <w:lvlJc w:val="left"/>
      <w:pPr>
        <w:ind w:left="481"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4" w15:restartNumberingAfterBreak="0">
    <w:nsid w:val="405E2767"/>
    <w:multiLevelType w:val="hybridMultilevel"/>
    <w:tmpl w:val="562640EE"/>
    <w:lvl w:ilvl="0" w:tplc="908001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DD442B"/>
    <w:multiLevelType w:val="multilevel"/>
    <w:tmpl w:val="15C0E272"/>
    <w:lvl w:ilvl="0">
      <w:start w:val="4"/>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4"/>
      </w:rPr>
    </w:lvl>
    <w:lvl w:ilvl="2">
      <w:start w:val="1"/>
      <w:numFmt w:val="decimal"/>
      <w:lvlText w:val="%1.%2.%3"/>
      <w:lvlJc w:val="left"/>
      <w:pPr>
        <w:ind w:left="1146" w:hanging="720"/>
      </w:pPr>
      <w:rPr>
        <w:rFonts w:hint="default"/>
        <w:b w:val="0"/>
        <w:sz w:val="24"/>
      </w:rPr>
    </w:lvl>
    <w:lvl w:ilvl="3">
      <w:start w:val="1"/>
      <w:numFmt w:val="decimal"/>
      <w:lvlText w:val="%1.%2.%3.%4"/>
      <w:lvlJc w:val="left"/>
      <w:pPr>
        <w:ind w:left="1083" w:hanging="720"/>
      </w:pPr>
      <w:rPr>
        <w:rFonts w:hint="default"/>
        <w:sz w:val="22"/>
      </w:rPr>
    </w:lvl>
    <w:lvl w:ilvl="4">
      <w:start w:val="1"/>
      <w:numFmt w:val="decimal"/>
      <w:lvlText w:val="%1.%2.%3.%4.%5"/>
      <w:lvlJc w:val="left"/>
      <w:pPr>
        <w:ind w:left="1564" w:hanging="1080"/>
      </w:pPr>
      <w:rPr>
        <w:rFonts w:hint="default"/>
        <w:sz w:val="22"/>
      </w:rPr>
    </w:lvl>
    <w:lvl w:ilvl="5">
      <w:start w:val="1"/>
      <w:numFmt w:val="decimal"/>
      <w:lvlText w:val="%1.%2.%3.%4.%5.%6"/>
      <w:lvlJc w:val="left"/>
      <w:pPr>
        <w:ind w:left="1685" w:hanging="1080"/>
      </w:pPr>
      <w:rPr>
        <w:rFonts w:hint="default"/>
        <w:sz w:val="22"/>
      </w:rPr>
    </w:lvl>
    <w:lvl w:ilvl="6">
      <w:start w:val="1"/>
      <w:numFmt w:val="decimal"/>
      <w:lvlText w:val="%1.%2.%3.%4.%5.%6.%7"/>
      <w:lvlJc w:val="left"/>
      <w:pPr>
        <w:ind w:left="2166" w:hanging="1440"/>
      </w:pPr>
      <w:rPr>
        <w:rFonts w:hint="default"/>
        <w:sz w:val="22"/>
      </w:rPr>
    </w:lvl>
    <w:lvl w:ilvl="7">
      <w:start w:val="1"/>
      <w:numFmt w:val="decimal"/>
      <w:lvlText w:val="%1.%2.%3.%4.%5.%6.%7.%8"/>
      <w:lvlJc w:val="left"/>
      <w:pPr>
        <w:ind w:left="2287" w:hanging="1440"/>
      </w:pPr>
      <w:rPr>
        <w:rFonts w:hint="default"/>
        <w:sz w:val="22"/>
      </w:rPr>
    </w:lvl>
    <w:lvl w:ilvl="8">
      <w:start w:val="1"/>
      <w:numFmt w:val="decimal"/>
      <w:lvlText w:val="%1.%2.%3.%4.%5.%6.%7.%8.%9"/>
      <w:lvlJc w:val="left"/>
      <w:pPr>
        <w:ind w:left="2768" w:hanging="1800"/>
      </w:pPr>
      <w:rPr>
        <w:rFonts w:hint="default"/>
        <w:sz w:val="22"/>
      </w:rPr>
    </w:lvl>
  </w:abstractNum>
  <w:abstractNum w:abstractNumId="6" w15:restartNumberingAfterBreak="0">
    <w:nsid w:val="5A163447"/>
    <w:multiLevelType w:val="multilevel"/>
    <w:tmpl w:val="DE725CA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7" w15:restartNumberingAfterBreak="0">
    <w:nsid w:val="5B656C4E"/>
    <w:multiLevelType w:val="hybridMultilevel"/>
    <w:tmpl w:val="9C16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C3791"/>
    <w:multiLevelType w:val="multilevel"/>
    <w:tmpl w:val="DB46C70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61811563">
    <w:abstractNumId w:val="1"/>
  </w:num>
  <w:num w:numId="2" w16cid:durableId="1647662637">
    <w:abstractNumId w:val="2"/>
  </w:num>
  <w:num w:numId="3" w16cid:durableId="2121291321">
    <w:abstractNumId w:val="3"/>
  </w:num>
  <w:num w:numId="4" w16cid:durableId="1185560195">
    <w:abstractNumId w:val="5"/>
  </w:num>
  <w:num w:numId="5" w16cid:durableId="468523824">
    <w:abstractNumId w:val="6"/>
  </w:num>
  <w:num w:numId="6" w16cid:durableId="1140151021">
    <w:abstractNumId w:val="4"/>
  </w:num>
  <w:num w:numId="7" w16cid:durableId="1054617886">
    <w:abstractNumId w:val="7"/>
  </w:num>
  <w:num w:numId="8" w16cid:durableId="1042362591">
    <w:abstractNumId w:val="8"/>
  </w:num>
  <w:num w:numId="9" w16cid:durableId="137646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161708"/>
    <w:rsid w:val="001A1FEE"/>
    <w:rsid w:val="00252196"/>
    <w:rsid w:val="002F0FCD"/>
    <w:rsid w:val="003175F2"/>
    <w:rsid w:val="003809CC"/>
    <w:rsid w:val="0039161F"/>
    <w:rsid w:val="00475938"/>
    <w:rsid w:val="004B135C"/>
    <w:rsid w:val="004E1AEF"/>
    <w:rsid w:val="00612008"/>
    <w:rsid w:val="00621937"/>
    <w:rsid w:val="00622FE2"/>
    <w:rsid w:val="006265F4"/>
    <w:rsid w:val="006C06A8"/>
    <w:rsid w:val="006F1DCF"/>
    <w:rsid w:val="006F6F31"/>
    <w:rsid w:val="007062ED"/>
    <w:rsid w:val="007A14A1"/>
    <w:rsid w:val="00820263"/>
    <w:rsid w:val="00835EB0"/>
    <w:rsid w:val="00850BDE"/>
    <w:rsid w:val="008B0E10"/>
    <w:rsid w:val="008D274E"/>
    <w:rsid w:val="00906BE9"/>
    <w:rsid w:val="00A36E66"/>
    <w:rsid w:val="00AA150F"/>
    <w:rsid w:val="00AC2219"/>
    <w:rsid w:val="00B03F26"/>
    <w:rsid w:val="00B31AD3"/>
    <w:rsid w:val="00B65468"/>
    <w:rsid w:val="00C84355"/>
    <w:rsid w:val="00CB11CD"/>
    <w:rsid w:val="00D40214"/>
    <w:rsid w:val="00DF6D7C"/>
    <w:rsid w:val="00EA04C7"/>
    <w:rsid w:val="00EF547C"/>
    <w:rsid w:val="00FC05C0"/>
    <w:rsid w:val="00FE3FC7"/>
    <w:rsid w:val="00FF0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81247"/>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E2"/>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1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01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3Char">
    <w:name w:val="Heading 3 Char"/>
    <w:basedOn w:val="DefaultParagraphFont"/>
    <w:link w:val="Heading3"/>
    <w:uiPriority w:val="9"/>
    <w:rsid w:val="00FF01C7"/>
    <w:rPr>
      <w:rFonts w:asciiTheme="majorHAnsi" w:eastAsiaTheme="majorEastAsia" w:hAnsiTheme="majorHAnsi" w:cstheme="majorBidi"/>
      <w:color w:val="1F4D78" w:themeColor="accent1" w:themeShade="7F"/>
      <w:sz w:val="24"/>
      <w:szCs w:val="24"/>
    </w:rPr>
  </w:style>
  <w:style w:type="paragraph" w:customStyle="1" w:styleId="Default">
    <w:name w:val="Default"/>
    <w:rsid w:val="00FF01C7"/>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2Char">
    <w:name w:val="Heading 2 Char"/>
    <w:basedOn w:val="DefaultParagraphFont"/>
    <w:link w:val="Heading2"/>
    <w:uiPriority w:val="9"/>
    <w:rsid w:val="00161708"/>
    <w:rPr>
      <w:rFonts w:asciiTheme="majorHAnsi" w:eastAsiaTheme="majorEastAsia" w:hAnsiTheme="majorHAnsi" w:cstheme="majorBidi"/>
      <w:color w:val="2E74B5" w:themeColor="accent1" w:themeShade="BF"/>
      <w:sz w:val="26"/>
      <w:szCs w:val="26"/>
    </w:rPr>
  </w:style>
  <w:style w:type="table" w:styleId="PlainTable1">
    <w:name w:val="Plain Table 1"/>
    <w:basedOn w:val="TableNormal"/>
    <w:uiPriority w:val="41"/>
    <w:rsid w:val="006F1D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75938"/>
    <w:rPr>
      <w:sz w:val="16"/>
      <w:szCs w:val="16"/>
    </w:rPr>
  </w:style>
  <w:style w:type="paragraph" w:styleId="CommentText">
    <w:name w:val="annotation text"/>
    <w:basedOn w:val="Normal"/>
    <w:link w:val="CommentTextChar"/>
    <w:uiPriority w:val="99"/>
    <w:unhideWhenUsed/>
    <w:rsid w:val="00475938"/>
    <w:pPr>
      <w:spacing w:line="240" w:lineRule="auto"/>
    </w:pPr>
    <w:rPr>
      <w:sz w:val="20"/>
      <w:szCs w:val="20"/>
    </w:rPr>
  </w:style>
  <w:style w:type="character" w:customStyle="1" w:styleId="CommentTextChar">
    <w:name w:val="Comment Text Char"/>
    <w:basedOn w:val="DefaultParagraphFont"/>
    <w:link w:val="CommentText"/>
    <w:uiPriority w:val="99"/>
    <w:rsid w:val="00475938"/>
    <w:rPr>
      <w:sz w:val="20"/>
      <w:szCs w:val="20"/>
    </w:rPr>
  </w:style>
  <w:style w:type="table" w:styleId="TableGridLight">
    <w:name w:val="Grid Table Light"/>
    <w:basedOn w:val="TableNormal"/>
    <w:uiPriority w:val="40"/>
    <w:rsid w:val="00B31A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8B51D2"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8B51D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2023-02-16T16:21:00Z</dcterms:created>
  <dcterms:modified xsi:type="dcterms:W3CDTF">2023-02-16T16:21:00Z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