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0B" w:rsidRPr="00FB6D0B" w:rsidRDefault="00FB6D0B" w:rsidP="00FB6D0B">
      <w:pPr>
        <w:tabs>
          <w:tab w:val="center" w:pos="1080"/>
          <w:tab w:val="right" w:pos="9000"/>
        </w:tabs>
        <w:jc w:val="right"/>
        <w:rPr>
          <w:rFonts w:cs="Arial"/>
          <w:b/>
          <w:bCs/>
          <w:sz w:val="22"/>
          <w:szCs w:val="22"/>
          <w:lang w:eastAsia="en-GB"/>
        </w:rPr>
      </w:pP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547"/>
        <w:gridCol w:w="420"/>
        <w:gridCol w:w="1308"/>
        <w:gridCol w:w="134"/>
        <w:gridCol w:w="1594"/>
      </w:tblGrid>
      <w:tr w:rsidR="004D4385">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FB1C1F">
            <w:pPr>
              <w:pStyle w:val="Header"/>
              <w:tabs>
                <w:tab w:val="clear" w:pos="4153"/>
                <w:tab w:val="clear" w:pos="8306"/>
              </w:tabs>
              <w:rPr>
                <w:b/>
                <w:bCs/>
              </w:rPr>
            </w:pPr>
            <w:r>
              <w:rPr>
                <w:b/>
                <w:bCs/>
              </w:rPr>
              <w:t>T</w:t>
            </w:r>
            <w:r w:rsidR="004D4385">
              <w:rPr>
                <w:b/>
                <w:bCs/>
              </w:rPr>
              <w: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991F28" w:rsidP="00605E10">
            <w:pPr>
              <w:pStyle w:val="Header"/>
              <w:tabs>
                <w:tab w:val="clear" w:pos="4153"/>
                <w:tab w:val="clear" w:pos="8306"/>
              </w:tabs>
            </w:pPr>
            <w:r>
              <w:t xml:space="preserve">Domestic </w:t>
            </w:r>
            <w:r w:rsidR="002A4B3F">
              <w:t>Abuse</w:t>
            </w:r>
            <w:r w:rsidR="00605E10">
              <w:t xml:space="preserve"> </w:t>
            </w:r>
            <w:r>
              <w:t xml:space="preserve">Policy  </w:t>
            </w:r>
          </w:p>
        </w:tc>
      </w:tr>
      <w:tr w:rsidR="004D4385">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2A4B3F" w:rsidP="00C11EDD">
            <w:pPr>
              <w:pStyle w:val="Header"/>
              <w:tabs>
                <w:tab w:val="clear" w:pos="4153"/>
                <w:tab w:val="clear" w:pos="8306"/>
              </w:tabs>
            </w:pPr>
            <w:r>
              <w:t>4</w:t>
            </w:r>
            <w:r w:rsidRPr="003C4908">
              <w:rPr>
                <w:vertAlign w:val="superscript"/>
              </w:rPr>
              <w:t>th</w:t>
            </w:r>
            <w:r>
              <w:t xml:space="preserve"> June 2020</w:t>
            </w:r>
            <w:bookmarkStart w:id="0" w:name="_GoBack"/>
            <w:bookmarkEnd w:id="0"/>
          </w:p>
        </w:tc>
      </w:tr>
      <w:tr w:rsidR="004D4385">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A27F79">
            <w:pPr>
              <w:pStyle w:val="Header"/>
              <w:tabs>
                <w:tab w:val="clear" w:pos="4153"/>
                <w:tab w:val="clear" w:pos="8306"/>
              </w:tabs>
            </w:pPr>
            <w:r>
              <w:t>Aisling Sims – Policy and Partnerships Manager</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F51B6">
            <w:pPr>
              <w:pStyle w:val="Header"/>
              <w:numPr>
                <w:ilvl w:val="0"/>
                <w:numId w:val="24"/>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2A4B3F" w:rsidRDefault="002A4B3F" w:rsidP="000F4CEF">
            <w:pPr>
              <w:pStyle w:val="Default"/>
              <w:rPr>
                <w:sz w:val="23"/>
                <w:szCs w:val="23"/>
              </w:rPr>
            </w:pPr>
          </w:p>
          <w:p w:rsidR="002F3264" w:rsidRDefault="002A4B3F" w:rsidP="000F4CEF">
            <w:pPr>
              <w:pStyle w:val="Default"/>
              <w:rPr>
                <w:sz w:val="23"/>
                <w:szCs w:val="23"/>
              </w:rPr>
            </w:pPr>
            <w:r>
              <w:rPr>
                <w:sz w:val="23"/>
                <w:szCs w:val="23"/>
              </w:rPr>
              <w:t xml:space="preserve">Originally introduced in 2017, a periodic review of the Domestic Abuse Policy has been carried out, </w:t>
            </w:r>
            <w:r w:rsidR="00284B95">
              <w:rPr>
                <w:sz w:val="23"/>
                <w:szCs w:val="23"/>
              </w:rPr>
              <w:t xml:space="preserve">with the following minor updates: </w:t>
            </w:r>
          </w:p>
          <w:p w:rsidR="002F3264" w:rsidRDefault="00284B95" w:rsidP="000F4CEF">
            <w:pPr>
              <w:pStyle w:val="Default"/>
              <w:numPr>
                <w:ilvl w:val="0"/>
                <w:numId w:val="23"/>
              </w:numPr>
              <w:rPr>
                <w:sz w:val="23"/>
                <w:szCs w:val="23"/>
              </w:rPr>
            </w:pPr>
            <w:r>
              <w:rPr>
                <w:sz w:val="23"/>
                <w:szCs w:val="23"/>
              </w:rPr>
              <w:t>Up to date definition and legislation included</w:t>
            </w:r>
          </w:p>
          <w:p w:rsidR="007C7EB3" w:rsidRPr="002F3264" w:rsidRDefault="00284B95" w:rsidP="002F3264">
            <w:pPr>
              <w:pStyle w:val="Default"/>
              <w:numPr>
                <w:ilvl w:val="0"/>
                <w:numId w:val="23"/>
              </w:numPr>
              <w:rPr>
                <w:sz w:val="23"/>
                <w:szCs w:val="23"/>
              </w:rPr>
            </w:pPr>
            <w:r w:rsidRPr="002F3264">
              <w:rPr>
                <w:sz w:val="23"/>
                <w:szCs w:val="23"/>
              </w:rPr>
              <w:t xml:space="preserve">Support that is unique to HRA Housing tenants put in a separate section. </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Pr="007C7EB3" w:rsidRDefault="004D4385" w:rsidP="008F51B6">
            <w:pPr>
              <w:pStyle w:val="Header"/>
              <w:numPr>
                <w:ilvl w:val="0"/>
                <w:numId w:val="24"/>
              </w:numPr>
              <w:tabs>
                <w:tab w:val="clear" w:pos="4153"/>
                <w:tab w:val="clear" w:pos="8306"/>
              </w:tabs>
              <w:rPr>
                <w:rFonts w:cs="Arial"/>
                <w:b/>
                <w:bCs/>
                <w:sz w:val="23"/>
                <w:szCs w:val="23"/>
              </w:rPr>
            </w:pPr>
            <w:r w:rsidRPr="007C7EB3">
              <w:rPr>
                <w:rFonts w:cs="Arial"/>
                <w:b/>
                <w:bCs/>
                <w:sz w:val="23"/>
                <w:szCs w:val="23"/>
              </w:rPr>
              <w:t xml:space="preserve">Summary of evidence used to support this assessment  </w:t>
            </w:r>
          </w:p>
          <w:p w:rsidR="004D4385" w:rsidRPr="007C7EB3" w:rsidRDefault="004D4385" w:rsidP="008F3510">
            <w:pPr>
              <w:pStyle w:val="Header"/>
              <w:numPr>
                <w:ilvl w:val="0"/>
                <w:numId w:val="9"/>
              </w:numPr>
              <w:tabs>
                <w:tab w:val="clear" w:pos="4153"/>
                <w:tab w:val="clear" w:pos="8306"/>
              </w:tabs>
              <w:rPr>
                <w:rFonts w:cs="Arial"/>
                <w:i/>
                <w:iCs/>
                <w:sz w:val="23"/>
                <w:szCs w:val="23"/>
              </w:rPr>
            </w:pPr>
            <w:r w:rsidRPr="007C7EB3">
              <w:rPr>
                <w:rFonts w:cs="Arial"/>
                <w:i/>
                <w:iCs/>
                <w:sz w:val="23"/>
                <w:szCs w:val="23"/>
              </w:rPr>
              <w:t>Eg: Feedback from consultation, performance information, service user records etc.</w:t>
            </w:r>
          </w:p>
          <w:p w:rsidR="004D4385" w:rsidRPr="007C7EB3" w:rsidRDefault="004D4385" w:rsidP="008F3510">
            <w:pPr>
              <w:pStyle w:val="Header"/>
              <w:numPr>
                <w:ilvl w:val="0"/>
                <w:numId w:val="9"/>
              </w:numPr>
              <w:tabs>
                <w:tab w:val="clear" w:pos="4153"/>
                <w:tab w:val="clear" w:pos="8306"/>
              </w:tabs>
              <w:rPr>
                <w:rFonts w:cs="Arial"/>
                <w:b/>
                <w:bCs/>
                <w:sz w:val="23"/>
                <w:szCs w:val="23"/>
              </w:rPr>
            </w:pPr>
            <w:r w:rsidRPr="007C7EB3">
              <w:rPr>
                <w:rFonts w:cs="Arial"/>
                <w:i/>
                <w:iCs/>
                <w:sz w:val="23"/>
                <w:szCs w:val="23"/>
              </w:rPr>
              <w:t>Eg: Comparison of service user profile with Medway Community Profile</w:t>
            </w:r>
            <w:r w:rsidRPr="007C7EB3">
              <w:rPr>
                <w:rFonts w:cs="Arial"/>
                <w:sz w:val="23"/>
                <w:szCs w:val="23"/>
              </w:rPr>
              <w:t xml:space="preserve"> </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365FD6" w:rsidRDefault="004846AF">
            <w:pPr>
              <w:pStyle w:val="Header"/>
              <w:tabs>
                <w:tab w:val="clear" w:pos="4153"/>
                <w:tab w:val="clear" w:pos="8306"/>
              </w:tabs>
              <w:rPr>
                <w:rFonts w:cs="Arial"/>
                <w:sz w:val="23"/>
                <w:szCs w:val="23"/>
              </w:rPr>
            </w:pPr>
            <w:r>
              <w:rPr>
                <w:rFonts w:cs="Arial"/>
                <w:sz w:val="23"/>
                <w:szCs w:val="23"/>
              </w:rPr>
              <w:t>The figures collected by teams across Housing Services since this policy was originally introduced in 2017 show the need for specialised assistance and staff awareness when dealing with domestic abuse cases.</w:t>
            </w:r>
          </w:p>
          <w:p w:rsidR="004846AF" w:rsidRDefault="00365FD6">
            <w:pPr>
              <w:pStyle w:val="Header"/>
              <w:tabs>
                <w:tab w:val="clear" w:pos="4153"/>
                <w:tab w:val="clear" w:pos="8306"/>
              </w:tabs>
              <w:rPr>
                <w:rFonts w:cs="Arial"/>
                <w:sz w:val="23"/>
                <w:szCs w:val="23"/>
              </w:rPr>
            </w:pPr>
            <w:r>
              <w:rPr>
                <w:rFonts w:cs="Arial"/>
                <w:sz w:val="23"/>
                <w:szCs w:val="23"/>
              </w:rPr>
              <w:t xml:space="preserve"> </w:t>
            </w:r>
          </w:p>
          <w:p w:rsidR="005407C7" w:rsidRDefault="005407C7">
            <w:pPr>
              <w:pStyle w:val="Header"/>
              <w:tabs>
                <w:tab w:val="clear" w:pos="4153"/>
                <w:tab w:val="clear" w:pos="8306"/>
              </w:tabs>
              <w:rPr>
                <w:rFonts w:cs="Arial"/>
                <w:sz w:val="23"/>
                <w:szCs w:val="23"/>
              </w:rPr>
            </w:pPr>
            <w:r>
              <w:rPr>
                <w:rFonts w:cs="Arial"/>
                <w:sz w:val="23"/>
                <w:szCs w:val="23"/>
              </w:rPr>
              <w:t>The referrals to the Medway Sanctuary Scheme ha</w:t>
            </w:r>
            <w:r w:rsidR="000B2867">
              <w:rPr>
                <w:rFonts w:cs="Arial"/>
                <w:sz w:val="23"/>
                <w:szCs w:val="23"/>
              </w:rPr>
              <w:t>ve</w:t>
            </w:r>
            <w:r>
              <w:rPr>
                <w:rFonts w:cs="Arial"/>
                <w:sz w:val="23"/>
                <w:szCs w:val="23"/>
              </w:rPr>
              <w:t xml:space="preserve"> increased year on year since 2017: </w:t>
            </w:r>
          </w:p>
          <w:p w:rsidR="005407C7" w:rsidRDefault="005407C7">
            <w:pPr>
              <w:pStyle w:val="Header"/>
              <w:tabs>
                <w:tab w:val="clear" w:pos="4153"/>
                <w:tab w:val="clear" w:pos="8306"/>
              </w:tabs>
              <w:rPr>
                <w:rFonts w:cs="Arial"/>
                <w:sz w:val="23"/>
                <w:szCs w:val="23"/>
              </w:rPr>
            </w:pPr>
          </w:p>
          <w:p w:rsidR="005407C7" w:rsidRDefault="005407C7">
            <w:pPr>
              <w:pStyle w:val="Header"/>
              <w:tabs>
                <w:tab w:val="clear" w:pos="4153"/>
                <w:tab w:val="clear" w:pos="8306"/>
              </w:tabs>
              <w:rPr>
                <w:rFonts w:cs="Arial"/>
                <w:sz w:val="23"/>
                <w:szCs w:val="23"/>
              </w:rPr>
            </w:pPr>
            <w:r>
              <w:rPr>
                <w:rFonts w:cs="Arial"/>
                <w:sz w:val="23"/>
                <w:szCs w:val="23"/>
              </w:rPr>
              <w:t>2017 – 81 cases</w:t>
            </w:r>
          </w:p>
          <w:p w:rsidR="005407C7" w:rsidRDefault="005407C7">
            <w:pPr>
              <w:pStyle w:val="Header"/>
              <w:tabs>
                <w:tab w:val="clear" w:pos="4153"/>
                <w:tab w:val="clear" w:pos="8306"/>
              </w:tabs>
              <w:rPr>
                <w:rFonts w:cs="Arial"/>
                <w:sz w:val="23"/>
                <w:szCs w:val="23"/>
              </w:rPr>
            </w:pPr>
            <w:r>
              <w:rPr>
                <w:rFonts w:cs="Arial"/>
                <w:sz w:val="23"/>
                <w:szCs w:val="23"/>
              </w:rPr>
              <w:t>2018 – 91 cases</w:t>
            </w:r>
          </w:p>
          <w:p w:rsidR="005407C7" w:rsidRDefault="005407C7">
            <w:pPr>
              <w:pStyle w:val="Header"/>
              <w:tabs>
                <w:tab w:val="clear" w:pos="4153"/>
                <w:tab w:val="clear" w:pos="8306"/>
              </w:tabs>
              <w:rPr>
                <w:rFonts w:cs="Arial"/>
                <w:sz w:val="23"/>
                <w:szCs w:val="23"/>
              </w:rPr>
            </w:pPr>
            <w:r>
              <w:rPr>
                <w:rFonts w:cs="Arial"/>
                <w:sz w:val="23"/>
                <w:szCs w:val="23"/>
              </w:rPr>
              <w:t>2019 – 115 cases</w:t>
            </w:r>
          </w:p>
          <w:p w:rsidR="000B2867" w:rsidRDefault="000B2867">
            <w:pPr>
              <w:pStyle w:val="Header"/>
              <w:tabs>
                <w:tab w:val="clear" w:pos="4153"/>
                <w:tab w:val="clear" w:pos="8306"/>
              </w:tabs>
              <w:rPr>
                <w:rFonts w:cs="Arial"/>
                <w:sz w:val="23"/>
                <w:szCs w:val="23"/>
              </w:rPr>
            </w:pPr>
          </w:p>
          <w:p w:rsidR="000B2867" w:rsidRDefault="000B2867" w:rsidP="000B2867">
            <w:pPr>
              <w:pStyle w:val="Header"/>
              <w:tabs>
                <w:tab w:val="clear" w:pos="4153"/>
                <w:tab w:val="clear" w:pos="8306"/>
              </w:tabs>
              <w:rPr>
                <w:rFonts w:cs="Arial"/>
                <w:sz w:val="23"/>
                <w:szCs w:val="23"/>
              </w:rPr>
            </w:pPr>
            <w:r>
              <w:rPr>
                <w:rFonts w:cs="Arial"/>
                <w:sz w:val="23"/>
                <w:szCs w:val="23"/>
              </w:rPr>
              <w:t xml:space="preserve">Approaches to Housing Options Team as a result of domestic abuse: </w:t>
            </w:r>
          </w:p>
          <w:p w:rsidR="000B2867" w:rsidRDefault="000B2867" w:rsidP="000B2867">
            <w:pPr>
              <w:pStyle w:val="Header"/>
              <w:tabs>
                <w:tab w:val="clear" w:pos="4153"/>
                <w:tab w:val="clear" w:pos="8306"/>
              </w:tabs>
              <w:rPr>
                <w:rFonts w:cs="Arial"/>
                <w:sz w:val="23"/>
                <w:szCs w:val="23"/>
              </w:rPr>
            </w:pPr>
            <w:r>
              <w:rPr>
                <w:rFonts w:cs="Arial"/>
                <w:sz w:val="23"/>
                <w:szCs w:val="23"/>
              </w:rPr>
              <w:t>2017/18 – 98</w:t>
            </w:r>
          </w:p>
          <w:p w:rsidR="000B2867" w:rsidRDefault="000B2867" w:rsidP="000B2867">
            <w:pPr>
              <w:pStyle w:val="Header"/>
              <w:tabs>
                <w:tab w:val="clear" w:pos="4153"/>
                <w:tab w:val="clear" w:pos="8306"/>
              </w:tabs>
              <w:rPr>
                <w:rFonts w:cs="Arial"/>
                <w:sz w:val="23"/>
                <w:szCs w:val="23"/>
              </w:rPr>
            </w:pPr>
            <w:r>
              <w:rPr>
                <w:rFonts w:cs="Arial"/>
                <w:sz w:val="23"/>
                <w:szCs w:val="23"/>
              </w:rPr>
              <w:t>2018/19 – 91</w:t>
            </w:r>
          </w:p>
          <w:p w:rsidR="000B2867" w:rsidRDefault="000B2867" w:rsidP="000B2867">
            <w:pPr>
              <w:pStyle w:val="Header"/>
              <w:tabs>
                <w:tab w:val="clear" w:pos="4153"/>
                <w:tab w:val="clear" w:pos="8306"/>
              </w:tabs>
              <w:rPr>
                <w:rFonts w:cs="Arial"/>
                <w:sz w:val="23"/>
                <w:szCs w:val="23"/>
              </w:rPr>
            </w:pPr>
            <w:r>
              <w:rPr>
                <w:rFonts w:cs="Arial"/>
                <w:sz w:val="23"/>
                <w:szCs w:val="23"/>
              </w:rPr>
              <w:t>2019/20 - 90</w:t>
            </w:r>
          </w:p>
          <w:p w:rsidR="000B2867" w:rsidRDefault="000B2867">
            <w:pPr>
              <w:pStyle w:val="Header"/>
              <w:tabs>
                <w:tab w:val="clear" w:pos="4153"/>
                <w:tab w:val="clear" w:pos="8306"/>
              </w:tabs>
              <w:rPr>
                <w:rFonts w:cs="Arial"/>
                <w:sz w:val="23"/>
                <w:szCs w:val="23"/>
              </w:rPr>
            </w:pPr>
          </w:p>
          <w:p w:rsidR="002E336D" w:rsidRDefault="002E336D">
            <w:pPr>
              <w:pStyle w:val="Header"/>
              <w:tabs>
                <w:tab w:val="clear" w:pos="4153"/>
                <w:tab w:val="clear" w:pos="8306"/>
              </w:tabs>
              <w:rPr>
                <w:rFonts w:cs="Arial"/>
                <w:sz w:val="23"/>
                <w:szCs w:val="23"/>
              </w:rPr>
            </w:pPr>
          </w:p>
          <w:p w:rsidR="002E336D" w:rsidRDefault="002E336D">
            <w:pPr>
              <w:pStyle w:val="Header"/>
              <w:tabs>
                <w:tab w:val="clear" w:pos="4153"/>
                <w:tab w:val="clear" w:pos="8306"/>
              </w:tabs>
              <w:rPr>
                <w:rFonts w:cs="Arial"/>
                <w:sz w:val="23"/>
                <w:szCs w:val="23"/>
              </w:rPr>
            </w:pPr>
            <w:r>
              <w:rPr>
                <w:rFonts w:cs="Arial"/>
                <w:sz w:val="23"/>
                <w:szCs w:val="23"/>
              </w:rPr>
              <w:t>HRA ASB cases</w:t>
            </w:r>
            <w:r w:rsidR="003C4908">
              <w:rPr>
                <w:rFonts w:cs="Arial"/>
                <w:sz w:val="23"/>
                <w:szCs w:val="23"/>
              </w:rPr>
              <w:t xml:space="preserve"> recorded as Domestic Abuse </w:t>
            </w:r>
          </w:p>
          <w:p w:rsidR="00934087" w:rsidRDefault="00934087">
            <w:pPr>
              <w:pStyle w:val="Header"/>
              <w:tabs>
                <w:tab w:val="clear" w:pos="4153"/>
                <w:tab w:val="clear" w:pos="8306"/>
              </w:tabs>
              <w:rPr>
                <w:rFonts w:cs="Arial"/>
                <w:sz w:val="23"/>
                <w:szCs w:val="23"/>
              </w:rPr>
            </w:pPr>
            <w:r>
              <w:rPr>
                <w:rFonts w:cs="Arial"/>
                <w:sz w:val="23"/>
                <w:szCs w:val="23"/>
              </w:rPr>
              <w:t>2017/18 - 1</w:t>
            </w:r>
          </w:p>
          <w:p w:rsidR="00934087" w:rsidRDefault="00934087">
            <w:pPr>
              <w:pStyle w:val="Header"/>
              <w:tabs>
                <w:tab w:val="clear" w:pos="4153"/>
                <w:tab w:val="clear" w:pos="8306"/>
              </w:tabs>
              <w:rPr>
                <w:rFonts w:cs="Arial"/>
                <w:sz w:val="23"/>
                <w:szCs w:val="23"/>
              </w:rPr>
            </w:pPr>
            <w:r>
              <w:rPr>
                <w:rFonts w:cs="Arial"/>
                <w:sz w:val="23"/>
                <w:szCs w:val="23"/>
              </w:rPr>
              <w:t>2018/19 - 0</w:t>
            </w:r>
          </w:p>
          <w:p w:rsidR="00934087" w:rsidRDefault="00934087">
            <w:pPr>
              <w:pStyle w:val="Header"/>
              <w:tabs>
                <w:tab w:val="clear" w:pos="4153"/>
                <w:tab w:val="clear" w:pos="8306"/>
              </w:tabs>
              <w:rPr>
                <w:rFonts w:cs="Arial"/>
                <w:sz w:val="23"/>
                <w:szCs w:val="23"/>
              </w:rPr>
            </w:pPr>
            <w:r>
              <w:rPr>
                <w:rFonts w:cs="Arial"/>
                <w:sz w:val="23"/>
                <w:szCs w:val="23"/>
              </w:rPr>
              <w:t>2019/20 – 0</w:t>
            </w:r>
          </w:p>
          <w:p w:rsidR="00934087" w:rsidRDefault="00934087">
            <w:pPr>
              <w:pStyle w:val="Header"/>
              <w:tabs>
                <w:tab w:val="clear" w:pos="4153"/>
                <w:tab w:val="clear" w:pos="8306"/>
              </w:tabs>
              <w:rPr>
                <w:rFonts w:cs="Arial"/>
                <w:sz w:val="23"/>
                <w:szCs w:val="23"/>
              </w:rPr>
            </w:pPr>
          </w:p>
          <w:p w:rsidR="002E336D" w:rsidRDefault="002E336D">
            <w:pPr>
              <w:pStyle w:val="Header"/>
              <w:tabs>
                <w:tab w:val="clear" w:pos="4153"/>
                <w:tab w:val="clear" w:pos="8306"/>
              </w:tabs>
              <w:rPr>
                <w:rFonts w:cs="Arial"/>
                <w:sz w:val="23"/>
                <w:szCs w:val="23"/>
              </w:rPr>
            </w:pPr>
          </w:p>
          <w:p w:rsidR="002E336D" w:rsidRDefault="002E336D">
            <w:pPr>
              <w:pStyle w:val="Header"/>
              <w:tabs>
                <w:tab w:val="clear" w:pos="4153"/>
                <w:tab w:val="clear" w:pos="8306"/>
              </w:tabs>
              <w:rPr>
                <w:rFonts w:cs="Arial"/>
                <w:sz w:val="23"/>
                <w:szCs w:val="23"/>
              </w:rPr>
            </w:pPr>
            <w:r>
              <w:rPr>
                <w:rFonts w:cs="Arial"/>
                <w:sz w:val="23"/>
                <w:szCs w:val="23"/>
              </w:rPr>
              <w:t xml:space="preserve">HRA tenancies ended due to </w:t>
            </w:r>
            <w:r w:rsidR="003907E8">
              <w:rPr>
                <w:rFonts w:cs="Arial"/>
                <w:sz w:val="23"/>
                <w:szCs w:val="23"/>
              </w:rPr>
              <w:t>‘fleeing violence’</w:t>
            </w:r>
          </w:p>
          <w:p w:rsidR="003907E8" w:rsidRDefault="003907E8">
            <w:pPr>
              <w:pStyle w:val="Header"/>
              <w:tabs>
                <w:tab w:val="clear" w:pos="4153"/>
                <w:tab w:val="clear" w:pos="8306"/>
              </w:tabs>
              <w:rPr>
                <w:rFonts w:cs="Arial"/>
                <w:sz w:val="23"/>
                <w:szCs w:val="23"/>
              </w:rPr>
            </w:pPr>
            <w:r>
              <w:rPr>
                <w:rFonts w:cs="Arial"/>
                <w:sz w:val="23"/>
                <w:szCs w:val="23"/>
              </w:rPr>
              <w:t xml:space="preserve">2017/18 </w:t>
            </w:r>
            <w:r w:rsidR="00934087">
              <w:rPr>
                <w:rFonts w:cs="Arial"/>
                <w:sz w:val="23"/>
                <w:szCs w:val="23"/>
              </w:rPr>
              <w:t>–</w:t>
            </w:r>
            <w:r>
              <w:rPr>
                <w:rFonts w:cs="Arial"/>
                <w:sz w:val="23"/>
                <w:szCs w:val="23"/>
              </w:rPr>
              <w:t xml:space="preserve"> 3</w:t>
            </w:r>
          </w:p>
          <w:p w:rsidR="00934087" w:rsidRDefault="00934087">
            <w:pPr>
              <w:pStyle w:val="Header"/>
              <w:tabs>
                <w:tab w:val="clear" w:pos="4153"/>
                <w:tab w:val="clear" w:pos="8306"/>
              </w:tabs>
              <w:rPr>
                <w:rFonts w:cs="Arial"/>
                <w:sz w:val="23"/>
                <w:szCs w:val="23"/>
              </w:rPr>
            </w:pPr>
            <w:r>
              <w:rPr>
                <w:rFonts w:cs="Arial"/>
                <w:sz w:val="23"/>
                <w:szCs w:val="23"/>
              </w:rPr>
              <w:t>2018/19 – 1</w:t>
            </w:r>
          </w:p>
          <w:p w:rsidR="00934087" w:rsidRDefault="00934087">
            <w:pPr>
              <w:pStyle w:val="Header"/>
              <w:tabs>
                <w:tab w:val="clear" w:pos="4153"/>
                <w:tab w:val="clear" w:pos="8306"/>
              </w:tabs>
              <w:rPr>
                <w:rFonts w:cs="Arial"/>
                <w:sz w:val="23"/>
                <w:szCs w:val="23"/>
              </w:rPr>
            </w:pPr>
            <w:r>
              <w:rPr>
                <w:rFonts w:cs="Arial"/>
                <w:sz w:val="23"/>
                <w:szCs w:val="23"/>
              </w:rPr>
              <w:lastRenderedPageBreak/>
              <w:t>2019/20 - 1</w:t>
            </w:r>
          </w:p>
          <w:p w:rsidR="004D4385" w:rsidRPr="007C7EB3" w:rsidRDefault="004D4385">
            <w:pPr>
              <w:pStyle w:val="Header"/>
              <w:tabs>
                <w:tab w:val="clear" w:pos="4153"/>
                <w:tab w:val="clear" w:pos="8306"/>
              </w:tabs>
              <w:rPr>
                <w:rFonts w:cs="Arial"/>
                <w:b/>
                <w:bCs/>
                <w:sz w:val="23"/>
                <w:szCs w:val="23"/>
              </w:rPr>
            </w:pPr>
          </w:p>
        </w:tc>
      </w:tr>
      <w:tr w:rsidR="004D4385">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8F51B6">
            <w:pPr>
              <w:pStyle w:val="Heading2"/>
              <w:numPr>
                <w:ilvl w:val="0"/>
                <w:numId w:val="24"/>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8F51B6">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r>
              <w:rPr>
                <w:i/>
                <w:iCs/>
                <w:sz w:val="16"/>
              </w:rPr>
              <w:t xml:space="preserve"> </w:t>
            </w:r>
            <w:r>
              <w:rPr>
                <w:b/>
                <w:bCs/>
                <w:i/>
                <w:iCs/>
                <w:sz w:val="16"/>
              </w:rPr>
              <w:t xml:space="preserve">(insert </w:t>
            </w:r>
            <w:r>
              <w:rPr>
                <w:b/>
                <w:bCs/>
                <w:i/>
                <w:iCs/>
                <w:sz w:val="16"/>
              </w:rPr>
              <w:sym w:font="Wingdings" w:char="F0FC"/>
            </w:r>
            <w:r>
              <w:rPr>
                <w:b/>
                <w:bCs/>
                <w:i/>
                <w:iCs/>
                <w:sz w:val="16"/>
              </w:rPr>
              <w:t xml:space="preserve"> in one or more boxes)</w:t>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 xml:space="preserve">Age </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Disabilty</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Pr>
                <w:rFonts w:cs="Arial"/>
                <w:b/>
                <w:bCs/>
                <w:noProof/>
                <w:sz w:val="22"/>
                <w:lang w:val="en-US"/>
              </w:rPr>
              <w:t xml:space="preserve"> </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Pregnancy/maternity</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Race</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ing6"/>
              <w:rPr>
                <w:rFonts w:cs="Arial"/>
              </w:rPr>
            </w:pPr>
            <w:r>
              <w:rPr>
                <w:rFonts w:cs="Arial"/>
              </w:rPr>
              <w:t>Religion/belief</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Sex</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965FBD">
            <w:pPr>
              <w:jc w:val="center"/>
              <w:rPr>
                <w:rFonts w:cs="Arial"/>
                <w:b/>
                <w:bCs/>
                <w:noProof/>
                <w:lang w:val="en-US"/>
              </w:rPr>
            </w:pPr>
            <w:r w:rsidRPr="00965FBD">
              <w:rPr>
                <w:rFonts w:cs="Arial"/>
                <w:b/>
                <w:bCs/>
                <w:i/>
                <w:iCs/>
                <w:noProof/>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Sexual orientation</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Other (eg low income groups)</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F51B6">
            <w:pPr>
              <w:pStyle w:val="Header"/>
              <w:numPr>
                <w:ilvl w:val="0"/>
                <w:numId w:val="24"/>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8F51B6" w:rsidRDefault="003E7FD2" w:rsidP="008F51B6">
            <w:pPr>
              <w:pStyle w:val="Default"/>
              <w:rPr>
                <w:sz w:val="23"/>
                <w:szCs w:val="23"/>
              </w:rPr>
            </w:pPr>
            <w:r>
              <w:rPr>
                <w:sz w:val="23"/>
                <w:szCs w:val="23"/>
              </w:rPr>
              <w:t>Some groups have a negative impact in relation to domestic violence, including children, women (as more likely victims), men (fewer services are available for support), and disabled people (barriers to accessing support). This policy will help address these issues by making its target audie</w:t>
            </w:r>
            <w:r w:rsidR="008F51B6">
              <w:rPr>
                <w:sz w:val="23"/>
                <w:szCs w:val="23"/>
              </w:rPr>
              <w:t>nce more aware of these issues.</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F51B6">
            <w:pPr>
              <w:pStyle w:val="Header"/>
              <w:numPr>
                <w:ilvl w:val="0"/>
                <w:numId w:val="24"/>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3C4908" w:rsidRDefault="004846AF" w:rsidP="00660836">
            <w:pPr>
              <w:pStyle w:val="Default"/>
              <w:rPr>
                <w:bCs/>
              </w:rPr>
            </w:pPr>
            <w:r>
              <w:rPr>
                <w:bCs/>
              </w:rPr>
              <w:lastRenderedPageBreak/>
              <w:t xml:space="preserve">Through awareness raising and </w:t>
            </w:r>
            <w:r w:rsidR="00C77DF0">
              <w:rPr>
                <w:bCs/>
              </w:rPr>
              <w:t xml:space="preserve">training, staff will also be able to make referrals or sign post to additional and specialist support depending on the needs of the victim. </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F51B6">
            <w:pPr>
              <w:pStyle w:val="Heading2"/>
              <w:numPr>
                <w:ilvl w:val="0"/>
                <w:numId w:val="24"/>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C4908">
        <w:tblPrEx>
          <w:tblCellMar>
            <w:top w:w="0" w:type="dxa"/>
            <w:bottom w:w="0" w:type="dxa"/>
          </w:tblCellMar>
        </w:tblPrEx>
        <w:tc>
          <w:tcPr>
            <w:tcW w:w="5495" w:type="dxa"/>
            <w:gridSpan w:val="5"/>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1442"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3C4908">
        <w:tblPrEx>
          <w:tblCellMar>
            <w:top w:w="0" w:type="dxa"/>
            <w:bottom w:w="0" w:type="dxa"/>
          </w:tblCellMar>
        </w:tblPrEx>
        <w:tc>
          <w:tcPr>
            <w:tcW w:w="5495"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7E7882" w:rsidRDefault="00F877AF">
            <w:pPr>
              <w:rPr>
                <w:rFonts w:cs="Arial"/>
              </w:rPr>
            </w:pPr>
            <w:r>
              <w:rPr>
                <w:sz w:val="23"/>
                <w:szCs w:val="23"/>
              </w:rPr>
              <w:t>Provide staff with</w:t>
            </w:r>
            <w:r w:rsidR="000F4CEF">
              <w:rPr>
                <w:sz w:val="23"/>
                <w:szCs w:val="23"/>
              </w:rPr>
              <w:t xml:space="preserve"> appropriate training</w:t>
            </w:r>
            <w:r w:rsidR="00586EE9">
              <w:rPr>
                <w:sz w:val="23"/>
                <w:szCs w:val="23"/>
              </w:rPr>
              <w:t xml:space="preserve"> and support</w:t>
            </w:r>
            <w:r w:rsidR="000F4CEF">
              <w:rPr>
                <w:sz w:val="23"/>
                <w:szCs w:val="23"/>
              </w:rPr>
              <w:t xml:space="preserve"> in relation to domestic violence</w:t>
            </w:r>
            <w:r>
              <w:rPr>
                <w:sz w:val="23"/>
                <w:szCs w:val="23"/>
              </w:rPr>
              <w:t>.</w:t>
            </w:r>
            <w:r w:rsidR="000F4CEF">
              <w:rPr>
                <w:sz w:val="23"/>
                <w:szCs w:val="23"/>
              </w:rPr>
              <w:t xml:space="preserve"> </w:t>
            </w:r>
          </w:p>
        </w:tc>
        <w:tc>
          <w:tcPr>
            <w:tcW w:w="1442"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846AF">
            <w:pPr>
              <w:jc w:val="center"/>
              <w:rPr>
                <w:rFonts w:cs="Arial"/>
              </w:rPr>
            </w:pPr>
            <w:r>
              <w:rPr>
                <w:rFonts w:cs="Arial"/>
              </w:rPr>
              <w:t>Head of Housing</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846AF">
            <w:pPr>
              <w:jc w:val="center"/>
              <w:rPr>
                <w:rFonts w:cs="Arial"/>
              </w:rPr>
            </w:pPr>
            <w:r>
              <w:rPr>
                <w:rFonts w:cs="Arial"/>
              </w:rPr>
              <w:t>Ongoing</w:t>
            </w:r>
          </w:p>
        </w:tc>
      </w:tr>
      <w:tr w:rsidR="004D4385" w:rsidTr="003C4908">
        <w:tblPrEx>
          <w:tblCellMar>
            <w:top w:w="0" w:type="dxa"/>
            <w:bottom w:w="0" w:type="dxa"/>
          </w:tblCellMar>
        </w:tblPrEx>
        <w:tc>
          <w:tcPr>
            <w:tcW w:w="5495"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FB1C1F" w:rsidRDefault="00A807F7">
            <w:pPr>
              <w:rPr>
                <w:rFonts w:cs="Arial"/>
              </w:rPr>
            </w:pPr>
            <w:r>
              <w:rPr>
                <w:sz w:val="23"/>
                <w:szCs w:val="23"/>
              </w:rPr>
              <w:t>Develop a communications plan to ensure staff across the Housing Services will have an improved understanding and knowledge of domestic violence</w:t>
            </w:r>
          </w:p>
        </w:tc>
        <w:tc>
          <w:tcPr>
            <w:tcW w:w="1442"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846AF">
            <w:pPr>
              <w:jc w:val="center"/>
              <w:rPr>
                <w:rFonts w:cs="Arial"/>
              </w:rPr>
            </w:pPr>
            <w:r w:rsidRPr="001C2CC6">
              <w:rPr>
                <w:sz w:val="16"/>
                <w:szCs w:val="28"/>
              </w:rPr>
              <w:t>Housing Strategy, Partnerships and Performance Team</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846AF">
            <w:pPr>
              <w:jc w:val="center"/>
              <w:rPr>
                <w:rFonts w:cs="Arial"/>
              </w:rPr>
            </w:pPr>
            <w:r>
              <w:rPr>
                <w:rFonts w:cs="Arial"/>
              </w:rPr>
              <w:t>December 2020</w:t>
            </w:r>
          </w:p>
        </w:tc>
      </w:tr>
      <w:tr w:rsidR="00586EE9" w:rsidTr="003C4908">
        <w:tblPrEx>
          <w:tblCellMar>
            <w:top w:w="0" w:type="dxa"/>
            <w:bottom w:w="0" w:type="dxa"/>
          </w:tblCellMar>
        </w:tblPrEx>
        <w:tc>
          <w:tcPr>
            <w:tcW w:w="5495"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586EE9" w:rsidRDefault="00586EE9">
            <w:pPr>
              <w:rPr>
                <w:sz w:val="23"/>
                <w:szCs w:val="23"/>
              </w:rPr>
            </w:pPr>
            <w:r>
              <w:rPr>
                <w:sz w:val="23"/>
                <w:szCs w:val="23"/>
              </w:rPr>
              <w:t xml:space="preserve">Monitor the number of Domestic Abuse cases received within each area of the Housing Service. </w:t>
            </w:r>
          </w:p>
        </w:tc>
        <w:tc>
          <w:tcPr>
            <w:tcW w:w="1442"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586EE9" w:rsidRDefault="004223BC">
            <w:pPr>
              <w:jc w:val="center"/>
              <w:rPr>
                <w:rFonts w:cs="Arial"/>
              </w:rPr>
            </w:pPr>
            <w:r w:rsidRPr="003C4908">
              <w:rPr>
                <w:sz w:val="16"/>
                <w:szCs w:val="28"/>
              </w:rPr>
              <w:t>Housing Strategy, Partnerships and Performance Team</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586EE9" w:rsidRPr="003C4908" w:rsidRDefault="004223BC">
            <w:pPr>
              <w:jc w:val="center"/>
              <w:rPr>
                <w:rFonts w:cs="Arial"/>
                <w:sz w:val="23"/>
                <w:szCs w:val="23"/>
              </w:rPr>
            </w:pPr>
            <w:r w:rsidRPr="003C4908">
              <w:rPr>
                <w:rFonts w:cs="Arial"/>
                <w:sz w:val="23"/>
                <w:szCs w:val="23"/>
              </w:rPr>
              <w:t>Annually</w:t>
            </w:r>
          </w:p>
        </w:tc>
      </w:tr>
      <w:tr w:rsidR="004D4385">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8F51B6">
            <w:pPr>
              <w:pStyle w:val="Heading2"/>
              <w:numPr>
                <w:ilvl w:val="0"/>
                <w:numId w:val="24"/>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846AF">
        <w:tblPrEx>
          <w:tblCellMar>
            <w:top w:w="0" w:type="dxa"/>
            <w:bottom w:w="0" w:type="dxa"/>
          </w:tblCellMar>
        </w:tblPrEx>
        <w:trPr>
          <w:cantSplit/>
        </w:trPr>
        <w:tc>
          <w:tcPr>
            <w:tcW w:w="8531"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846AF" w:rsidRDefault="004846AF" w:rsidP="004846AF">
            <w:r w:rsidRPr="001C2CC6">
              <w:rPr>
                <w:bCs/>
              </w:rPr>
              <w:t xml:space="preserve">Proceed with the reviewed policy. </w:t>
            </w:r>
          </w:p>
        </w:tc>
      </w:tr>
      <w:tr w:rsidR="004846AF">
        <w:tblPrEx>
          <w:tblCellMar>
            <w:top w:w="0" w:type="dxa"/>
            <w:bottom w:w="0" w:type="dxa"/>
          </w:tblCellMar>
        </w:tblPrEx>
        <w:tc>
          <w:tcPr>
            <w:tcW w:w="8531"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846AF" w:rsidRDefault="004846AF" w:rsidP="008F51B6">
            <w:pPr>
              <w:pStyle w:val="Heading2"/>
              <w:numPr>
                <w:ilvl w:val="0"/>
                <w:numId w:val="24"/>
              </w:numPr>
              <w:rPr>
                <w:sz w:val="24"/>
              </w:rPr>
            </w:pPr>
            <w:r>
              <w:rPr>
                <w:sz w:val="24"/>
              </w:rPr>
              <w:t xml:space="preserve">Authorisation </w:t>
            </w:r>
          </w:p>
          <w:p w:rsidR="004846AF" w:rsidRDefault="004846AF" w:rsidP="004846AF">
            <w:pPr>
              <w:pStyle w:val="Header"/>
              <w:tabs>
                <w:tab w:val="clear" w:pos="4153"/>
                <w:tab w:val="clear" w:pos="8306"/>
              </w:tabs>
              <w:rPr>
                <w:i/>
                <w:iCs/>
                <w:sz w:val="20"/>
              </w:rPr>
            </w:pPr>
            <w:r>
              <w:rPr>
                <w:i/>
                <w:iCs/>
                <w:sz w:val="20"/>
              </w:rPr>
              <w:t>The authorising officer is consenting that:</w:t>
            </w:r>
          </w:p>
          <w:p w:rsidR="004846AF" w:rsidRDefault="004846AF" w:rsidP="004846AF">
            <w:pPr>
              <w:pStyle w:val="Header"/>
              <w:numPr>
                <w:ilvl w:val="0"/>
                <w:numId w:val="15"/>
              </w:numPr>
              <w:tabs>
                <w:tab w:val="clear" w:pos="4153"/>
                <w:tab w:val="clear" w:pos="8306"/>
              </w:tabs>
              <w:rPr>
                <w:i/>
                <w:iCs/>
                <w:sz w:val="20"/>
              </w:rPr>
            </w:pPr>
            <w:r>
              <w:rPr>
                <w:i/>
                <w:iCs/>
                <w:sz w:val="20"/>
              </w:rPr>
              <w:t>the recommendation can be implemented</w:t>
            </w:r>
          </w:p>
          <w:p w:rsidR="004846AF" w:rsidRDefault="004846AF" w:rsidP="004846AF">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846AF" w:rsidRDefault="004846AF" w:rsidP="004846AF">
            <w:pPr>
              <w:numPr>
                <w:ilvl w:val="0"/>
                <w:numId w:val="14"/>
              </w:numPr>
              <w:rPr>
                <w:rFonts w:cs="Arial"/>
                <w:b/>
                <w:bCs/>
                <w:sz w:val="20"/>
                <w:szCs w:val="20"/>
              </w:rPr>
            </w:pPr>
            <w:r>
              <w:rPr>
                <w:i/>
                <w:iCs/>
                <w:sz w:val="20"/>
              </w:rPr>
              <w:t xml:space="preserve">the Action Plan will be incorporated into the relevant Service Plan and monitored </w:t>
            </w:r>
          </w:p>
        </w:tc>
      </w:tr>
      <w:tr w:rsidR="004846AF">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846AF" w:rsidRDefault="004846AF" w:rsidP="004846AF">
            <w:pPr>
              <w:rPr>
                <w:rFonts w:cs="Arial"/>
                <w:b/>
                <w:bCs/>
              </w:rPr>
            </w:pPr>
            <w:r>
              <w:rPr>
                <w:rFonts w:cs="Arial"/>
                <w:b/>
                <w:bCs/>
              </w:rPr>
              <w:t>Authorising Officer</w:t>
            </w:r>
          </w:p>
          <w:p w:rsidR="004846AF" w:rsidRDefault="004846AF" w:rsidP="004846AF">
            <w:pPr>
              <w:rPr>
                <w:rFonts w:cs="Arial"/>
                <w:b/>
                <w:bCs/>
              </w:rPr>
            </w:pPr>
          </w:p>
        </w:tc>
        <w:tc>
          <w:tcPr>
            <w:tcW w:w="5906"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846AF" w:rsidRDefault="004846AF" w:rsidP="004846AF">
            <w:pPr>
              <w:pStyle w:val="CommentText"/>
              <w:rPr>
                <w:rFonts w:cs="Arial"/>
                <w:sz w:val="24"/>
                <w:szCs w:val="24"/>
              </w:rPr>
            </w:pPr>
            <w:r>
              <w:rPr>
                <w:rFonts w:cs="Arial"/>
                <w:sz w:val="24"/>
                <w:szCs w:val="24"/>
              </w:rPr>
              <w:t xml:space="preserve">Mark </w:t>
            </w:r>
            <w:proofErr w:type="spellStart"/>
            <w:r>
              <w:rPr>
                <w:rFonts w:cs="Arial"/>
                <w:sz w:val="24"/>
                <w:szCs w:val="24"/>
              </w:rPr>
              <w:t>Breathwick</w:t>
            </w:r>
            <w:proofErr w:type="spellEnd"/>
          </w:p>
          <w:p w:rsidR="004846AF" w:rsidRPr="00647BDA" w:rsidRDefault="004846AF" w:rsidP="004846AF">
            <w:pPr>
              <w:pStyle w:val="CommentText"/>
              <w:rPr>
                <w:rFonts w:cs="Arial"/>
                <w:b/>
                <w:sz w:val="24"/>
                <w:szCs w:val="24"/>
              </w:rPr>
            </w:pPr>
            <w:r w:rsidRPr="00647BDA">
              <w:rPr>
                <w:rFonts w:cs="Arial"/>
                <w:b/>
                <w:sz w:val="24"/>
                <w:szCs w:val="24"/>
              </w:rPr>
              <w:t>Head of Housi</w:t>
            </w:r>
            <w:r>
              <w:rPr>
                <w:rFonts w:cs="Arial"/>
                <w:b/>
                <w:sz w:val="24"/>
                <w:szCs w:val="24"/>
              </w:rPr>
              <w:t>ng</w:t>
            </w:r>
          </w:p>
        </w:tc>
      </w:tr>
      <w:tr w:rsidR="004846AF">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846AF" w:rsidRDefault="004846AF" w:rsidP="004846AF">
            <w:pPr>
              <w:rPr>
                <w:rFonts w:cs="Arial"/>
                <w:b/>
                <w:bCs/>
              </w:rPr>
            </w:pPr>
            <w:r>
              <w:rPr>
                <w:rFonts w:cs="Arial"/>
                <w:b/>
                <w:bCs/>
              </w:rPr>
              <w:t xml:space="preserve">Date </w:t>
            </w:r>
          </w:p>
        </w:tc>
        <w:tc>
          <w:tcPr>
            <w:tcW w:w="5906"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846AF" w:rsidRPr="00365FD6" w:rsidRDefault="003C4908" w:rsidP="00365FD6">
            <w:pPr>
              <w:pStyle w:val="CommentText"/>
              <w:rPr>
                <w:rFonts w:cs="Arial"/>
                <w:sz w:val="24"/>
                <w:szCs w:val="24"/>
              </w:rPr>
            </w:pPr>
            <w:r>
              <w:rPr>
                <w:rFonts w:cs="Arial"/>
                <w:sz w:val="24"/>
                <w:szCs w:val="24"/>
              </w:rPr>
              <w:t>July 2020</w:t>
            </w:r>
          </w:p>
        </w:tc>
      </w:tr>
    </w:tbl>
    <w:p w:rsidR="004D4385" w:rsidRDefault="004D4385">
      <w:pPr>
        <w:rPr>
          <w:rFonts w:cs="Arial"/>
          <w:b/>
          <w:bCs/>
          <w:iCs/>
          <w:sz w:val="16"/>
          <w:szCs w:val="16"/>
        </w:rPr>
      </w:pPr>
    </w:p>
    <w:sectPr w:rsidR="004D4385">
      <w:headerReference w:type="default" r:id="rId8"/>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16" w:rsidRDefault="00934016">
      <w:r>
        <w:separator/>
      </w:r>
    </w:p>
  </w:endnote>
  <w:endnote w:type="continuationSeparator" w:id="0">
    <w:p w:rsidR="00934016" w:rsidRDefault="009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16" w:rsidRDefault="00934016">
      <w:r>
        <w:separator/>
      </w:r>
    </w:p>
  </w:footnote>
  <w:footnote w:type="continuationSeparator" w:id="0">
    <w:p w:rsidR="00934016" w:rsidRDefault="0093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63" w:rsidRDefault="006E5B63">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5528213" r:id="rId2"/>
      </w:object>
    </w:r>
    <w:r>
      <w:rPr>
        <w:b/>
        <w:bCs/>
        <w:sz w:val="44"/>
      </w:rPr>
      <w:t>Diversity</w:t>
    </w:r>
  </w:p>
  <w:p w:rsidR="006E5B63" w:rsidRDefault="006E5B63">
    <w:pPr>
      <w:pStyle w:val="Header"/>
      <w:jc w:val="center"/>
      <w:rPr>
        <w:b/>
        <w:bCs/>
        <w:sz w:val="36"/>
      </w:rPr>
    </w:pPr>
    <w:r>
      <w:rPr>
        <w:b/>
        <w:bCs/>
        <w:sz w:val="44"/>
      </w:rPr>
      <w:t xml:space="preserve"> </w:t>
    </w:r>
    <w:r w:rsidR="00FB1C1F">
      <w:rPr>
        <w:b/>
        <w:bCs/>
        <w:sz w:val="44"/>
      </w:rPr>
      <w:t>impact</w:t>
    </w:r>
    <w:r>
      <w:rPr>
        <w:b/>
        <w:bCs/>
        <w:sz w:val="44"/>
      </w:rPr>
      <w:t xml:space="preserve"> assessment </w:t>
    </w:r>
  </w:p>
  <w:p w:rsidR="006E5B63" w:rsidRDefault="006E5B6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7D2196"/>
    <w:multiLevelType w:val="hybridMultilevel"/>
    <w:tmpl w:val="4A70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C86511"/>
    <w:multiLevelType w:val="hybridMultilevel"/>
    <w:tmpl w:val="5ED82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81739"/>
    <w:multiLevelType w:val="multilevel"/>
    <w:tmpl w:val="F76C914C"/>
    <w:lvl w:ilvl="0">
      <w:start w:val="1"/>
      <w:numFmt w:val="decimal"/>
      <w:lvlText w:val="%1."/>
      <w:lvlJc w:val="left"/>
      <w:pPr>
        <w:ind w:left="720" w:hanging="360"/>
      </w:pPr>
      <w:rPr>
        <w:rFonts w:ascii="Calibri" w:eastAsia="Calibri" w:hAnsi="Calibri" w:cs="Times New Roman"/>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0" w15:restartNumberingAfterBreak="0">
    <w:nsid w:val="6D575FB0"/>
    <w:multiLevelType w:val="multilevel"/>
    <w:tmpl w:val="5190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2"/>
  </w:num>
  <w:num w:numId="3">
    <w:abstractNumId w:val="9"/>
  </w:num>
  <w:num w:numId="4">
    <w:abstractNumId w:val="1"/>
  </w:num>
  <w:num w:numId="5">
    <w:abstractNumId w:val="12"/>
  </w:num>
  <w:num w:numId="6">
    <w:abstractNumId w:val="11"/>
  </w:num>
  <w:num w:numId="7">
    <w:abstractNumId w:val="16"/>
  </w:num>
  <w:num w:numId="8">
    <w:abstractNumId w:val="10"/>
  </w:num>
  <w:num w:numId="9">
    <w:abstractNumId w:val="0"/>
  </w:num>
  <w:num w:numId="10">
    <w:abstractNumId w:val="5"/>
  </w:num>
  <w:num w:numId="11">
    <w:abstractNumId w:val="13"/>
  </w:num>
  <w:num w:numId="12">
    <w:abstractNumId w:val="3"/>
  </w:num>
  <w:num w:numId="13">
    <w:abstractNumId w:val="23"/>
  </w:num>
  <w:num w:numId="14">
    <w:abstractNumId w:val="2"/>
  </w:num>
  <w:num w:numId="15">
    <w:abstractNumId w:val="18"/>
  </w:num>
  <w:num w:numId="16">
    <w:abstractNumId w:val="17"/>
  </w:num>
  <w:num w:numId="17">
    <w:abstractNumId w:val="14"/>
  </w:num>
  <w:num w:numId="18">
    <w:abstractNumId w:val="21"/>
  </w:num>
  <w:num w:numId="19">
    <w:abstractNumId w:val="19"/>
  </w:num>
  <w:num w:numId="20">
    <w:abstractNumId w:val="8"/>
  </w:num>
  <w:num w:numId="21">
    <w:abstractNumId w:val="7"/>
  </w:num>
  <w:num w:numId="22">
    <w:abstractNumId w:val="20"/>
  </w:num>
  <w:num w:numId="23">
    <w:abstractNumId w:val="4"/>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7131A"/>
    <w:rsid w:val="000B2867"/>
    <w:rsid w:val="000F1370"/>
    <w:rsid w:val="000F4CEF"/>
    <w:rsid w:val="0011653B"/>
    <w:rsid w:val="001C22EB"/>
    <w:rsid w:val="001E7878"/>
    <w:rsid w:val="001F1773"/>
    <w:rsid w:val="00213F8C"/>
    <w:rsid w:val="00226174"/>
    <w:rsid w:val="002800CE"/>
    <w:rsid w:val="00284B95"/>
    <w:rsid w:val="00286ECE"/>
    <w:rsid w:val="002A4B3F"/>
    <w:rsid w:val="002B0110"/>
    <w:rsid w:val="002E336D"/>
    <w:rsid w:val="002F3264"/>
    <w:rsid w:val="0031167F"/>
    <w:rsid w:val="00317962"/>
    <w:rsid w:val="00365FD6"/>
    <w:rsid w:val="00374BC7"/>
    <w:rsid w:val="003907E8"/>
    <w:rsid w:val="003A1306"/>
    <w:rsid w:val="003C4908"/>
    <w:rsid w:val="003C49CD"/>
    <w:rsid w:val="003C658B"/>
    <w:rsid w:val="003D38C0"/>
    <w:rsid w:val="003E7FD2"/>
    <w:rsid w:val="004223BC"/>
    <w:rsid w:val="00435E08"/>
    <w:rsid w:val="00450EAF"/>
    <w:rsid w:val="00473A5B"/>
    <w:rsid w:val="00475D2F"/>
    <w:rsid w:val="004846AF"/>
    <w:rsid w:val="004B1ACC"/>
    <w:rsid w:val="004C5F24"/>
    <w:rsid w:val="004D4385"/>
    <w:rsid w:val="004F2385"/>
    <w:rsid w:val="00521385"/>
    <w:rsid w:val="005407C7"/>
    <w:rsid w:val="00542DF0"/>
    <w:rsid w:val="00580362"/>
    <w:rsid w:val="00586EE9"/>
    <w:rsid w:val="005E61AA"/>
    <w:rsid w:val="00605E10"/>
    <w:rsid w:val="00615C2C"/>
    <w:rsid w:val="006257D5"/>
    <w:rsid w:val="00633603"/>
    <w:rsid w:val="00642B44"/>
    <w:rsid w:val="0064308D"/>
    <w:rsid w:val="00647BDA"/>
    <w:rsid w:val="00660836"/>
    <w:rsid w:val="0067270D"/>
    <w:rsid w:val="006A3F36"/>
    <w:rsid w:val="006E5B63"/>
    <w:rsid w:val="006F59FB"/>
    <w:rsid w:val="007322DD"/>
    <w:rsid w:val="00733862"/>
    <w:rsid w:val="00764FD7"/>
    <w:rsid w:val="0077036C"/>
    <w:rsid w:val="007C7EB3"/>
    <w:rsid w:val="007E5990"/>
    <w:rsid w:val="007E7882"/>
    <w:rsid w:val="007F7C35"/>
    <w:rsid w:val="008213CE"/>
    <w:rsid w:val="00865498"/>
    <w:rsid w:val="008B1BB4"/>
    <w:rsid w:val="008D7F5E"/>
    <w:rsid w:val="008E195D"/>
    <w:rsid w:val="008F3510"/>
    <w:rsid w:val="008F3B4D"/>
    <w:rsid w:val="008F51B6"/>
    <w:rsid w:val="00904F7C"/>
    <w:rsid w:val="009245C5"/>
    <w:rsid w:val="00930EC1"/>
    <w:rsid w:val="00934016"/>
    <w:rsid w:val="00934087"/>
    <w:rsid w:val="00954809"/>
    <w:rsid w:val="00965FBD"/>
    <w:rsid w:val="00991F28"/>
    <w:rsid w:val="009A0EFA"/>
    <w:rsid w:val="00A03E70"/>
    <w:rsid w:val="00A070BD"/>
    <w:rsid w:val="00A07FE0"/>
    <w:rsid w:val="00A2496A"/>
    <w:rsid w:val="00A27F79"/>
    <w:rsid w:val="00A63C9F"/>
    <w:rsid w:val="00A807F7"/>
    <w:rsid w:val="00A97088"/>
    <w:rsid w:val="00AC096B"/>
    <w:rsid w:val="00AD012B"/>
    <w:rsid w:val="00B534D0"/>
    <w:rsid w:val="00BB60B2"/>
    <w:rsid w:val="00BC2471"/>
    <w:rsid w:val="00C11EDD"/>
    <w:rsid w:val="00C15CEB"/>
    <w:rsid w:val="00C17099"/>
    <w:rsid w:val="00C731C5"/>
    <w:rsid w:val="00C77DF0"/>
    <w:rsid w:val="00CB76BF"/>
    <w:rsid w:val="00CC3C52"/>
    <w:rsid w:val="00CF5D40"/>
    <w:rsid w:val="00D03AF4"/>
    <w:rsid w:val="00D118AB"/>
    <w:rsid w:val="00D312FF"/>
    <w:rsid w:val="00D34F97"/>
    <w:rsid w:val="00D86EA6"/>
    <w:rsid w:val="00D90B99"/>
    <w:rsid w:val="00DA5AB2"/>
    <w:rsid w:val="00DD187C"/>
    <w:rsid w:val="00E056E7"/>
    <w:rsid w:val="00E34A78"/>
    <w:rsid w:val="00EC4DE0"/>
    <w:rsid w:val="00ED34D6"/>
    <w:rsid w:val="00F32619"/>
    <w:rsid w:val="00F51851"/>
    <w:rsid w:val="00F877AF"/>
    <w:rsid w:val="00FA2266"/>
    <w:rsid w:val="00FB1C1F"/>
    <w:rsid w:val="00FB5B3E"/>
    <w:rsid w:val="00FB6D0B"/>
    <w:rsid w:val="00FE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040ABEA5"/>
  <w15:chartTrackingRefBased/>
  <w15:docId w15:val="{BD73BE5C-7693-4D73-BF2D-469A1DD3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uiPriority w:val="34"/>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7898">
      <w:bodyDiv w:val="1"/>
      <w:marLeft w:val="0"/>
      <w:marRight w:val="0"/>
      <w:marTop w:val="0"/>
      <w:marBottom w:val="0"/>
      <w:divBdr>
        <w:top w:val="none" w:sz="0" w:space="0" w:color="auto"/>
        <w:left w:val="none" w:sz="0" w:space="0" w:color="auto"/>
        <w:bottom w:val="none" w:sz="0" w:space="0" w:color="auto"/>
        <w:right w:val="none" w:sz="0" w:space="0" w:color="auto"/>
      </w:divBdr>
      <w:divsChild>
        <w:div w:id="2113277219">
          <w:marLeft w:val="0"/>
          <w:marRight w:val="0"/>
          <w:marTop w:val="75"/>
          <w:marBottom w:val="0"/>
          <w:divBdr>
            <w:top w:val="none" w:sz="0" w:space="0" w:color="auto"/>
            <w:left w:val="none" w:sz="0" w:space="0" w:color="auto"/>
            <w:bottom w:val="none" w:sz="0" w:space="0" w:color="auto"/>
            <w:right w:val="none" w:sz="0" w:space="0" w:color="auto"/>
          </w:divBdr>
          <w:divsChild>
            <w:div w:id="1212234686">
              <w:marLeft w:val="0"/>
              <w:marRight w:val="0"/>
              <w:marTop w:val="0"/>
              <w:marBottom w:val="0"/>
              <w:divBdr>
                <w:top w:val="single" w:sz="6" w:space="8" w:color="CCCCCC"/>
                <w:left w:val="single" w:sz="6" w:space="11" w:color="CCCCCC"/>
                <w:bottom w:val="single" w:sz="18" w:space="19" w:color="999999"/>
                <w:right w:val="single" w:sz="18" w:space="8" w:color="999999"/>
              </w:divBdr>
              <w:divsChild>
                <w:div w:id="10617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B4D5-5101-4B74-A409-4F82F71B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4377</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sims, aisling</cp:lastModifiedBy>
  <cp:revision>2</cp:revision>
  <cp:lastPrinted>2017-12-18T09:32:00Z</cp:lastPrinted>
  <dcterms:created xsi:type="dcterms:W3CDTF">2020-07-06T07:10:00Z</dcterms:created>
  <dcterms:modified xsi:type="dcterms:W3CDTF">2020-07-06T07:10:00Z</dcterms:modified>
</cp:coreProperties>
</file>