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E0B0F" w14:textId="77777777" w:rsidR="008C3080" w:rsidRDefault="002310B7" w:rsidP="004C0B3F">
      <w:pPr>
        <w:pStyle w:val="Title"/>
      </w:pPr>
      <w:r>
        <w:t>Tenant Incentive Scheme</w:t>
      </w:r>
    </w:p>
    <w:p w14:paraId="6B5B08DA" w14:textId="77777777" w:rsidR="00AA150F" w:rsidRDefault="00AA150F" w:rsidP="00AA150F"/>
    <w:p w14:paraId="1E6F7B33" w14:textId="77777777" w:rsidR="00AA150F" w:rsidRDefault="00AA150F" w:rsidP="00AA150F">
      <w:pPr>
        <w:pStyle w:val="Heading1"/>
        <w:numPr>
          <w:ilvl w:val="0"/>
          <w:numId w:val="1"/>
        </w:numPr>
      </w:pPr>
      <w:r>
        <w:t>Introduction</w:t>
      </w:r>
    </w:p>
    <w:p w14:paraId="35D60B80" w14:textId="77777777" w:rsidR="002310B7" w:rsidRPr="003D14FE" w:rsidRDefault="002310B7" w:rsidP="000D3F32">
      <w:pPr>
        <w:numPr>
          <w:ilvl w:val="1"/>
          <w:numId w:val="1"/>
        </w:numPr>
        <w:tabs>
          <w:tab w:val="left" w:pos="567"/>
        </w:tabs>
        <w:autoSpaceDE w:val="0"/>
        <w:autoSpaceDN w:val="0"/>
        <w:adjustRightInd w:val="0"/>
        <w:spacing w:after="0" w:line="276" w:lineRule="auto"/>
        <w:rPr>
          <w:rFonts w:ascii="Arial" w:hAnsi="Arial" w:cs="Arial"/>
          <w:i/>
          <w:iCs/>
        </w:rPr>
      </w:pPr>
      <w:r w:rsidRPr="003D14FE">
        <w:rPr>
          <w:rFonts w:ascii="Arial" w:hAnsi="Arial" w:cs="Arial"/>
          <w:lang w:eastAsia="en-GB"/>
        </w:rPr>
        <w:t xml:space="preserve">Medway Council </w:t>
      </w:r>
      <w:r>
        <w:rPr>
          <w:rFonts w:ascii="Arial" w:hAnsi="Arial" w:cs="Arial"/>
          <w:lang w:eastAsia="en-GB"/>
        </w:rPr>
        <w:t xml:space="preserve">Landlord Services </w:t>
      </w:r>
      <w:r w:rsidRPr="003D14FE">
        <w:rPr>
          <w:rFonts w:ascii="Arial" w:hAnsi="Arial" w:cs="Arial"/>
          <w:lang w:eastAsia="en-GB"/>
        </w:rPr>
        <w:t>is committed to adopting every possible means to meet the housing needs of applicants for housing in the area. There is an especially high demand for family sized accommodation</w:t>
      </w:r>
      <w:r>
        <w:rPr>
          <w:rFonts w:ascii="Arial" w:hAnsi="Arial" w:cs="Arial"/>
          <w:lang w:eastAsia="en-GB"/>
        </w:rPr>
        <w:t>, of which</w:t>
      </w:r>
      <w:r w:rsidRPr="00821C08">
        <w:rPr>
          <w:rFonts w:ascii="Arial" w:hAnsi="Arial" w:cs="Arial"/>
          <w:lang w:eastAsia="en-GB"/>
        </w:rPr>
        <w:t xml:space="preserve"> </w:t>
      </w:r>
      <w:r w:rsidRPr="00591465">
        <w:rPr>
          <w:rFonts w:ascii="Arial" w:hAnsi="Arial" w:cs="Arial"/>
          <w:lang w:eastAsia="en-GB"/>
        </w:rPr>
        <w:t>Medway Council has a limited supply</w:t>
      </w:r>
      <w:r w:rsidRPr="003D14FE">
        <w:rPr>
          <w:rFonts w:ascii="Arial" w:hAnsi="Arial" w:cs="Arial"/>
          <w:lang w:eastAsia="en-GB"/>
        </w:rPr>
        <w:t>.</w:t>
      </w:r>
      <w:r w:rsidR="000D3F32" w:rsidRPr="003D14FE">
        <w:rPr>
          <w:rFonts w:ascii="Arial" w:hAnsi="Arial" w:cs="Arial"/>
          <w:i/>
          <w:iCs/>
        </w:rPr>
        <w:t xml:space="preserve"> </w:t>
      </w:r>
    </w:p>
    <w:p w14:paraId="6F83FB46" w14:textId="77777777" w:rsidR="00AA150F" w:rsidRPr="002310B7" w:rsidRDefault="002310B7" w:rsidP="002310B7">
      <w:pPr>
        <w:numPr>
          <w:ilvl w:val="1"/>
          <w:numId w:val="1"/>
        </w:numPr>
        <w:tabs>
          <w:tab w:val="left" w:pos="567"/>
        </w:tabs>
        <w:autoSpaceDE w:val="0"/>
        <w:autoSpaceDN w:val="0"/>
        <w:adjustRightInd w:val="0"/>
        <w:spacing w:after="0" w:line="276" w:lineRule="auto"/>
        <w:rPr>
          <w:rFonts w:ascii="Arial" w:hAnsi="Arial" w:cs="Arial"/>
          <w:lang w:eastAsia="en-GB"/>
        </w:rPr>
      </w:pPr>
      <w:r w:rsidRPr="007A5523">
        <w:rPr>
          <w:rFonts w:ascii="Arial" w:hAnsi="Arial" w:cs="Arial"/>
          <w:lang w:eastAsia="en-GB"/>
        </w:rPr>
        <w:t xml:space="preserve">Under occupation of properties is a major concern not just to Medway Council but also to other Social Landlords. </w:t>
      </w:r>
      <w:r>
        <w:rPr>
          <w:rFonts w:ascii="Arial" w:hAnsi="Arial" w:cs="Arial"/>
          <w:lang w:eastAsia="en-GB"/>
        </w:rPr>
        <w:t xml:space="preserve"> </w:t>
      </w:r>
      <w:r w:rsidRPr="003D14FE">
        <w:rPr>
          <w:rFonts w:ascii="Arial" w:hAnsi="Arial" w:cs="Arial"/>
          <w:lang w:eastAsia="en-GB"/>
        </w:rPr>
        <w:t>Th</w:t>
      </w:r>
      <w:r>
        <w:rPr>
          <w:rFonts w:ascii="Arial" w:hAnsi="Arial" w:cs="Arial"/>
          <w:lang w:eastAsia="en-GB"/>
        </w:rPr>
        <w:t xml:space="preserve">is </w:t>
      </w:r>
      <w:r w:rsidRPr="003D14FE">
        <w:rPr>
          <w:rFonts w:ascii="Arial" w:hAnsi="Arial" w:cs="Arial"/>
          <w:lang w:eastAsia="en-GB"/>
        </w:rPr>
        <w:t>policy provide</w:t>
      </w:r>
      <w:r>
        <w:rPr>
          <w:rFonts w:ascii="Arial" w:hAnsi="Arial" w:cs="Arial"/>
          <w:lang w:eastAsia="en-GB"/>
        </w:rPr>
        <w:t>s</w:t>
      </w:r>
      <w:r w:rsidRPr="003D14FE">
        <w:rPr>
          <w:rFonts w:ascii="Arial" w:hAnsi="Arial" w:cs="Arial"/>
          <w:lang w:eastAsia="en-GB"/>
        </w:rPr>
        <w:t xml:space="preserve"> an incentive for tenants to transfer to a</w:t>
      </w:r>
      <w:r>
        <w:rPr>
          <w:rFonts w:ascii="Arial" w:hAnsi="Arial" w:cs="Arial"/>
          <w:lang w:eastAsia="en-GB"/>
        </w:rPr>
        <w:t xml:space="preserve"> council, social landlord or private sector property</w:t>
      </w:r>
      <w:r w:rsidRPr="003D14FE">
        <w:rPr>
          <w:rFonts w:ascii="Arial" w:hAnsi="Arial" w:cs="Arial"/>
          <w:lang w:eastAsia="en-GB"/>
        </w:rPr>
        <w:t xml:space="preserve"> more suitable for their household size.  This policy will also be applied to offer alternative accommodation to those tenants living in a disabled adapted property that they no longer require.</w:t>
      </w:r>
    </w:p>
    <w:p w14:paraId="354B9B1A" w14:textId="77777777" w:rsidR="00AA150F" w:rsidRDefault="00AA150F" w:rsidP="00AA150F">
      <w:pPr>
        <w:pStyle w:val="Heading1"/>
        <w:numPr>
          <w:ilvl w:val="0"/>
          <w:numId w:val="1"/>
        </w:numPr>
      </w:pPr>
      <w:r>
        <w:t>Purpose</w:t>
      </w:r>
    </w:p>
    <w:p w14:paraId="3089F2DD" w14:textId="77777777" w:rsidR="002310B7" w:rsidRPr="003D14FE" w:rsidRDefault="002310B7" w:rsidP="002310B7">
      <w:pPr>
        <w:numPr>
          <w:ilvl w:val="1"/>
          <w:numId w:val="1"/>
        </w:numPr>
        <w:tabs>
          <w:tab w:val="left" w:pos="567"/>
        </w:tabs>
        <w:autoSpaceDE w:val="0"/>
        <w:autoSpaceDN w:val="0"/>
        <w:adjustRightInd w:val="0"/>
        <w:spacing w:after="0" w:line="276" w:lineRule="auto"/>
        <w:rPr>
          <w:rFonts w:ascii="Arial" w:hAnsi="Arial" w:cs="Arial"/>
          <w:lang w:eastAsia="en-GB"/>
        </w:rPr>
      </w:pPr>
      <w:r w:rsidRPr="003D14FE">
        <w:rPr>
          <w:rFonts w:ascii="Arial" w:hAnsi="Arial" w:cs="Arial"/>
          <w:lang w:eastAsia="en-GB"/>
        </w:rPr>
        <w:t xml:space="preserve">The purpose of the </w:t>
      </w:r>
      <w:r>
        <w:rPr>
          <w:rFonts w:ascii="Arial" w:hAnsi="Arial" w:cs="Arial"/>
          <w:lang w:eastAsia="en-GB"/>
        </w:rPr>
        <w:t>T</w:t>
      </w:r>
      <w:r w:rsidRPr="003D14FE">
        <w:rPr>
          <w:rFonts w:ascii="Arial" w:hAnsi="Arial" w:cs="Arial"/>
          <w:lang w:eastAsia="en-GB"/>
        </w:rPr>
        <w:t>enants Incentive Scheme is to:</w:t>
      </w:r>
    </w:p>
    <w:p w14:paraId="3736C787" w14:textId="77777777" w:rsidR="002310B7" w:rsidRDefault="002310B7" w:rsidP="002C4BD4">
      <w:pPr>
        <w:numPr>
          <w:ilvl w:val="2"/>
          <w:numId w:val="1"/>
        </w:numPr>
        <w:tabs>
          <w:tab w:val="left" w:pos="851"/>
        </w:tabs>
        <w:autoSpaceDE w:val="0"/>
        <w:autoSpaceDN w:val="0"/>
        <w:adjustRightInd w:val="0"/>
        <w:spacing w:after="0" w:line="276" w:lineRule="auto"/>
        <w:ind w:left="851" w:hanging="491"/>
        <w:rPr>
          <w:rFonts w:ascii="Arial" w:hAnsi="Arial" w:cs="Arial"/>
          <w:lang w:eastAsia="en-GB"/>
        </w:rPr>
      </w:pPr>
      <w:r w:rsidRPr="003D14FE">
        <w:rPr>
          <w:rFonts w:ascii="Arial" w:hAnsi="Arial" w:cs="Arial"/>
          <w:lang w:eastAsia="en-GB"/>
        </w:rPr>
        <w:t>Enc</w:t>
      </w:r>
      <w:r w:rsidRPr="00AD649E">
        <w:rPr>
          <w:rFonts w:ascii="Arial" w:hAnsi="Arial" w:cs="Arial"/>
          <w:lang w:eastAsia="en-GB"/>
        </w:rPr>
        <w:t>ourage and assist tenants under</w:t>
      </w:r>
      <w:r>
        <w:rPr>
          <w:rFonts w:ascii="Arial" w:hAnsi="Arial" w:cs="Arial"/>
          <w:lang w:eastAsia="en-GB"/>
        </w:rPr>
        <w:t xml:space="preserve"> </w:t>
      </w:r>
      <w:r w:rsidRPr="003D14FE">
        <w:rPr>
          <w:rFonts w:ascii="Arial" w:hAnsi="Arial" w:cs="Arial"/>
          <w:lang w:eastAsia="en-GB"/>
        </w:rPr>
        <w:t>occupying general needs family accommodation to move to smaller accommodation that is suitable for their needs</w:t>
      </w:r>
      <w:r w:rsidRPr="00AD649E">
        <w:rPr>
          <w:rFonts w:ascii="Arial" w:hAnsi="Arial" w:cs="Arial"/>
          <w:lang w:eastAsia="en-GB"/>
        </w:rPr>
        <w:t>.</w:t>
      </w:r>
    </w:p>
    <w:p w14:paraId="4B914535" w14:textId="77777777" w:rsidR="00AA150F" w:rsidRPr="002310B7" w:rsidRDefault="002310B7" w:rsidP="002C4BD4">
      <w:pPr>
        <w:numPr>
          <w:ilvl w:val="2"/>
          <w:numId w:val="1"/>
        </w:numPr>
        <w:tabs>
          <w:tab w:val="left" w:pos="851"/>
        </w:tabs>
        <w:autoSpaceDE w:val="0"/>
        <w:autoSpaceDN w:val="0"/>
        <w:adjustRightInd w:val="0"/>
        <w:spacing w:after="0" w:line="276" w:lineRule="auto"/>
        <w:ind w:left="851" w:hanging="491"/>
        <w:rPr>
          <w:rFonts w:ascii="Arial" w:hAnsi="Arial" w:cs="Arial"/>
          <w:lang w:eastAsia="en-GB"/>
        </w:rPr>
      </w:pPr>
      <w:r w:rsidRPr="003D14FE">
        <w:rPr>
          <w:rFonts w:ascii="Arial" w:hAnsi="Arial" w:cs="Arial"/>
          <w:lang w:eastAsia="en-GB"/>
        </w:rPr>
        <w:t>Release general needs accommodation of 2 bedrooms or more, in order to maximise occupancy.</w:t>
      </w:r>
    </w:p>
    <w:p w14:paraId="1F18E0D1" w14:textId="77777777" w:rsidR="00AA150F" w:rsidRDefault="00AA150F" w:rsidP="00AA150F">
      <w:pPr>
        <w:pStyle w:val="Heading1"/>
        <w:numPr>
          <w:ilvl w:val="0"/>
          <w:numId w:val="1"/>
        </w:numPr>
      </w:pPr>
      <w:r>
        <w:t>Scope</w:t>
      </w:r>
    </w:p>
    <w:p w14:paraId="18756E3F" w14:textId="77777777" w:rsidR="002310B7" w:rsidRPr="002310B7" w:rsidRDefault="002310B7" w:rsidP="002310B7">
      <w:pPr>
        <w:pStyle w:val="ListParagraph"/>
        <w:numPr>
          <w:ilvl w:val="1"/>
          <w:numId w:val="1"/>
        </w:numPr>
        <w:tabs>
          <w:tab w:val="left" w:pos="567"/>
        </w:tabs>
        <w:autoSpaceDE w:val="0"/>
        <w:autoSpaceDN w:val="0"/>
        <w:adjustRightInd w:val="0"/>
        <w:spacing w:after="0" w:line="276" w:lineRule="auto"/>
        <w:rPr>
          <w:rFonts w:ascii="Arial" w:hAnsi="Arial" w:cs="Arial"/>
          <w:lang w:eastAsia="en-GB"/>
        </w:rPr>
      </w:pPr>
      <w:r w:rsidRPr="002310B7">
        <w:rPr>
          <w:rFonts w:ascii="Arial" w:hAnsi="Arial" w:cs="Arial"/>
          <w:lang w:eastAsia="en-GB"/>
        </w:rPr>
        <w:t xml:space="preserve">This policy applies to all Medway Council Landlord Services tenants that meet the eligibility criteria.  This policy is applicable to Medway Council tenants that are downsizing to either </w:t>
      </w:r>
    </w:p>
    <w:p w14:paraId="6C1322D4" w14:textId="77777777" w:rsidR="002310B7" w:rsidRDefault="002310B7" w:rsidP="002310B7">
      <w:pPr>
        <w:numPr>
          <w:ilvl w:val="2"/>
          <w:numId w:val="4"/>
        </w:numPr>
        <w:tabs>
          <w:tab w:val="left" w:pos="709"/>
        </w:tabs>
        <w:autoSpaceDE w:val="0"/>
        <w:autoSpaceDN w:val="0"/>
        <w:adjustRightInd w:val="0"/>
        <w:spacing w:after="0" w:line="276" w:lineRule="auto"/>
        <w:ind w:hanging="371"/>
        <w:rPr>
          <w:rFonts w:ascii="Arial" w:hAnsi="Arial" w:cs="Arial"/>
          <w:lang w:eastAsia="en-GB"/>
        </w:rPr>
      </w:pPr>
      <w:r>
        <w:rPr>
          <w:rFonts w:ascii="Arial" w:hAnsi="Arial" w:cs="Arial"/>
          <w:lang w:eastAsia="en-GB"/>
        </w:rPr>
        <w:t>a Medway Council managed property</w:t>
      </w:r>
    </w:p>
    <w:p w14:paraId="352C04D8" w14:textId="77777777" w:rsidR="002310B7" w:rsidRDefault="002310B7" w:rsidP="002310B7">
      <w:pPr>
        <w:numPr>
          <w:ilvl w:val="2"/>
          <w:numId w:val="4"/>
        </w:numPr>
        <w:tabs>
          <w:tab w:val="left" w:pos="709"/>
        </w:tabs>
        <w:autoSpaceDE w:val="0"/>
        <w:autoSpaceDN w:val="0"/>
        <w:adjustRightInd w:val="0"/>
        <w:spacing w:after="0" w:line="276" w:lineRule="auto"/>
        <w:ind w:hanging="371"/>
        <w:rPr>
          <w:rFonts w:ascii="Arial" w:hAnsi="Arial" w:cs="Arial"/>
          <w:lang w:eastAsia="en-GB"/>
        </w:rPr>
      </w:pPr>
      <w:r>
        <w:rPr>
          <w:rFonts w:ascii="Arial" w:hAnsi="Arial" w:cs="Arial"/>
          <w:lang w:eastAsia="en-GB"/>
        </w:rPr>
        <w:t xml:space="preserve">another Social Landlord </w:t>
      </w:r>
    </w:p>
    <w:p w14:paraId="74C2A69C" w14:textId="77777777" w:rsidR="002310B7" w:rsidRPr="003D14FE" w:rsidRDefault="002310B7" w:rsidP="002310B7">
      <w:pPr>
        <w:numPr>
          <w:ilvl w:val="2"/>
          <w:numId w:val="4"/>
        </w:numPr>
        <w:tabs>
          <w:tab w:val="left" w:pos="709"/>
        </w:tabs>
        <w:autoSpaceDE w:val="0"/>
        <w:autoSpaceDN w:val="0"/>
        <w:adjustRightInd w:val="0"/>
        <w:spacing w:after="0" w:line="276" w:lineRule="auto"/>
        <w:ind w:hanging="371"/>
        <w:rPr>
          <w:rFonts w:ascii="Arial" w:hAnsi="Arial" w:cs="Arial"/>
          <w:lang w:eastAsia="en-GB"/>
        </w:rPr>
      </w:pPr>
      <w:r>
        <w:rPr>
          <w:rFonts w:ascii="Arial" w:hAnsi="Arial" w:cs="Arial"/>
          <w:lang w:eastAsia="en-GB"/>
        </w:rPr>
        <w:t>a privately rented property.</w:t>
      </w:r>
    </w:p>
    <w:p w14:paraId="6A7EAE33" w14:textId="77777777" w:rsidR="004C0B3F" w:rsidRDefault="00AA150F" w:rsidP="004C0B3F">
      <w:pPr>
        <w:pStyle w:val="Heading1"/>
        <w:numPr>
          <w:ilvl w:val="0"/>
          <w:numId w:val="1"/>
        </w:numPr>
      </w:pPr>
      <w:r>
        <w:t>Legislation and Guidance</w:t>
      </w:r>
    </w:p>
    <w:p w14:paraId="18EDBA5D" w14:textId="77777777" w:rsidR="002310B7" w:rsidRPr="002C4BD4" w:rsidRDefault="002310B7" w:rsidP="002310B7">
      <w:pPr>
        <w:pStyle w:val="ListParagraph"/>
        <w:numPr>
          <w:ilvl w:val="1"/>
          <w:numId w:val="1"/>
        </w:numPr>
        <w:rPr>
          <w:rFonts w:ascii="Arial" w:hAnsi="Arial" w:cs="Arial"/>
          <w:lang w:eastAsia="en-GB"/>
        </w:rPr>
      </w:pPr>
      <w:r w:rsidRPr="002C4BD4">
        <w:rPr>
          <w:rFonts w:ascii="Arial" w:hAnsi="Arial" w:cs="Arial"/>
          <w:lang w:eastAsia="en-GB"/>
        </w:rPr>
        <w:t>Internal</w:t>
      </w:r>
    </w:p>
    <w:p w14:paraId="73134179" w14:textId="77777777" w:rsidR="00AA150F" w:rsidRPr="002C4BD4" w:rsidRDefault="002310B7" w:rsidP="002310B7">
      <w:pPr>
        <w:pStyle w:val="ListParagraph"/>
        <w:numPr>
          <w:ilvl w:val="2"/>
          <w:numId w:val="1"/>
        </w:numPr>
        <w:rPr>
          <w:rFonts w:ascii="Arial" w:hAnsi="Arial" w:cs="Arial"/>
          <w:lang w:eastAsia="en-GB"/>
        </w:rPr>
      </w:pPr>
      <w:r w:rsidRPr="002C4BD4">
        <w:rPr>
          <w:rFonts w:ascii="Arial" w:hAnsi="Arial" w:cs="Arial"/>
          <w:lang w:eastAsia="en-GB"/>
        </w:rPr>
        <w:t>Medway Councils’ Allocation policy</w:t>
      </w:r>
    </w:p>
    <w:p w14:paraId="44C3A7EE" w14:textId="77777777" w:rsidR="002310B7" w:rsidRDefault="002310B7" w:rsidP="002310B7">
      <w:pPr>
        <w:pStyle w:val="Heading1"/>
        <w:numPr>
          <w:ilvl w:val="0"/>
          <w:numId w:val="1"/>
        </w:numPr>
      </w:pPr>
      <w:r>
        <w:t>Policy</w:t>
      </w:r>
    </w:p>
    <w:p w14:paraId="210E41BC" w14:textId="77777777" w:rsidR="002310B7" w:rsidRPr="002C4BD4" w:rsidRDefault="002310B7" w:rsidP="002310B7">
      <w:pPr>
        <w:pStyle w:val="ListParagraph"/>
        <w:numPr>
          <w:ilvl w:val="1"/>
          <w:numId w:val="1"/>
        </w:numPr>
        <w:rPr>
          <w:rFonts w:ascii="Arial" w:hAnsi="Arial" w:cs="Arial"/>
          <w:lang w:eastAsia="en-GB"/>
        </w:rPr>
      </w:pPr>
      <w:r w:rsidRPr="002C4BD4">
        <w:rPr>
          <w:rFonts w:ascii="Arial" w:hAnsi="Arial" w:cs="Arial"/>
          <w:lang w:eastAsia="en-GB"/>
        </w:rPr>
        <w:t>The allocation and letting of properties will be done in accordance with Medway Councils’ Allocation policy and other relevant local lettings plans.</w:t>
      </w:r>
    </w:p>
    <w:p w14:paraId="3AFC8ED5" w14:textId="58C7BA8B" w:rsidR="002310B7" w:rsidRPr="002310B7" w:rsidRDefault="002310B7" w:rsidP="002310B7">
      <w:pPr>
        <w:pStyle w:val="ListParagraph"/>
        <w:numPr>
          <w:ilvl w:val="1"/>
          <w:numId w:val="1"/>
        </w:numPr>
        <w:rPr>
          <w:rFonts w:asciiTheme="majorHAnsi" w:hAnsiTheme="majorHAnsi" w:cstheme="majorBidi"/>
        </w:rPr>
      </w:pPr>
      <w:r w:rsidRPr="002310B7">
        <w:rPr>
          <w:rFonts w:ascii="Arial" w:hAnsi="Arial" w:cs="Arial"/>
          <w:lang w:eastAsia="en-GB"/>
        </w:rPr>
        <w:t xml:space="preserve">The tenant incentive scheme will be offered to tenants who make a formal request to the Landlord Services department to take part in the scheme and meet the eligibility criteria set out in paragraph 5.4. In some circumstances the </w:t>
      </w:r>
      <w:r w:rsidR="002C4BD4">
        <w:rPr>
          <w:rFonts w:ascii="Arial" w:hAnsi="Arial" w:cs="Arial"/>
          <w:lang w:eastAsia="en-GB"/>
        </w:rPr>
        <w:t>Tenancy</w:t>
      </w:r>
      <w:r w:rsidRPr="002310B7">
        <w:rPr>
          <w:rFonts w:ascii="Arial" w:hAnsi="Arial" w:cs="Arial"/>
          <w:lang w:eastAsia="en-GB"/>
        </w:rPr>
        <w:t xml:space="preserve"> Manager may use their discretion to offer the scheme to a tenant who has not requested it, but they know would be eligible for the scheme.</w:t>
      </w:r>
    </w:p>
    <w:p w14:paraId="06004A70" w14:textId="77777777" w:rsidR="002310B7" w:rsidRPr="002310B7" w:rsidRDefault="002310B7" w:rsidP="002310B7">
      <w:pPr>
        <w:pStyle w:val="ListParagraph"/>
        <w:numPr>
          <w:ilvl w:val="1"/>
          <w:numId w:val="1"/>
        </w:numPr>
        <w:rPr>
          <w:rFonts w:asciiTheme="majorHAnsi" w:hAnsiTheme="majorHAnsi" w:cstheme="majorBidi"/>
        </w:rPr>
      </w:pPr>
      <w:r w:rsidRPr="002310B7">
        <w:rPr>
          <w:rFonts w:ascii="Arial" w:hAnsi="Arial" w:cs="Arial"/>
          <w:lang w:eastAsia="en-GB"/>
        </w:rPr>
        <w:t>Any Council tenant who joins the Housing Register to downsize, whose rent accounts are in arrears only due to the Welfare Reform (size criteria) changes, will have their application left live.  Any arrears will be deducted from the incentive scheme payments made at the point of the move.</w:t>
      </w:r>
    </w:p>
    <w:p w14:paraId="543461FC" w14:textId="77777777" w:rsidR="002310B7" w:rsidRPr="003D14FE" w:rsidRDefault="002310B7" w:rsidP="002310B7">
      <w:pPr>
        <w:widowControl w:val="0"/>
        <w:autoSpaceDE w:val="0"/>
        <w:autoSpaceDN w:val="0"/>
        <w:adjustRightInd w:val="0"/>
        <w:spacing w:line="276" w:lineRule="auto"/>
        <w:ind w:left="426" w:hanging="426"/>
        <w:jc w:val="both"/>
        <w:rPr>
          <w:rFonts w:ascii="Arial" w:hAnsi="Arial" w:cs="Arial"/>
          <w:b/>
          <w:bCs/>
        </w:rPr>
      </w:pPr>
    </w:p>
    <w:p w14:paraId="789FDC55" w14:textId="77777777" w:rsidR="002310B7" w:rsidRDefault="002310B7" w:rsidP="002310B7">
      <w:pPr>
        <w:pStyle w:val="Heading2"/>
      </w:pPr>
      <w:r w:rsidRPr="002C4BD4">
        <w:rPr>
          <w:sz w:val="32"/>
          <w:szCs w:val="32"/>
        </w:rPr>
        <w:t>Eligibility</w:t>
      </w:r>
    </w:p>
    <w:p w14:paraId="27D49647" w14:textId="77777777" w:rsidR="002310B7" w:rsidRPr="002C4BD4" w:rsidRDefault="002310B7" w:rsidP="002310B7">
      <w:pPr>
        <w:rPr>
          <w:rFonts w:ascii="Arial" w:hAnsi="Arial" w:cs="Arial"/>
          <w:lang w:eastAsia="en-GB"/>
        </w:rPr>
      </w:pPr>
      <w:r w:rsidRPr="002C4BD4">
        <w:rPr>
          <w:rFonts w:ascii="Arial" w:hAnsi="Arial" w:cs="Arial"/>
          <w:lang w:eastAsia="en-GB"/>
        </w:rPr>
        <w:t>5.4 The Tenants Incentive Scheme is available to those tenants who meet the following criteria:</w:t>
      </w:r>
    </w:p>
    <w:p w14:paraId="2195DCC4" w14:textId="77777777" w:rsidR="002310B7" w:rsidRPr="003D14FE" w:rsidRDefault="002310B7" w:rsidP="002310B7">
      <w:pPr>
        <w:numPr>
          <w:ilvl w:val="2"/>
          <w:numId w:val="4"/>
        </w:numPr>
        <w:tabs>
          <w:tab w:val="left" w:pos="709"/>
        </w:tabs>
        <w:autoSpaceDE w:val="0"/>
        <w:autoSpaceDN w:val="0"/>
        <w:adjustRightInd w:val="0"/>
        <w:spacing w:after="0" w:line="276" w:lineRule="auto"/>
        <w:ind w:hanging="371"/>
        <w:rPr>
          <w:rFonts w:ascii="Arial" w:hAnsi="Arial" w:cs="Arial"/>
          <w:lang w:eastAsia="en-GB"/>
        </w:rPr>
      </w:pPr>
      <w:r>
        <w:rPr>
          <w:rFonts w:ascii="Arial" w:hAnsi="Arial" w:cs="Arial"/>
          <w:lang w:eastAsia="en-GB"/>
        </w:rPr>
        <w:t>A</w:t>
      </w:r>
      <w:r w:rsidRPr="003D14FE">
        <w:rPr>
          <w:rFonts w:ascii="Arial" w:hAnsi="Arial" w:cs="Arial"/>
          <w:lang w:eastAsia="en-GB"/>
        </w:rPr>
        <w:t xml:space="preserve">re </w:t>
      </w:r>
      <w:r>
        <w:rPr>
          <w:rFonts w:ascii="Arial" w:hAnsi="Arial" w:cs="Arial"/>
          <w:lang w:eastAsia="en-GB"/>
        </w:rPr>
        <w:t xml:space="preserve">a </w:t>
      </w:r>
      <w:r w:rsidRPr="003D14FE">
        <w:rPr>
          <w:rFonts w:ascii="Arial" w:hAnsi="Arial" w:cs="Arial"/>
          <w:lang w:eastAsia="en-GB"/>
        </w:rPr>
        <w:t xml:space="preserve">secure </w:t>
      </w:r>
      <w:r>
        <w:rPr>
          <w:rFonts w:ascii="Arial" w:hAnsi="Arial" w:cs="Arial"/>
          <w:lang w:eastAsia="en-GB"/>
        </w:rPr>
        <w:t xml:space="preserve">or flexible </w:t>
      </w:r>
      <w:r w:rsidRPr="003D14FE">
        <w:rPr>
          <w:rFonts w:ascii="Arial" w:hAnsi="Arial" w:cs="Arial"/>
          <w:lang w:eastAsia="en-GB"/>
        </w:rPr>
        <w:t xml:space="preserve">tenant of Medway Council </w:t>
      </w:r>
    </w:p>
    <w:p w14:paraId="0D42FCCF" w14:textId="77777777" w:rsidR="002310B7" w:rsidRPr="003D14FE" w:rsidRDefault="002310B7" w:rsidP="002310B7">
      <w:pPr>
        <w:numPr>
          <w:ilvl w:val="2"/>
          <w:numId w:val="4"/>
        </w:numPr>
        <w:tabs>
          <w:tab w:val="left" w:pos="709"/>
        </w:tabs>
        <w:autoSpaceDE w:val="0"/>
        <w:autoSpaceDN w:val="0"/>
        <w:adjustRightInd w:val="0"/>
        <w:spacing w:after="0" w:line="276" w:lineRule="auto"/>
        <w:ind w:hanging="371"/>
        <w:rPr>
          <w:rFonts w:ascii="Arial" w:hAnsi="Arial" w:cs="Arial"/>
          <w:lang w:eastAsia="en-GB"/>
        </w:rPr>
      </w:pPr>
      <w:r>
        <w:rPr>
          <w:rFonts w:ascii="Arial" w:hAnsi="Arial" w:cs="Arial"/>
          <w:lang w:eastAsia="en-GB"/>
        </w:rPr>
        <w:t>O</w:t>
      </w:r>
      <w:r w:rsidRPr="003D14FE">
        <w:rPr>
          <w:rFonts w:ascii="Arial" w:hAnsi="Arial" w:cs="Arial"/>
          <w:lang w:eastAsia="en-GB"/>
        </w:rPr>
        <w:t xml:space="preserve">ccupy a property with two or more bedrooms </w:t>
      </w:r>
    </w:p>
    <w:p w14:paraId="5DE94E1D" w14:textId="68EF9D27" w:rsidR="002310B7" w:rsidRPr="003D14FE" w:rsidRDefault="002310B7" w:rsidP="002310B7">
      <w:pPr>
        <w:numPr>
          <w:ilvl w:val="2"/>
          <w:numId w:val="4"/>
        </w:numPr>
        <w:tabs>
          <w:tab w:val="left" w:pos="709"/>
        </w:tabs>
        <w:autoSpaceDE w:val="0"/>
        <w:autoSpaceDN w:val="0"/>
        <w:adjustRightInd w:val="0"/>
        <w:spacing w:after="0" w:line="276" w:lineRule="auto"/>
        <w:ind w:hanging="371"/>
        <w:rPr>
          <w:rFonts w:ascii="Arial" w:hAnsi="Arial" w:cs="Arial"/>
          <w:lang w:eastAsia="en-GB"/>
        </w:rPr>
      </w:pPr>
      <w:r w:rsidRPr="003D14FE">
        <w:rPr>
          <w:rFonts w:ascii="Arial" w:hAnsi="Arial" w:cs="Arial"/>
          <w:lang w:eastAsia="en-GB"/>
        </w:rPr>
        <w:t xml:space="preserve">Whose existing property is in good decorative </w:t>
      </w:r>
      <w:r w:rsidRPr="00AD649E">
        <w:rPr>
          <w:rFonts w:ascii="Arial" w:hAnsi="Arial" w:cs="Arial"/>
          <w:lang w:eastAsia="en-GB"/>
        </w:rPr>
        <w:t>order</w:t>
      </w:r>
      <w:r w:rsidRPr="003D14FE">
        <w:rPr>
          <w:rFonts w:ascii="Arial" w:hAnsi="Arial" w:cs="Arial"/>
          <w:lang w:eastAsia="en-GB"/>
        </w:rPr>
        <w:t xml:space="preserve"> (pre-inspection will be carried out prior to acceptance, and once the property has been vacated). Some discretion will be used in determining eligibility against this criterion as individual </w:t>
      </w:r>
      <w:r w:rsidR="002C4BD4" w:rsidRPr="003D14FE">
        <w:rPr>
          <w:rFonts w:ascii="Arial" w:hAnsi="Arial" w:cs="Arial"/>
          <w:lang w:eastAsia="en-GB"/>
        </w:rPr>
        <w:t>tenant’s</w:t>
      </w:r>
      <w:r w:rsidRPr="003D14FE">
        <w:rPr>
          <w:rFonts w:ascii="Arial" w:hAnsi="Arial" w:cs="Arial"/>
          <w:lang w:eastAsia="en-GB"/>
        </w:rPr>
        <w:t xml:space="preserve"> circumstances will have to be taken into account.</w:t>
      </w:r>
    </w:p>
    <w:p w14:paraId="5A66A239" w14:textId="77777777" w:rsidR="002310B7" w:rsidRPr="003D14FE" w:rsidRDefault="002310B7" w:rsidP="002310B7">
      <w:pPr>
        <w:numPr>
          <w:ilvl w:val="2"/>
          <w:numId w:val="4"/>
        </w:numPr>
        <w:tabs>
          <w:tab w:val="left" w:pos="709"/>
        </w:tabs>
        <w:autoSpaceDE w:val="0"/>
        <w:autoSpaceDN w:val="0"/>
        <w:adjustRightInd w:val="0"/>
        <w:spacing w:after="0" w:line="276" w:lineRule="auto"/>
        <w:ind w:hanging="371"/>
        <w:rPr>
          <w:rFonts w:ascii="Arial" w:hAnsi="Arial" w:cs="Arial"/>
          <w:lang w:eastAsia="en-GB"/>
        </w:rPr>
      </w:pPr>
      <w:r>
        <w:rPr>
          <w:rFonts w:ascii="Arial" w:hAnsi="Arial" w:cs="Arial"/>
          <w:lang w:eastAsia="en-GB"/>
        </w:rPr>
        <w:t>C</w:t>
      </w:r>
      <w:r w:rsidRPr="003D14FE">
        <w:rPr>
          <w:rFonts w:ascii="Arial" w:hAnsi="Arial" w:cs="Arial"/>
          <w:lang w:eastAsia="en-GB"/>
        </w:rPr>
        <w:t>an give vacant possession of their present home.</w:t>
      </w:r>
    </w:p>
    <w:p w14:paraId="2E6A4FEE" w14:textId="77777777" w:rsidR="002310B7" w:rsidRDefault="002310B7" w:rsidP="002310B7">
      <w:pPr>
        <w:numPr>
          <w:ilvl w:val="2"/>
          <w:numId w:val="4"/>
        </w:numPr>
        <w:tabs>
          <w:tab w:val="left" w:pos="709"/>
        </w:tabs>
        <w:autoSpaceDE w:val="0"/>
        <w:autoSpaceDN w:val="0"/>
        <w:adjustRightInd w:val="0"/>
        <w:spacing w:after="0" w:line="276" w:lineRule="auto"/>
        <w:ind w:hanging="371"/>
        <w:rPr>
          <w:rFonts w:ascii="Arial" w:hAnsi="Arial" w:cs="Arial"/>
          <w:lang w:eastAsia="en-GB"/>
        </w:rPr>
      </w:pPr>
      <w:r>
        <w:rPr>
          <w:rFonts w:ascii="Arial" w:hAnsi="Arial" w:cs="Arial"/>
          <w:lang w:eastAsia="en-GB"/>
        </w:rPr>
        <w:t>H</w:t>
      </w:r>
      <w:r w:rsidRPr="003D14FE">
        <w:rPr>
          <w:rFonts w:ascii="Arial" w:hAnsi="Arial" w:cs="Arial"/>
          <w:lang w:eastAsia="en-GB"/>
        </w:rPr>
        <w:t xml:space="preserve">ave a clear rent account or have an agreement in place to clear arrears (any arrears will be cleared from money due under the Tenants </w:t>
      </w:r>
      <w:r w:rsidRPr="00AD649E">
        <w:rPr>
          <w:rFonts w:ascii="Arial" w:hAnsi="Arial" w:cs="Arial"/>
          <w:lang w:eastAsia="en-GB"/>
        </w:rPr>
        <w:t>Incentive Scheme)</w:t>
      </w:r>
      <w:r>
        <w:rPr>
          <w:rFonts w:ascii="Arial" w:hAnsi="Arial" w:cs="Arial"/>
          <w:lang w:eastAsia="en-GB"/>
        </w:rPr>
        <w:t xml:space="preserve"> or</w:t>
      </w:r>
    </w:p>
    <w:p w14:paraId="3F893487" w14:textId="77777777" w:rsidR="002310B7" w:rsidRPr="003D14FE" w:rsidRDefault="002310B7" w:rsidP="002310B7">
      <w:pPr>
        <w:numPr>
          <w:ilvl w:val="2"/>
          <w:numId w:val="4"/>
        </w:numPr>
        <w:tabs>
          <w:tab w:val="left" w:pos="709"/>
        </w:tabs>
        <w:autoSpaceDE w:val="0"/>
        <w:autoSpaceDN w:val="0"/>
        <w:adjustRightInd w:val="0"/>
        <w:spacing w:after="0" w:line="276" w:lineRule="auto"/>
        <w:ind w:hanging="371"/>
        <w:rPr>
          <w:rFonts w:ascii="Arial" w:hAnsi="Arial" w:cs="Arial"/>
          <w:lang w:eastAsia="en-GB"/>
        </w:rPr>
      </w:pPr>
      <w:r>
        <w:rPr>
          <w:rFonts w:ascii="Arial" w:hAnsi="Arial" w:cs="Arial"/>
          <w:lang w:eastAsia="en-GB"/>
        </w:rPr>
        <w:t>A</w:t>
      </w:r>
      <w:r w:rsidRPr="00AD649E">
        <w:rPr>
          <w:rFonts w:ascii="Arial" w:hAnsi="Arial" w:cs="Arial"/>
          <w:lang w:eastAsia="en-GB"/>
        </w:rPr>
        <w:t>re</w:t>
      </w:r>
      <w:r w:rsidRPr="00F32DD3">
        <w:rPr>
          <w:rFonts w:ascii="Arial" w:hAnsi="Arial" w:cs="Arial"/>
          <w:lang w:eastAsia="en-GB"/>
        </w:rPr>
        <w:t xml:space="preserve"> </w:t>
      </w:r>
      <w:r>
        <w:rPr>
          <w:rFonts w:ascii="Arial" w:hAnsi="Arial" w:cs="Arial"/>
          <w:lang w:eastAsia="en-GB"/>
        </w:rPr>
        <w:t xml:space="preserve">a Medway Council </w:t>
      </w:r>
      <w:r w:rsidRPr="003D14FE">
        <w:rPr>
          <w:rFonts w:ascii="Arial" w:hAnsi="Arial" w:cs="Arial"/>
          <w:lang w:eastAsia="en-GB"/>
        </w:rPr>
        <w:t>tenant who joined</w:t>
      </w:r>
      <w:r w:rsidRPr="001A1B58">
        <w:rPr>
          <w:rFonts w:ascii="Arial" w:hAnsi="Arial" w:cs="Arial"/>
          <w:lang w:eastAsia="en-GB"/>
        </w:rPr>
        <w:t xml:space="preserve"> the Housing Register to down</w:t>
      </w:r>
      <w:r w:rsidRPr="003D14FE">
        <w:rPr>
          <w:rFonts w:ascii="Arial" w:hAnsi="Arial" w:cs="Arial"/>
          <w:lang w:eastAsia="en-GB"/>
        </w:rPr>
        <w:t>size, whose rent accounts are in arrears only due to the Welfare Reform (size criteria) changes</w:t>
      </w:r>
      <w:r>
        <w:rPr>
          <w:rFonts w:ascii="Arial" w:hAnsi="Arial" w:cs="Arial"/>
          <w:lang w:eastAsia="en-GB"/>
        </w:rPr>
        <w:t>.</w:t>
      </w:r>
    </w:p>
    <w:p w14:paraId="0DB0FB6F" w14:textId="77777777" w:rsidR="002310B7" w:rsidRPr="003D14FE" w:rsidRDefault="002310B7" w:rsidP="002310B7">
      <w:pPr>
        <w:widowControl w:val="0"/>
        <w:autoSpaceDE w:val="0"/>
        <w:autoSpaceDN w:val="0"/>
        <w:adjustRightInd w:val="0"/>
        <w:spacing w:line="276" w:lineRule="auto"/>
        <w:ind w:left="426" w:hanging="426"/>
        <w:jc w:val="both"/>
        <w:rPr>
          <w:rFonts w:ascii="Arial" w:hAnsi="Arial" w:cs="Arial"/>
          <w:b/>
          <w:lang w:eastAsia="en-GB"/>
        </w:rPr>
      </w:pPr>
    </w:p>
    <w:p w14:paraId="59AA8360" w14:textId="77777777" w:rsidR="002310B7" w:rsidRPr="002310B7" w:rsidRDefault="002310B7" w:rsidP="002310B7">
      <w:pPr>
        <w:pStyle w:val="Heading2"/>
      </w:pPr>
      <w:r w:rsidRPr="002C4BD4">
        <w:rPr>
          <w:sz w:val="32"/>
          <w:szCs w:val="32"/>
        </w:rPr>
        <w:t>Ineligibility</w:t>
      </w:r>
    </w:p>
    <w:p w14:paraId="7D7EE099" w14:textId="77777777" w:rsidR="002310B7" w:rsidRPr="002310B7" w:rsidRDefault="002310B7" w:rsidP="002310B7">
      <w:pPr>
        <w:pStyle w:val="ListParagraph"/>
        <w:numPr>
          <w:ilvl w:val="1"/>
          <w:numId w:val="6"/>
        </w:numPr>
        <w:tabs>
          <w:tab w:val="left" w:pos="709"/>
        </w:tabs>
        <w:autoSpaceDE w:val="0"/>
        <w:autoSpaceDN w:val="0"/>
        <w:adjustRightInd w:val="0"/>
        <w:spacing w:after="0" w:line="276" w:lineRule="auto"/>
        <w:rPr>
          <w:rFonts w:ascii="Arial" w:hAnsi="Arial" w:cs="Arial"/>
          <w:lang w:eastAsia="en-GB"/>
        </w:rPr>
      </w:pPr>
      <w:r w:rsidRPr="002310B7">
        <w:rPr>
          <w:rFonts w:ascii="Arial" w:hAnsi="Arial" w:cs="Arial"/>
          <w:lang w:eastAsia="en-GB"/>
        </w:rPr>
        <w:t>The Tenants Incentive Scheme will not be available to tenants:</w:t>
      </w:r>
    </w:p>
    <w:p w14:paraId="077B4EE9" w14:textId="77777777" w:rsidR="002310B7" w:rsidRPr="003D14FE" w:rsidRDefault="002310B7" w:rsidP="002310B7">
      <w:pPr>
        <w:numPr>
          <w:ilvl w:val="2"/>
          <w:numId w:val="4"/>
        </w:numPr>
        <w:tabs>
          <w:tab w:val="left" w:pos="709"/>
        </w:tabs>
        <w:autoSpaceDE w:val="0"/>
        <w:autoSpaceDN w:val="0"/>
        <w:adjustRightInd w:val="0"/>
        <w:spacing w:after="0" w:line="276" w:lineRule="auto"/>
        <w:ind w:hanging="371"/>
        <w:rPr>
          <w:rFonts w:ascii="Arial" w:hAnsi="Arial" w:cs="Arial"/>
          <w:lang w:eastAsia="en-GB"/>
        </w:rPr>
      </w:pPr>
      <w:r w:rsidRPr="003D14FE">
        <w:rPr>
          <w:rFonts w:ascii="Arial" w:hAnsi="Arial" w:cs="Arial"/>
          <w:lang w:eastAsia="en-GB"/>
        </w:rPr>
        <w:t>Against whom the Council has commenced legal proceedings for breach of tenancy conditions</w:t>
      </w:r>
    </w:p>
    <w:p w14:paraId="208F07E7" w14:textId="77777777" w:rsidR="002310B7" w:rsidRPr="003D14FE" w:rsidRDefault="002310B7" w:rsidP="002310B7">
      <w:pPr>
        <w:numPr>
          <w:ilvl w:val="2"/>
          <w:numId w:val="4"/>
        </w:numPr>
        <w:tabs>
          <w:tab w:val="left" w:pos="709"/>
        </w:tabs>
        <w:autoSpaceDE w:val="0"/>
        <w:autoSpaceDN w:val="0"/>
        <w:adjustRightInd w:val="0"/>
        <w:spacing w:after="0" w:line="276" w:lineRule="auto"/>
        <w:ind w:hanging="371"/>
        <w:rPr>
          <w:rFonts w:ascii="Arial" w:hAnsi="Arial" w:cs="Arial"/>
          <w:lang w:eastAsia="en-GB"/>
        </w:rPr>
      </w:pPr>
      <w:r w:rsidRPr="003D14FE">
        <w:rPr>
          <w:rFonts w:ascii="Arial" w:hAnsi="Arial" w:cs="Arial"/>
          <w:lang w:eastAsia="en-GB"/>
        </w:rPr>
        <w:t>Who hold an introductory tenancy</w:t>
      </w:r>
    </w:p>
    <w:p w14:paraId="2A2EF8CB" w14:textId="77777777" w:rsidR="000D3F32" w:rsidRDefault="002310B7" w:rsidP="001663EC">
      <w:pPr>
        <w:numPr>
          <w:ilvl w:val="2"/>
          <w:numId w:val="4"/>
        </w:numPr>
        <w:tabs>
          <w:tab w:val="left" w:pos="709"/>
        </w:tabs>
        <w:autoSpaceDE w:val="0"/>
        <w:autoSpaceDN w:val="0"/>
        <w:adjustRightInd w:val="0"/>
        <w:spacing w:after="0" w:line="276" w:lineRule="auto"/>
        <w:ind w:hanging="371"/>
        <w:rPr>
          <w:rFonts w:ascii="Arial" w:hAnsi="Arial" w:cs="Arial"/>
          <w:lang w:eastAsia="en-GB"/>
        </w:rPr>
      </w:pPr>
      <w:r w:rsidRPr="000D3F32">
        <w:rPr>
          <w:rFonts w:ascii="Arial" w:hAnsi="Arial" w:cs="Arial"/>
          <w:lang w:eastAsia="en-GB"/>
        </w:rPr>
        <w:t>Who are licensees</w:t>
      </w:r>
    </w:p>
    <w:p w14:paraId="670B4F59" w14:textId="77777777" w:rsidR="002310B7" w:rsidRPr="000D3F32" w:rsidRDefault="002310B7" w:rsidP="001663EC">
      <w:pPr>
        <w:numPr>
          <w:ilvl w:val="2"/>
          <w:numId w:val="4"/>
        </w:numPr>
        <w:tabs>
          <w:tab w:val="left" w:pos="709"/>
        </w:tabs>
        <w:autoSpaceDE w:val="0"/>
        <w:autoSpaceDN w:val="0"/>
        <w:adjustRightInd w:val="0"/>
        <w:spacing w:after="0" w:line="276" w:lineRule="auto"/>
        <w:ind w:hanging="371"/>
        <w:rPr>
          <w:rFonts w:ascii="Arial" w:hAnsi="Arial" w:cs="Arial"/>
          <w:lang w:eastAsia="en-GB"/>
        </w:rPr>
      </w:pPr>
      <w:r w:rsidRPr="000D3F32">
        <w:rPr>
          <w:rFonts w:ascii="Arial" w:hAnsi="Arial" w:cs="Arial"/>
          <w:lang w:eastAsia="en-GB"/>
        </w:rPr>
        <w:t>Who owe current rent arrears and former tenant debts or a sundry debt to the council, that are not a result of Welfare Reform (size criteria) changes and where reasonable repayment of the debt cannot be negotiated.</w:t>
      </w:r>
    </w:p>
    <w:p w14:paraId="37EFEDBD" w14:textId="77777777" w:rsidR="002310B7" w:rsidRDefault="002310B7" w:rsidP="002310B7">
      <w:pPr>
        <w:autoSpaceDE w:val="0"/>
        <w:autoSpaceDN w:val="0"/>
        <w:adjustRightInd w:val="0"/>
        <w:spacing w:line="276" w:lineRule="auto"/>
        <w:ind w:left="426" w:hanging="426"/>
        <w:rPr>
          <w:rFonts w:ascii="Arial" w:hAnsi="Arial" w:cs="Arial"/>
          <w:b/>
          <w:bCs/>
          <w:lang w:eastAsia="en-GB"/>
        </w:rPr>
      </w:pPr>
    </w:p>
    <w:p w14:paraId="0A802E6D" w14:textId="77777777" w:rsidR="002310B7" w:rsidRPr="002C4BD4" w:rsidRDefault="002310B7" w:rsidP="002310B7">
      <w:pPr>
        <w:pStyle w:val="Heading2"/>
        <w:rPr>
          <w:sz w:val="32"/>
          <w:szCs w:val="32"/>
        </w:rPr>
      </w:pPr>
      <w:r w:rsidRPr="002C4BD4">
        <w:rPr>
          <w:sz w:val="32"/>
          <w:szCs w:val="32"/>
        </w:rPr>
        <w:t>Incentive Payment</w:t>
      </w:r>
    </w:p>
    <w:p w14:paraId="7281B900" w14:textId="77777777" w:rsidR="002310B7" w:rsidRPr="002310B7" w:rsidRDefault="002310B7" w:rsidP="002310B7">
      <w:pPr>
        <w:pStyle w:val="ListParagraph"/>
        <w:numPr>
          <w:ilvl w:val="1"/>
          <w:numId w:val="7"/>
        </w:numPr>
        <w:tabs>
          <w:tab w:val="left" w:pos="709"/>
        </w:tabs>
        <w:autoSpaceDE w:val="0"/>
        <w:autoSpaceDN w:val="0"/>
        <w:adjustRightInd w:val="0"/>
        <w:spacing w:after="0" w:line="276" w:lineRule="auto"/>
        <w:rPr>
          <w:rFonts w:ascii="Arial" w:hAnsi="Arial" w:cs="Arial"/>
          <w:lang w:eastAsia="en-GB"/>
        </w:rPr>
      </w:pPr>
      <w:r w:rsidRPr="002310B7">
        <w:rPr>
          <w:rFonts w:ascii="Arial" w:hAnsi="Arial" w:cs="Arial"/>
          <w:lang w:eastAsia="en-GB"/>
        </w:rPr>
        <w:t xml:space="preserve">A ‘stepped’ fixed incentive payment will be paid at the following rates to those tenants that meet the eligibility criteria: </w:t>
      </w:r>
    </w:p>
    <w:p w14:paraId="75A3380C" w14:textId="77777777" w:rsidR="002310B7" w:rsidRPr="003D14FE" w:rsidRDefault="002310B7" w:rsidP="002310B7">
      <w:pPr>
        <w:numPr>
          <w:ilvl w:val="2"/>
          <w:numId w:val="7"/>
        </w:numPr>
        <w:tabs>
          <w:tab w:val="left" w:pos="709"/>
        </w:tabs>
        <w:autoSpaceDE w:val="0"/>
        <w:autoSpaceDN w:val="0"/>
        <w:adjustRightInd w:val="0"/>
        <w:spacing w:after="0" w:line="276" w:lineRule="auto"/>
        <w:ind w:hanging="371"/>
        <w:rPr>
          <w:rFonts w:ascii="Arial" w:hAnsi="Arial" w:cs="Arial"/>
          <w:lang w:eastAsia="en-GB"/>
        </w:rPr>
      </w:pPr>
      <w:r w:rsidRPr="003D14FE">
        <w:rPr>
          <w:rFonts w:ascii="Arial" w:hAnsi="Arial" w:cs="Arial"/>
          <w:lang w:eastAsia="en-GB"/>
        </w:rPr>
        <w:t>A payment of £500 for each bedroom released</w:t>
      </w:r>
      <w:r>
        <w:rPr>
          <w:rFonts w:ascii="Arial" w:hAnsi="Arial" w:cs="Arial"/>
          <w:lang w:eastAsia="en-GB"/>
        </w:rPr>
        <w:t>.</w:t>
      </w:r>
    </w:p>
    <w:p w14:paraId="11AA18BA" w14:textId="77777777" w:rsidR="002310B7" w:rsidRDefault="002310B7" w:rsidP="002310B7">
      <w:pPr>
        <w:numPr>
          <w:ilvl w:val="2"/>
          <w:numId w:val="7"/>
        </w:numPr>
        <w:tabs>
          <w:tab w:val="left" w:pos="709"/>
        </w:tabs>
        <w:autoSpaceDE w:val="0"/>
        <w:autoSpaceDN w:val="0"/>
        <w:adjustRightInd w:val="0"/>
        <w:spacing w:after="0" w:line="276" w:lineRule="auto"/>
        <w:ind w:hanging="371"/>
        <w:rPr>
          <w:rFonts w:ascii="Arial" w:hAnsi="Arial" w:cs="Arial"/>
          <w:lang w:eastAsia="en-GB"/>
        </w:rPr>
      </w:pPr>
      <w:r w:rsidRPr="003D14FE">
        <w:rPr>
          <w:rFonts w:ascii="Arial" w:hAnsi="Arial" w:cs="Arial"/>
          <w:lang w:eastAsia="en-GB"/>
        </w:rPr>
        <w:t>An additional maximum £500 to help towards moving costs</w:t>
      </w:r>
      <w:r>
        <w:rPr>
          <w:rFonts w:ascii="Arial" w:hAnsi="Arial" w:cs="Arial"/>
          <w:lang w:eastAsia="en-GB"/>
        </w:rPr>
        <w:t>.</w:t>
      </w:r>
    </w:p>
    <w:p w14:paraId="45834E7E" w14:textId="77777777" w:rsidR="002310B7" w:rsidRDefault="002310B7" w:rsidP="002310B7">
      <w:pPr>
        <w:autoSpaceDE w:val="0"/>
        <w:autoSpaceDN w:val="0"/>
        <w:adjustRightInd w:val="0"/>
        <w:spacing w:line="276" w:lineRule="auto"/>
        <w:ind w:left="426" w:hanging="426"/>
        <w:rPr>
          <w:rFonts w:ascii="Arial" w:hAnsi="Arial" w:cs="Arial"/>
          <w:lang w:eastAsia="en-GB"/>
        </w:rPr>
      </w:pPr>
    </w:p>
    <w:p w14:paraId="59671715" w14:textId="77777777" w:rsidR="002310B7" w:rsidRDefault="002310B7" w:rsidP="002310B7">
      <w:pPr>
        <w:pStyle w:val="Heading2"/>
      </w:pPr>
      <w:r w:rsidRPr="0027001B">
        <w:t>Mutual Exchange</w:t>
      </w:r>
    </w:p>
    <w:p w14:paraId="62ED5C44" w14:textId="469FD88F" w:rsidR="002310B7" w:rsidRDefault="002310B7" w:rsidP="002310B7">
      <w:pPr>
        <w:pStyle w:val="ListParagraph"/>
        <w:numPr>
          <w:ilvl w:val="1"/>
          <w:numId w:val="7"/>
        </w:numPr>
        <w:tabs>
          <w:tab w:val="left" w:pos="709"/>
        </w:tabs>
        <w:autoSpaceDE w:val="0"/>
        <w:autoSpaceDN w:val="0"/>
        <w:adjustRightInd w:val="0"/>
        <w:spacing w:after="0" w:line="276" w:lineRule="auto"/>
        <w:rPr>
          <w:rFonts w:ascii="Arial" w:hAnsi="Arial" w:cs="Arial"/>
          <w:lang w:eastAsia="en-GB"/>
        </w:rPr>
      </w:pPr>
      <w:r w:rsidRPr="002310B7">
        <w:rPr>
          <w:rFonts w:ascii="Arial" w:hAnsi="Arial" w:cs="Arial"/>
          <w:lang w:eastAsia="en-GB"/>
        </w:rPr>
        <w:t xml:space="preserve">Where a tenant is downsizing via a mutual exchange (moving from a property they are under occupying by bedroom size) and they are affected by the </w:t>
      </w:r>
      <w:r w:rsidR="002C4BD4" w:rsidRPr="002310B7">
        <w:rPr>
          <w:rFonts w:ascii="Arial" w:hAnsi="Arial" w:cs="Arial"/>
          <w:lang w:eastAsia="en-GB"/>
        </w:rPr>
        <w:t>under-occupation</w:t>
      </w:r>
      <w:r w:rsidRPr="002310B7">
        <w:rPr>
          <w:rFonts w:ascii="Arial" w:hAnsi="Arial" w:cs="Arial"/>
          <w:lang w:eastAsia="en-GB"/>
        </w:rPr>
        <w:t xml:space="preserve"> size criteria charge as a result of Welfare Reform changes, Landlord Services will use its discretion in meeting the costs of removals and any other moving expenses, up to a maximum allowance of £500 per household.</w:t>
      </w:r>
    </w:p>
    <w:p w14:paraId="46F97C29" w14:textId="2DE49A3E" w:rsidR="002310B7" w:rsidRPr="002310B7" w:rsidRDefault="002310B7" w:rsidP="002310B7">
      <w:pPr>
        <w:pStyle w:val="ListParagraph"/>
        <w:numPr>
          <w:ilvl w:val="1"/>
          <w:numId w:val="7"/>
        </w:numPr>
        <w:tabs>
          <w:tab w:val="left" w:pos="709"/>
        </w:tabs>
        <w:autoSpaceDE w:val="0"/>
        <w:autoSpaceDN w:val="0"/>
        <w:adjustRightInd w:val="0"/>
        <w:spacing w:after="0" w:line="276" w:lineRule="auto"/>
        <w:rPr>
          <w:rFonts w:ascii="Arial" w:hAnsi="Arial" w:cs="Arial"/>
          <w:lang w:eastAsia="en-GB"/>
        </w:rPr>
      </w:pPr>
      <w:r w:rsidRPr="002310B7">
        <w:rPr>
          <w:rFonts w:ascii="Arial" w:hAnsi="Arial" w:cs="Arial"/>
          <w:lang w:eastAsia="en-GB"/>
        </w:rPr>
        <w:t xml:space="preserve">Tenants moving via a mutual exchange that are subject to the </w:t>
      </w:r>
      <w:r w:rsidR="002C4BD4" w:rsidRPr="002310B7">
        <w:rPr>
          <w:rFonts w:ascii="Arial" w:hAnsi="Arial" w:cs="Arial"/>
          <w:lang w:eastAsia="en-GB"/>
        </w:rPr>
        <w:t>under-occupation</w:t>
      </w:r>
      <w:r w:rsidRPr="002310B7">
        <w:rPr>
          <w:rFonts w:ascii="Arial" w:hAnsi="Arial" w:cs="Arial"/>
          <w:lang w:eastAsia="en-GB"/>
        </w:rPr>
        <w:t xml:space="preserve"> size criteria charge will also be entitled to a downsizing incentive payment.  The rates are the same as apply to downsizing transfer applicants</w:t>
      </w:r>
      <w:r w:rsidRPr="002310B7">
        <w:rPr>
          <w:rFonts w:ascii="Arial" w:hAnsi="Arial" w:cs="Arial"/>
          <w:b/>
          <w:lang w:eastAsia="en-GB"/>
        </w:rPr>
        <w:t>.</w:t>
      </w:r>
      <w:r w:rsidRPr="002310B7">
        <w:rPr>
          <w:rFonts w:ascii="Arial" w:hAnsi="Arial" w:cs="Arial"/>
          <w:lang w:eastAsia="en-GB"/>
        </w:rPr>
        <w:t xml:space="preserve">  To be eligible for this incentive, the </w:t>
      </w:r>
      <w:r w:rsidRPr="002310B7">
        <w:rPr>
          <w:rFonts w:ascii="Arial" w:hAnsi="Arial" w:cs="Arial"/>
          <w:lang w:eastAsia="en-GB"/>
        </w:rPr>
        <w:lastRenderedPageBreak/>
        <w:t>exchange must be to a property where no size criteria charge applies at the time of the move.</w:t>
      </w:r>
    </w:p>
    <w:p w14:paraId="6C1D1A77" w14:textId="77777777" w:rsidR="002310B7" w:rsidRPr="003D14FE" w:rsidRDefault="002310B7" w:rsidP="002310B7">
      <w:pPr>
        <w:autoSpaceDE w:val="0"/>
        <w:autoSpaceDN w:val="0"/>
        <w:adjustRightInd w:val="0"/>
        <w:spacing w:line="276" w:lineRule="auto"/>
        <w:ind w:left="426" w:hanging="426"/>
        <w:rPr>
          <w:rFonts w:ascii="Arial" w:hAnsi="Arial" w:cs="Arial"/>
          <w:lang w:eastAsia="en-GB"/>
        </w:rPr>
      </w:pPr>
    </w:p>
    <w:p w14:paraId="338D44D0" w14:textId="77777777" w:rsidR="002310B7" w:rsidRPr="002C4BD4" w:rsidRDefault="007E65AB" w:rsidP="007E65AB">
      <w:pPr>
        <w:pStyle w:val="Heading3"/>
        <w:rPr>
          <w:sz w:val="32"/>
          <w:szCs w:val="32"/>
        </w:rPr>
      </w:pPr>
      <w:r w:rsidRPr="002C4BD4">
        <w:rPr>
          <w:sz w:val="32"/>
          <w:szCs w:val="32"/>
        </w:rPr>
        <w:t xml:space="preserve">5.9 </w:t>
      </w:r>
      <w:r w:rsidR="002310B7" w:rsidRPr="002C4BD4">
        <w:rPr>
          <w:sz w:val="32"/>
          <w:szCs w:val="32"/>
        </w:rPr>
        <w:t xml:space="preserve">The table below shows how the payment rules work. </w:t>
      </w:r>
    </w:p>
    <w:p w14:paraId="4D95A386" w14:textId="77777777" w:rsidR="002310B7" w:rsidRPr="003D14FE" w:rsidRDefault="002310B7" w:rsidP="002310B7">
      <w:pPr>
        <w:autoSpaceDE w:val="0"/>
        <w:autoSpaceDN w:val="0"/>
        <w:adjustRightInd w:val="0"/>
        <w:spacing w:line="276" w:lineRule="auto"/>
        <w:ind w:left="426" w:hanging="426"/>
        <w:rPr>
          <w:rFonts w:ascii="Arial" w:hAnsi="Arial" w:cs="Arial"/>
          <w:lang w:eastAsia="en-GB"/>
        </w:rPr>
      </w:pPr>
    </w:p>
    <w:tbl>
      <w:tblPr>
        <w:tblStyle w:val="PlainTable1"/>
        <w:tblW w:w="9366" w:type="dxa"/>
        <w:tblLook w:val="0020" w:firstRow="1" w:lastRow="0" w:firstColumn="0" w:lastColumn="0" w:noHBand="0" w:noVBand="0"/>
        <w:tblCaption w:val="Payments"/>
      </w:tblPr>
      <w:tblGrid>
        <w:gridCol w:w="1408"/>
        <w:gridCol w:w="1253"/>
        <w:gridCol w:w="1436"/>
        <w:gridCol w:w="1769"/>
        <w:gridCol w:w="2247"/>
        <w:gridCol w:w="1253"/>
      </w:tblGrid>
      <w:tr w:rsidR="002310B7" w:rsidRPr="003D14FE" w14:paraId="78A9DD54" w14:textId="77777777" w:rsidTr="00353805">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28" w:type="dxa"/>
          </w:tcPr>
          <w:p w14:paraId="00AF1BDB" w14:textId="77777777" w:rsidR="002310B7" w:rsidRPr="00C02FBA" w:rsidRDefault="002310B7" w:rsidP="00D437C0">
            <w:pPr>
              <w:spacing w:line="276" w:lineRule="auto"/>
              <w:ind w:left="142"/>
              <w:rPr>
                <w:rFonts w:ascii="Arial" w:eastAsia="Arial Unicode MS" w:hAnsi="Arial" w:cs="Arial"/>
                <w:b w:val="0"/>
                <w:bCs w:val="0"/>
              </w:rPr>
            </w:pPr>
            <w:r w:rsidRPr="00C02FBA">
              <w:rPr>
                <w:rFonts w:ascii="Arial" w:hAnsi="Arial" w:cs="Arial"/>
              </w:rPr>
              <w:t>Property currently occupied</w:t>
            </w:r>
          </w:p>
        </w:tc>
        <w:tc>
          <w:tcPr>
            <w:tcW w:w="1134" w:type="dxa"/>
          </w:tcPr>
          <w:p w14:paraId="58CC61AC" w14:textId="77777777" w:rsidR="002310B7" w:rsidRPr="00C02FBA" w:rsidRDefault="002310B7" w:rsidP="00D437C0">
            <w:pPr>
              <w:spacing w:line="276" w:lineRule="auto"/>
              <w:ind w:left="132"/>
              <w:cnfStyle w:val="100000000000" w:firstRow="1" w:lastRow="0" w:firstColumn="0" w:lastColumn="0" w:oddVBand="0" w:evenVBand="0" w:oddHBand="0" w:evenHBand="0" w:firstRowFirstColumn="0" w:firstRowLastColumn="0" w:lastRowFirstColumn="0" w:lastRowLastColumn="0"/>
              <w:rPr>
                <w:rFonts w:ascii="Arial" w:eastAsia="Arial Unicode MS" w:hAnsi="Arial" w:cs="Arial"/>
                <w:b w:val="0"/>
                <w:bCs w:val="0"/>
              </w:rPr>
            </w:pPr>
            <w:r w:rsidRPr="00C02FBA">
              <w:rPr>
                <w:rFonts w:ascii="Arial" w:hAnsi="Arial" w:cs="Arial"/>
              </w:rPr>
              <w:t>Property moving to</w:t>
            </w:r>
          </w:p>
        </w:tc>
        <w:tc>
          <w:tcPr>
            <w:cnfStyle w:val="000010000000" w:firstRow="0" w:lastRow="0" w:firstColumn="0" w:lastColumn="0" w:oddVBand="1" w:evenVBand="0" w:oddHBand="0" w:evenHBand="0" w:firstRowFirstColumn="0" w:firstRowLastColumn="0" w:lastRowFirstColumn="0" w:lastRowLastColumn="0"/>
            <w:tcW w:w="1417" w:type="dxa"/>
          </w:tcPr>
          <w:p w14:paraId="33CBD768" w14:textId="77777777" w:rsidR="002310B7" w:rsidRPr="00C02FBA" w:rsidRDefault="002310B7" w:rsidP="00D437C0">
            <w:pPr>
              <w:spacing w:line="276" w:lineRule="auto"/>
              <w:ind w:left="132"/>
              <w:rPr>
                <w:rFonts w:ascii="Arial" w:eastAsia="Arial Unicode MS" w:hAnsi="Arial" w:cs="Arial"/>
                <w:b w:val="0"/>
                <w:bCs w:val="0"/>
              </w:rPr>
            </w:pPr>
            <w:r w:rsidRPr="00C02FBA">
              <w:rPr>
                <w:rFonts w:ascii="Arial" w:hAnsi="Arial" w:cs="Arial"/>
              </w:rPr>
              <w:t>Bedrooms released</w:t>
            </w:r>
          </w:p>
        </w:tc>
        <w:tc>
          <w:tcPr>
            <w:tcW w:w="1816" w:type="dxa"/>
          </w:tcPr>
          <w:p w14:paraId="2E138082" w14:textId="77777777" w:rsidR="002310B7" w:rsidRPr="00C02FBA" w:rsidRDefault="002310B7" w:rsidP="00D437C0">
            <w:pPr>
              <w:spacing w:line="276" w:lineRule="auto"/>
              <w:ind w:left="132"/>
              <w:cnfStyle w:val="100000000000" w:firstRow="1" w:lastRow="0" w:firstColumn="0" w:lastColumn="0" w:oddVBand="0" w:evenVBand="0" w:oddHBand="0" w:evenHBand="0" w:firstRowFirstColumn="0" w:firstRowLastColumn="0" w:lastRowFirstColumn="0" w:lastRowLastColumn="0"/>
              <w:rPr>
                <w:rFonts w:ascii="Arial" w:eastAsia="Arial Unicode MS" w:hAnsi="Arial" w:cs="Arial"/>
                <w:b w:val="0"/>
                <w:bCs w:val="0"/>
              </w:rPr>
            </w:pPr>
            <w:r w:rsidRPr="00C02FBA">
              <w:rPr>
                <w:rFonts w:ascii="Arial" w:hAnsi="Arial" w:cs="Arial"/>
              </w:rPr>
              <w:t>Payment for the released bedroom(s)</w:t>
            </w:r>
          </w:p>
        </w:tc>
        <w:tc>
          <w:tcPr>
            <w:cnfStyle w:val="000010000000" w:firstRow="0" w:lastRow="0" w:firstColumn="0" w:lastColumn="0" w:oddVBand="1" w:evenVBand="0" w:oddHBand="0" w:evenHBand="0" w:firstRowFirstColumn="0" w:firstRowLastColumn="0" w:lastRowFirstColumn="0" w:lastRowLastColumn="0"/>
            <w:tcW w:w="2437" w:type="dxa"/>
          </w:tcPr>
          <w:p w14:paraId="3D35B8E5" w14:textId="0CA10ED3" w:rsidR="002310B7" w:rsidRPr="00C02FBA" w:rsidRDefault="002C4BD4" w:rsidP="00D437C0">
            <w:pPr>
              <w:spacing w:line="276" w:lineRule="auto"/>
              <w:ind w:left="159"/>
              <w:rPr>
                <w:rFonts w:ascii="Arial" w:eastAsia="Arial Unicode MS" w:hAnsi="Arial" w:cs="Arial"/>
                <w:b w:val="0"/>
                <w:bCs w:val="0"/>
              </w:rPr>
            </w:pPr>
            <w:r w:rsidRPr="00C02FBA">
              <w:rPr>
                <w:rFonts w:ascii="Arial" w:hAnsi="Arial" w:cs="Arial"/>
              </w:rPr>
              <w:t>Plus,</w:t>
            </w:r>
            <w:r w:rsidR="002310B7" w:rsidRPr="00C02FBA">
              <w:rPr>
                <w:rFonts w:ascii="Arial" w:hAnsi="Arial" w:cs="Arial"/>
              </w:rPr>
              <w:t xml:space="preserve"> a maximum of £500 to help with moving costs</w:t>
            </w:r>
          </w:p>
        </w:tc>
        <w:tc>
          <w:tcPr>
            <w:tcW w:w="1134" w:type="dxa"/>
          </w:tcPr>
          <w:p w14:paraId="5102EF79" w14:textId="77777777" w:rsidR="002310B7" w:rsidRPr="00C02FBA" w:rsidRDefault="002310B7" w:rsidP="00D437C0">
            <w:pPr>
              <w:spacing w:line="276" w:lineRule="auto"/>
              <w:ind w:left="132"/>
              <w:cnfStyle w:val="100000000000" w:firstRow="1" w:lastRow="0" w:firstColumn="0" w:lastColumn="0" w:oddVBand="0" w:evenVBand="0" w:oddHBand="0" w:evenHBand="0" w:firstRowFirstColumn="0" w:firstRowLastColumn="0" w:lastRowFirstColumn="0" w:lastRowLastColumn="0"/>
              <w:rPr>
                <w:rFonts w:ascii="Arial" w:eastAsia="Arial Unicode MS" w:hAnsi="Arial" w:cs="Arial"/>
                <w:b w:val="0"/>
                <w:bCs w:val="0"/>
              </w:rPr>
            </w:pPr>
            <w:r w:rsidRPr="00C02FBA">
              <w:rPr>
                <w:rFonts w:ascii="Arial" w:hAnsi="Arial" w:cs="Arial"/>
              </w:rPr>
              <w:t>Total payment</w:t>
            </w:r>
          </w:p>
        </w:tc>
      </w:tr>
      <w:tr w:rsidR="002310B7" w:rsidRPr="003D14FE" w14:paraId="1A90234D" w14:textId="77777777" w:rsidTr="003538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28" w:type="dxa"/>
          </w:tcPr>
          <w:p w14:paraId="279CE0B2" w14:textId="77777777" w:rsidR="002310B7" w:rsidRPr="00AD649E" w:rsidRDefault="002310B7" w:rsidP="00D437C0">
            <w:pPr>
              <w:spacing w:before="100" w:beforeAutospacing="1" w:after="100" w:afterAutospacing="1" w:line="276" w:lineRule="auto"/>
              <w:ind w:left="142"/>
              <w:rPr>
                <w:rFonts w:ascii="Arial" w:eastAsia="Arial Unicode MS" w:hAnsi="Arial" w:cs="Arial"/>
              </w:rPr>
            </w:pPr>
            <w:r w:rsidRPr="00AD649E">
              <w:rPr>
                <w:rFonts w:ascii="Arial" w:eastAsia="Arial Unicode MS" w:hAnsi="Arial" w:cs="Arial"/>
              </w:rPr>
              <w:t>2 bed</w:t>
            </w:r>
          </w:p>
        </w:tc>
        <w:tc>
          <w:tcPr>
            <w:tcW w:w="1134" w:type="dxa"/>
          </w:tcPr>
          <w:p w14:paraId="4864C5D6" w14:textId="77777777" w:rsidR="002310B7" w:rsidRPr="00F32DD3" w:rsidRDefault="002310B7" w:rsidP="00D437C0">
            <w:pPr>
              <w:spacing w:before="100" w:beforeAutospacing="1" w:after="100" w:afterAutospacing="1" w:line="276" w:lineRule="auto"/>
              <w:ind w:left="132"/>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r w:rsidRPr="00F32DD3">
              <w:rPr>
                <w:rFonts w:ascii="Arial" w:eastAsia="Arial Unicode MS" w:hAnsi="Arial" w:cs="Arial"/>
              </w:rPr>
              <w:t>1 bed</w:t>
            </w:r>
          </w:p>
        </w:tc>
        <w:tc>
          <w:tcPr>
            <w:cnfStyle w:val="000010000000" w:firstRow="0" w:lastRow="0" w:firstColumn="0" w:lastColumn="0" w:oddVBand="1" w:evenVBand="0" w:oddHBand="0" w:evenHBand="0" w:firstRowFirstColumn="0" w:firstRowLastColumn="0" w:lastRowFirstColumn="0" w:lastRowLastColumn="0"/>
            <w:tcW w:w="1417" w:type="dxa"/>
          </w:tcPr>
          <w:p w14:paraId="5D066CEB" w14:textId="77777777" w:rsidR="002310B7" w:rsidRPr="00F32DD3" w:rsidRDefault="002310B7" w:rsidP="00D437C0">
            <w:pPr>
              <w:spacing w:before="100" w:beforeAutospacing="1" w:after="100" w:afterAutospacing="1" w:line="276" w:lineRule="auto"/>
              <w:ind w:left="426" w:hanging="265"/>
              <w:rPr>
                <w:rFonts w:ascii="Arial" w:eastAsia="Arial Unicode MS" w:hAnsi="Arial" w:cs="Arial"/>
              </w:rPr>
            </w:pPr>
            <w:r w:rsidRPr="00F32DD3">
              <w:rPr>
                <w:rFonts w:ascii="Arial" w:eastAsia="Arial Unicode MS" w:hAnsi="Arial" w:cs="Arial"/>
              </w:rPr>
              <w:t>1</w:t>
            </w:r>
          </w:p>
        </w:tc>
        <w:tc>
          <w:tcPr>
            <w:tcW w:w="1816" w:type="dxa"/>
          </w:tcPr>
          <w:p w14:paraId="5A8D6CD4" w14:textId="77777777" w:rsidR="002310B7" w:rsidRPr="00F32DD3" w:rsidRDefault="002310B7" w:rsidP="00D437C0">
            <w:pPr>
              <w:spacing w:before="100" w:beforeAutospacing="1" w:after="100" w:afterAutospacing="1" w:line="276" w:lineRule="auto"/>
              <w:ind w:left="132"/>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r w:rsidRPr="00F32DD3">
              <w:rPr>
                <w:rFonts w:ascii="Arial" w:eastAsia="Arial Unicode MS" w:hAnsi="Arial" w:cs="Arial"/>
              </w:rPr>
              <w:t>£500</w:t>
            </w:r>
          </w:p>
        </w:tc>
        <w:tc>
          <w:tcPr>
            <w:cnfStyle w:val="000010000000" w:firstRow="0" w:lastRow="0" w:firstColumn="0" w:lastColumn="0" w:oddVBand="1" w:evenVBand="0" w:oddHBand="0" w:evenHBand="0" w:firstRowFirstColumn="0" w:firstRowLastColumn="0" w:lastRowFirstColumn="0" w:lastRowLastColumn="0"/>
            <w:tcW w:w="2437" w:type="dxa"/>
          </w:tcPr>
          <w:p w14:paraId="7E94EBB6" w14:textId="77777777" w:rsidR="002310B7" w:rsidRPr="00F32DD3" w:rsidRDefault="002310B7" w:rsidP="00D437C0">
            <w:pPr>
              <w:spacing w:before="100" w:beforeAutospacing="1" w:after="100" w:afterAutospacing="1" w:line="276" w:lineRule="auto"/>
              <w:ind w:left="159"/>
              <w:rPr>
                <w:rFonts w:ascii="Arial" w:eastAsia="Arial Unicode MS" w:hAnsi="Arial" w:cs="Arial"/>
              </w:rPr>
            </w:pPr>
            <w:r w:rsidRPr="00F32DD3">
              <w:rPr>
                <w:rFonts w:ascii="Arial" w:eastAsia="Arial Unicode MS" w:hAnsi="Arial" w:cs="Arial"/>
              </w:rPr>
              <w:t>£500</w:t>
            </w:r>
          </w:p>
        </w:tc>
        <w:tc>
          <w:tcPr>
            <w:tcW w:w="1134" w:type="dxa"/>
          </w:tcPr>
          <w:p w14:paraId="32239822" w14:textId="77777777" w:rsidR="002310B7" w:rsidRPr="00F32DD3" w:rsidRDefault="002310B7" w:rsidP="00D437C0">
            <w:pPr>
              <w:spacing w:line="276" w:lineRule="auto"/>
              <w:ind w:left="132"/>
              <w:jc w:val="cente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rPr>
            </w:pPr>
            <w:r>
              <w:rPr>
                <w:rFonts w:ascii="Arial" w:hAnsi="Arial" w:cs="Arial"/>
                <w:b/>
                <w:bCs/>
              </w:rPr>
              <w:t>£1,0</w:t>
            </w:r>
            <w:r w:rsidRPr="00F32DD3">
              <w:rPr>
                <w:rFonts w:ascii="Arial" w:hAnsi="Arial" w:cs="Arial"/>
                <w:b/>
                <w:bCs/>
              </w:rPr>
              <w:t>00</w:t>
            </w:r>
          </w:p>
        </w:tc>
      </w:tr>
      <w:tr w:rsidR="002310B7" w:rsidRPr="003D14FE" w14:paraId="7CA69D92" w14:textId="77777777" w:rsidTr="00353805">
        <w:tc>
          <w:tcPr>
            <w:cnfStyle w:val="000010000000" w:firstRow="0" w:lastRow="0" w:firstColumn="0" w:lastColumn="0" w:oddVBand="1" w:evenVBand="0" w:oddHBand="0" w:evenHBand="0" w:firstRowFirstColumn="0" w:firstRowLastColumn="0" w:lastRowFirstColumn="0" w:lastRowLastColumn="0"/>
            <w:tcW w:w="1428" w:type="dxa"/>
          </w:tcPr>
          <w:p w14:paraId="26A6F75F" w14:textId="77777777" w:rsidR="002310B7" w:rsidRPr="00AD649E" w:rsidRDefault="002310B7" w:rsidP="00D437C0">
            <w:pPr>
              <w:spacing w:before="100" w:beforeAutospacing="1" w:after="100" w:afterAutospacing="1" w:line="276" w:lineRule="auto"/>
              <w:ind w:left="142"/>
              <w:rPr>
                <w:rFonts w:ascii="Arial" w:eastAsia="Arial Unicode MS" w:hAnsi="Arial" w:cs="Arial"/>
              </w:rPr>
            </w:pPr>
            <w:r w:rsidRPr="00AD649E">
              <w:rPr>
                <w:rFonts w:ascii="Arial" w:eastAsia="Arial Unicode MS" w:hAnsi="Arial" w:cs="Arial"/>
              </w:rPr>
              <w:t>3 bed</w:t>
            </w:r>
          </w:p>
        </w:tc>
        <w:tc>
          <w:tcPr>
            <w:tcW w:w="1134" w:type="dxa"/>
          </w:tcPr>
          <w:p w14:paraId="6E6CCC67" w14:textId="77777777" w:rsidR="002310B7" w:rsidRPr="00F32DD3" w:rsidRDefault="002310B7" w:rsidP="00D437C0">
            <w:pPr>
              <w:spacing w:before="100" w:beforeAutospacing="1" w:after="100" w:afterAutospacing="1" w:line="276" w:lineRule="auto"/>
              <w:ind w:left="132"/>
              <w:cnfStyle w:val="000000000000" w:firstRow="0" w:lastRow="0" w:firstColumn="0" w:lastColumn="0" w:oddVBand="0" w:evenVBand="0" w:oddHBand="0" w:evenHBand="0" w:firstRowFirstColumn="0" w:firstRowLastColumn="0" w:lastRowFirstColumn="0" w:lastRowLastColumn="0"/>
              <w:rPr>
                <w:rFonts w:ascii="Arial" w:eastAsia="Arial Unicode MS" w:hAnsi="Arial" w:cs="Arial"/>
              </w:rPr>
            </w:pPr>
            <w:r w:rsidRPr="00F32DD3">
              <w:rPr>
                <w:rFonts w:ascii="Arial" w:eastAsia="Arial Unicode MS" w:hAnsi="Arial" w:cs="Arial"/>
              </w:rPr>
              <w:t>1 bed</w:t>
            </w:r>
          </w:p>
        </w:tc>
        <w:tc>
          <w:tcPr>
            <w:cnfStyle w:val="000010000000" w:firstRow="0" w:lastRow="0" w:firstColumn="0" w:lastColumn="0" w:oddVBand="1" w:evenVBand="0" w:oddHBand="0" w:evenHBand="0" w:firstRowFirstColumn="0" w:firstRowLastColumn="0" w:lastRowFirstColumn="0" w:lastRowLastColumn="0"/>
            <w:tcW w:w="1417" w:type="dxa"/>
          </w:tcPr>
          <w:p w14:paraId="5EEA83E7" w14:textId="77777777" w:rsidR="002310B7" w:rsidRPr="00F32DD3" w:rsidRDefault="002310B7" w:rsidP="00D437C0">
            <w:pPr>
              <w:spacing w:before="100" w:beforeAutospacing="1" w:after="100" w:afterAutospacing="1" w:line="276" w:lineRule="auto"/>
              <w:ind w:left="426" w:hanging="265"/>
              <w:rPr>
                <w:rFonts w:ascii="Arial" w:eastAsia="Arial Unicode MS" w:hAnsi="Arial" w:cs="Arial"/>
              </w:rPr>
            </w:pPr>
            <w:r w:rsidRPr="00F32DD3">
              <w:rPr>
                <w:rFonts w:ascii="Arial" w:eastAsia="Arial Unicode MS" w:hAnsi="Arial" w:cs="Arial"/>
              </w:rPr>
              <w:t>2</w:t>
            </w:r>
          </w:p>
        </w:tc>
        <w:tc>
          <w:tcPr>
            <w:tcW w:w="1816" w:type="dxa"/>
          </w:tcPr>
          <w:p w14:paraId="65D311C1" w14:textId="77777777" w:rsidR="002310B7" w:rsidRPr="00F32DD3" w:rsidRDefault="002310B7" w:rsidP="00D437C0">
            <w:pPr>
              <w:spacing w:before="100" w:beforeAutospacing="1" w:after="100" w:afterAutospacing="1" w:line="276" w:lineRule="auto"/>
              <w:ind w:left="132"/>
              <w:cnfStyle w:val="000000000000" w:firstRow="0" w:lastRow="0" w:firstColumn="0" w:lastColumn="0" w:oddVBand="0" w:evenVBand="0" w:oddHBand="0" w:evenHBand="0" w:firstRowFirstColumn="0" w:firstRowLastColumn="0" w:lastRowFirstColumn="0" w:lastRowLastColumn="0"/>
              <w:rPr>
                <w:rFonts w:ascii="Arial" w:eastAsia="Arial Unicode MS" w:hAnsi="Arial" w:cs="Arial"/>
              </w:rPr>
            </w:pPr>
            <w:r w:rsidRPr="00F32DD3">
              <w:rPr>
                <w:rFonts w:ascii="Arial" w:eastAsia="Arial Unicode MS" w:hAnsi="Arial" w:cs="Arial"/>
              </w:rPr>
              <w:t>£1,000</w:t>
            </w:r>
          </w:p>
        </w:tc>
        <w:tc>
          <w:tcPr>
            <w:cnfStyle w:val="000010000000" w:firstRow="0" w:lastRow="0" w:firstColumn="0" w:lastColumn="0" w:oddVBand="1" w:evenVBand="0" w:oddHBand="0" w:evenHBand="0" w:firstRowFirstColumn="0" w:firstRowLastColumn="0" w:lastRowFirstColumn="0" w:lastRowLastColumn="0"/>
            <w:tcW w:w="2437" w:type="dxa"/>
          </w:tcPr>
          <w:p w14:paraId="6D5CF4F9" w14:textId="77777777" w:rsidR="002310B7" w:rsidRPr="003D14FE" w:rsidRDefault="002310B7" w:rsidP="00D437C0">
            <w:pPr>
              <w:spacing w:line="276" w:lineRule="auto"/>
              <w:ind w:left="159"/>
              <w:rPr>
                <w:rFonts w:ascii="Arial" w:hAnsi="Arial" w:cs="Arial"/>
              </w:rPr>
            </w:pPr>
            <w:r w:rsidRPr="00F32DD3">
              <w:rPr>
                <w:rFonts w:ascii="Arial" w:hAnsi="Arial" w:cs="Arial"/>
              </w:rPr>
              <w:t>£500</w:t>
            </w:r>
          </w:p>
        </w:tc>
        <w:tc>
          <w:tcPr>
            <w:tcW w:w="1134" w:type="dxa"/>
          </w:tcPr>
          <w:p w14:paraId="222EE8D3" w14:textId="77777777" w:rsidR="002310B7" w:rsidRPr="00F32DD3" w:rsidRDefault="002310B7" w:rsidP="00D437C0">
            <w:pPr>
              <w:spacing w:line="276" w:lineRule="auto"/>
              <w:ind w:left="132"/>
              <w:jc w:val="center"/>
              <w:cnfStyle w:val="000000000000" w:firstRow="0" w:lastRow="0" w:firstColumn="0" w:lastColumn="0" w:oddVBand="0" w:evenVBand="0" w:oddHBand="0" w:evenHBand="0" w:firstRowFirstColumn="0" w:firstRowLastColumn="0" w:lastRowFirstColumn="0" w:lastRowLastColumn="0"/>
              <w:rPr>
                <w:rFonts w:ascii="Arial" w:eastAsia="Arial Unicode MS" w:hAnsi="Arial" w:cs="Arial"/>
                <w:b/>
                <w:bCs/>
              </w:rPr>
            </w:pPr>
            <w:r w:rsidRPr="00AD649E">
              <w:rPr>
                <w:rFonts w:ascii="Arial" w:hAnsi="Arial" w:cs="Arial"/>
                <w:b/>
                <w:bCs/>
              </w:rPr>
              <w:t>£1</w:t>
            </w:r>
            <w:r>
              <w:rPr>
                <w:rFonts w:ascii="Arial" w:hAnsi="Arial" w:cs="Arial"/>
                <w:b/>
                <w:bCs/>
              </w:rPr>
              <w:t>,5</w:t>
            </w:r>
            <w:r w:rsidRPr="00F32DD3">
              <w:rPr>
                <w:rFonts w:ascii="Arial" w:hAnsi="Arial" w:cs="Arial"/>
                <w:b/>
                <w:bCs/>
              </w:rPr>
              <w:t>00</w:t>
            </w:r>
          </w:p>
        </w:tc>
      </w:tr>
      <w:tr w:rsidR="002310B7" w:rsidRPr="003D14FE" w14:paraId="537C1393" w14:textId="77777777" w:rsidTr="003538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28" w:type="dxa"/>
          </w:tcPr>
          <w:p w14:paraId="1EF7EFB7" w14:textId="77777777" w:rsidR="002310B7" w:rsidRPr="00AD649E" w:rsidRDefault="002310B7" w:rsidP="00D437C0">
            <w:pPr>
              <w:spacing w:before="100" w:beforeAutospacing="1" w:after="100" w:afterAutospacing="1" w:line="276" w:lineRule="auto"/>
              <w:ind w:left="142"/>
              <w:rPr>
                <w:rFonts w:ascii="Arial" w:eastAsia="Arial Unicode MS" w:hAnsi="Arial" w:cs="Arial"/>
              </w:rPr>
            </w:pPr>
            <w:r w:rsidRPr="00AD649E">
              <w:rPr>
                <w:rFonts w:ascii="Arial" w:eastAsia="Arial Unicode MS" w:hAnsi="Arial" w:cs="Arial"/>
              </w:rPr>
              <w:t>4 bed</w:t>
            </w:r>
          </w:p>
        </w:tc>
        <w:tc>
          <w:tcPr>
            <w:tcW w:w="1134" w:type="dxa"/>
          </w:tcPr>
          <w:p w14:paraId="28B3F4C2" w14:textId="77777777" w:rsidR="002310B7" w:rsidRPr="00F32DD3" w:rsidRDefault="002310B7" w:rsidP="00D437C0">
            <w:pPr>
              <w:spacing w:before="100" w:beforeAutospacing="1" w:after="100" w:afterAutospacing="1" w:line="276" w:lineRule="auto"/>
              <w:ind w:left="132"/>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r w:rsidRPr="00F32DD3">
              <w:rPr>
                <w:rFonts w:ascii="Arial" w:eastAsia="Arial Unicode MS" w:hAnsi="Arial" w:cs="Arial"/>
              </w:rPr>
              <w:t>1 bed</w:t>
            </w:r>
          </w:p>
        </w:tc>
        <w:tc>
          <w:tcPr>
            <w:cnfStyle w:val="000010000000" w:firstRow="0" w:lastRow="0" w:firstColumn="0" w:lastColumn="0" w:oddVBand="1" w:evenVBand="0" w:oddHBand="0" w:evenHBand="0" w:firstRowFirstColumn="0" w:firstRowLastColumn="0" w:lastRowFirstColumn="0" w:lastRowLastColumn="0"/>
            <w:tcW w:w="1417" w:type="dxa"/>
          </w:tcPr>
          <w:p w14:paraId="1AC16F93" w14:textId="77777777" w:rsidR="002310B7" w:rsidRPr="00F32DD3" w:rsidRDefault="002310B7" w:rsidP="00D437C0">
            <w:pPr>
              <w:spacing w:before="100" w:beforeAutospacing="1" w:after="100" w:afterAutospacing="1" w:line="276" w:lineRule="auto"/>
              <w:ind w:left="426" w:hanging="265"/>
              <w:rPr>
                <w:rFonts w:ascii="Arial" w:eastAsia="Arial Unicode MS" w:hAnsi="Arial" w:cs="Arial"/>
              </w:rPr>
            </w:pPr>
            <w:r w:rsidRPr="00F32DD3">
              <w:rPr>
                <w:rFonts w:ascii="Arial" w:eastAsia="Arial Unicode MS" w:hAnsi="Arial" w:cs="Arial"/>
              </w:rPr>
              <w:t>3</w:t>
            </w:r>
          </w:p>
        </w:tc>
        <w:tc>
          <w:tcPr>
            <w:tcW w:w="1816" w:type="dxa"/>
          </w:tcPr>
          <w:p w14:paraId="09E21D9E" w14:textId="77777777" w:rsidR="002310B7" w:rsidRPr="00F32DD3" w:rsidRDefault="002310B7" w:rsidP="00D437C0">
            <w:pPr>
              <w:spacing w:before="100" w:beforeAutospacing="1" w:after="100" w:afterAutospacing="1" w:line="276" w:lineRule="auto"/>
              <w:ind w:left="132"/>
              <w:cnfStyle w:val="000000100000" w:firstRow="0" w:lastRow="0" w:firstColumn="0" w:lastColumn="0" w:oddVBand="0" w:evenVBand="0" w:oddHBand="1" w:evenHBand="0" w:firstRowFirstColumn="0" w:firstRowLastColumn="0" w:lastRowFirstColumn="0" w:lastRowLastColumn="0"/>
              <w:rPr>
                <w:rFonts w:ascii="Arial" w:eastAsia="Arial Unicode MS" w:hAnsi="Arial" w:cs="Arial"/>
              </w:rPr>
            </w:pPr>
            <w:r w:rsidRPr="00F32DD3">
              <w:rPr>
                <w:rFonts w:ascii="Arial" w:eastAsia="Arial Unicode MS" w:hAnsi="Arial" w:cs="Arial"/>
              </w:rPr>
              <w:t>£1,500</w:t>
            </w:r>
          </w:p>
        </w:tc>
        <w:tc>
          <w:tcPr>
            <w:cnfStyle w:val="000010000000" w:firstRow="0" w:lastRow="0" w:firstColumn="0" w:lastColumn="0" w:oddVBand="1" w:evenVBand="0" w:oddHBand="0" w:evenHBand="0" w:firstRowFirstColumn="0" w:firstRowLastColumn="0" w:lastRowFirstColumn="0" w:lastRowLastColumn="0"/>
            <w:tcW w:w="2437" w:type="dxa"/>
          </w:tcPr>
          <w:p w14:paraId="4296E740" w14:textId="77777777" w:rsidR="002310B7" w:rsidRPr="003D14FE" w:rsidRDefault="002310B7" w:rsidP="00D437C0">
            <w:pPr>
              <w:spacing w:line="276" w:lineRule="auto"/>
              <w:ind w:left="159"/>
              <w:rPr>
                <w:rFonts w:ascii="Arial" w:hAnsi="Arial" w:cs="Arial"/>
              </w:rPr>
            </w:pPr>
            <w:r w:rsidRPr="00F32DD3">
              <w:rPr>
                <w:rFonts w:ascii="Arial" w:hAnsi="Arial" w:cs="Arial"/>
              </w:rPr>
              <w:t>£500</w:t>
            </w:r>
          </w:p>
        </w:tc>
        <w:tc>
          <w:tcPr>
            <w:tcW w:w="1134" w:type="dxa"/>
          </w:tcPr>
          <w:p w14:paraId="32326C93" w14:textId="77777777" w:rsidR="002310B7" w:rsidRPr="00F32DD3" w:rsidRDefault="002310B7" w:rsidP="00D437C0">
            <w:pPr>
              <w:spacing w:line="276" w:lineRule="auto"/>
              <w:ind w:left="132"/>
              <w:jc w:val="center"/>
              <w:cnfStyle w:val="000000100000" w:firstRow="0" w:lastRow="0" w:firstColumn="0" w:lastColumn="0" w:oddVBand="0" w:evenVBand="0" w:oddHBand="1" w:evenHBand="0" w:firstRowFirstColumn="0" w:firstRowLastColumn="0" w:lastRowFirstColumn="0" w:lastRowLastColumn="0"/>
              <w:rPr>
                <w:rFonts w:ascii="Arial" w:eastAsia="Arial Unicode MS" w:hAnsi="Arial" w:cs="Arial"/>
                <w:b/>
                <w:bCs/>
              </w:rPr>
            </w:pPr>
            <w:r w:rsidRPr="00AD649E">
              <w:rPr>
                <w:rFonts w:ascii="Arial" w:hAnsi="Arial" w:cs="Arial"/>
                <w:b/>
                <w:bCs/>
              </w:rPr>
              <w:t>£</w:t>
            </w:r>
            <w:r>
              <w:rPr>
                <w:rFonts w:ascii="Arial" w:hAnsi="Arial" w:cs="Arial"/>
                <w:b/>
                <w:bCs/>
              </w:rPr>
              <w:t>2,000</w:t>
            </w:r>
          </w:p>
        </w:tc>
      </w:tr>
    </w:tbl>
    <w:p w14:paraId="5A07D5E1" w14:textId="77777777" w:rsidR="002310B7" w:rsidRPr="003D14FE" w:rsidRDefault="002310B7" w:rsidP="002310B7">
      <w:pPr>
        <w:autoSpaceDE w:val="0"/>
        <w:autoSpaceDN w:val="0"/>
        <w:adjustRightInd w:val="0"/>
        <w:spacing w:line="276" w:lineRule="auto"/>
        <w:ind w:left="426" w:hanging="426"/>
        <w:rPr>
          <w:rFonts w:ascii="Arial" w:hAnsi="Arial" w:cs="Arial"/>
          <w:bCs/>
          <w:lang w:eastAsia="en-GB"/>
        </w:rPr>
      </w:pPr>
    </w:p>
    <w:p w14:paraId="79A4ECA8" w14:textId="77777777" w:rsidR="002310B7" w:rsidRPr="007E65AB" w:rsidRDefault="002310B7" w:rsidP="007E65AB">
      <w:pPr>
        <w:pStyle w:val="ListParagraph"/>
        <w:numPr>
          <w:ilvl w:val="2"/>
          <w:numId w:val="8"/>
        </w:numPr>
        <w:tabs>
          <w:tab w:val="left" w:pos="709"/>
        </w:tabs>
        <w:autoSpaceDE w:val="0"/>
        <w:autoSpaceDN w:val="0"/>
        <w:adjustRightInd w:val="0"/>
        <w:spacing w:after="0" w:line="276" w:lineRule="auto"/>
        <w:rPr>
          <w:rFonts w:ascii="Arial" w:hAnsi="Arial" w:cs="Arial"/>
          <w:lang w:eastAsia="en-GB"/>
        </w:rPr>
      </w:pPr>
      <w:r w:rsidRPr="007E65AB">
        <w:rPr>
          <w:rFonts w:ascii="Arial" w:hAnsi="Arial" w:cs="Arial"/>
          <w:lang w:eastAsia="en-GB"/>
        </w:rPr>
        <w:t>The above payments will be made subject to the budget being available, and the budgetary requirement will be reviewed each year.</w:t>
      </w:r>
    </w:p>
    <w:p w14:paraId="4717D3A7" w14:textId="77777777" w:rsidR="002310B7" w:rsidRPr="00C25C06" w:rsidRDefault="002310B7" w:rsidP="002310B7">
      <w:pPr>
        <w:tabs>
          <w:tab w:val="left" w:pos="709"/>
        </w:tabs>
        <w:autoSpaceDE w:val="0"/>
        <w:autoSpaceDN w:val="0"/>
        <w:adjustRightInd w:val="0"/>
        <w:spacing w:line="276" w:lineRule="auto"/>
        <w:ind w:left="709"/>
        <w:rPr>
          <w:rFonts w:ascii="Arial" w:hAnsi="Arial" w:cs="Arial"/>
          <w:lang w:eastAsia="en-GB"/>
        </w:rPr>
      </w:pPr>
    </w:p>
    <w:p w14:paraId="781F99C9" w14:textId="35AC2C43" w:rsidR="002310B7" w:rsidRDefault="002310B7" w:rsidP="007E65AB">
      <w:pPr>
        <w:numPr>
          <w:ilvl w:val="2"/>
          <w:numId w:val="8"/>
        </w:numPr>
        <w:tabs>
          <w:tab w:val="left" w:pos="709"/>
        </w:tabs>
        <w:autoSpaceDE w:val="0"/>
        <w:autoSpaceDN w:val="0"/>
        <w:adjustRightInd w:val="0"/>
        <w:spacing w:after="0" w:line="276" w:lineRule="auto"/>
        <w:ind w:left="709" w:hanging="709"/>
        <w:rPr>
          <w:rFonts w:ascii="Arial" w:hAnsi="Arial" w:cs="Arial"/>
          <w:lang w:eastAsia="en-GB"/>
        </w:rPr>
      </w:pPr>
      <w:r w:rsidRPr="00C25C06">
        <w:rPr>
          <w:rFonts w:ascii="Arial" w:hAnsi="Arial" w:cs="Arial"/>
          <w:lang w:eastAsia="en-GB"/>
        </w:rPr>
        <w:t xml:space="preserve">If there are more requests for incentive grants than there is funding available, priority to those tenants moving from accommodation that is more urgently required and will be given at the discretion of the </w:t>
      </w:r>
      <w:r w:rsidR="002C4BD4">
        <w:rPr>
          <w:rFonts w:ascii="Arial" w:hAnsi="Arial" w:cs="Arial"/>
          <w:lang w:eastAsia="en-GB"/>
        </w:rPr>
        <w:t>Chief Housing Officer</w:t>
      </w:r>
      <w:r w:rsidRPr="00C25C06">
        <w:rPr>
          <w:rFonts w:ascii="Arial" w:hAnsi="Arial" w:cs="Arial"/>
          <w:lang w:eastAsia="en-GB"/>
        </w:rPr>
        <w:t>.</w:t>
      </w:r>
    </w:p>
    <w:p w14:paraId="6F5BB857" w14:textId="77777777" w:rsidR="007E65AB" w:rsidRPr="002310B7" w:rsidRDefault="007E65AB" w:rsidP="007E65AB">
      <w:pPr>
        <w:tabs>
          <w:tab w:val="left" w:pos="709"/>
        </w:tabs>
        <w:autoSpaceDE w:val="0"/>
        <w:autoSpaceDN w:val="0"/>
        <w:adjustRightInd w:val="0"/>
        <w:spacing w:after="0" w:line="276" w:lineRule="auto"/>
        <w:rPr>
          <w:rFonts w:ascii="Arial" w:hAnsi="Arial" w:cs="Arial"/>
          <w:lang w:eastAsia="en-GB"/>
        </w:rPr>
      </w:pPr>
    </w:p>
    <w:p w14:paraId="2CBBD96B" w14:textId="77777777" w:rsidR="002310B7" w:rsidRPr="002C4BD4" w:rsidRDefault="002310B7" w:rsidP="007E65AB">
      <w:pPr>
        <w:pStyle w:val="Heading2"/>
        <w:rPr>
          <w:sz w:val="32"/>
          <w:szCs w:val="32"/>
        </w:rPr>
      </w:pPr>
      <w:r w:rsidRPr="002C4BD4">
        <w:rPr>
          <w:sz w:val="32"/>
          <w:szCs w:val="32"/>
        </w:rPr>
        <w:t>Aspects covered by the Tenants Incentive Scheme</w:t>
      </w:r>
    </w:p>
    <w:p w14:paraId="3D90A26E" w14:textId="3ED90629" w:rsidR="007E65AB" w:rsidRDefault="002310B7" w:rsidP="00065D4E">
      <w:pPr>
        <w:pStyle w:val="ListParagraph"/>
        <w:numPr>
          <w:ilvl w:val="1"/>
          <w:numId w:val="8"/>
        </w:numPr>
        <w:tabs>
          <w:tab w:val="left" w:pos="709"/>
        </w:tabs>
        <w:autoSpaceDE w:val="0"/>
        <w:autoSpaceDN w:val="0"/>
        <w:adjustRightInd w:val="0"/>
        <w:spacing w:after="0" w:line="276" w:lineRule="auto"/>
        <w:ind w:left="709" w:hanging="709"/>
        <w:rPr>
          <w:rFonts w:ascii="Arial" w:hAnsi="Arial" w:cs="Arial"/>
          <w:lang w:eastAsia="en-GB"/>
        </w:rPr>
      </w:pPr>
      <w:r w:rsidRPr="007E65AB">
        <w:rPr>
          <w:rFonts w:ascii="Arial" w:hAnsi="Arial" w:cs="Arial"/>
          <w:lang w:eastAsia="en-GB"/>
        </w:rPr>
        <w:t xml:space="preserve">The Tenants Incentive payment is a fixed amount to assist with the reasonable costs of moving home, that </w:t>
      </w:r>
      <w:r w:rsidR="002C4BD4" w:rsidRPr="007E65AB">
        <w:rPr>
          <w:rFonts w:ascii="Arial" w:hAnsi="Arial" w:cs="Arial"/>
          <w:lang w:eastAsia="en-GB"/>
        </w:rPr>
        <w:t>includes</w:t>
      </w:r>
      <w:r w:rsidRPr="007E65AB">
        <w:rPr>
          <w:rFonts w:ascii="Arial" w:hAnsi="Arial" w:cs="Arial"/>
          <w:lang w:eastAsia="en-GB"/>
        </w:rPr>
        <w:t xml:space="preserve"> removals, connection and disconnection of services</w:t>
      </w:r>
      <w:r w:rsidR="002C4BD4">
        <w:rPr>
          <w:rFonts w:ascii="Arial" w:hAnsi="Arial" w:cs="Arial"/>
          <w:lang w:eastAsia="en-GB"/>
        </w:rPr>
        <w:t xml:space="preserve">, </w:t>
      </w:r>
      <w:r w:rsidRPr="007E65AB">
        <w:rPr>
          <w:rFonts w:ascii="Arial" w:hAnsi="Arial" w:cs="Arial"/>
          <w:lang w:eastAsia="en-GB"/>
        </w:rPr>
        <w:t>replacement carpets</w:t>
      </w:r>
      <w:r w:rsidR="002C4BD4">
        <w:rPr>
          <w:rFonts w:ascii="Arial" w:hAnsi="Arial" w:cs="Arial"/>
          <w:lang w:eastAsia="en-GB"/>
        </w:rPr>
        <w:t xml:space="preserve">, </w:t>
      </w:r>
      <w:proofErr w:type="gramStart"/>
      <w:r w:rsidRPr="007E65AB">
        <w:rPr>
          <w:rFonts w:ascii="Arial" w:hAnsi="Arial" w:cs="Arial"/>
          <w:lang w:eastAsia="en-GB"/>
        </w:rPr>
        <w:t>curtains</w:t>
      </w:r>
      <w:proofErr w:type="gramEnd"/>
      <w:r w:rsidRPr="007E65AB">
        <w:rPr>
          <w:rFonts w:ascii="Arial" w:hAnsi="Arial" w:cs="Arial"/>
          <w:lang w:eastAsia="en-GB"/>
        </w:rPr>
        <w:t xml:space="preserve"> and decoration etc.</w:t>
      </w:r>
    </w:p>
    <w:p w14:paraId="70B43784" w14:textId="77777777" w:rsidR="007E65AB" w:rsidRDefault="002310B7" w:rsidP="00065D4E">
      <w:pPr>
        <w:pStyle w:val="ListParagraph"/>
        <w:numPr>
          <w:ilvl w:val="1"/>
          <w:numId w:val="8"/>
        </w:numPr>
        <w:tabs>
          <w:tab w:val="left" w:pos="709"/>
        </w:tabs>
        <w:autoSpaceDE w:val="0"/>
        <w:autoSpaceDN w:val="0"/>
        <w:adjustRightInd w:val="0"/>
        <w:spacing w:after="0" w:line="276" w:lineRule="auto"/>
        <w:ind w:left="709" w:hanging="709"/>
        <w:rPr>
          <w:rFonts w:ascii="Arial" w:hAnsi="Arial" w:cs="Arial"/>
          <w:lang w:eastAsia="en-GB"/>
        </w:rPr>
      </w:pPr>
      <w:r w:rsidRPr="007E65AB">
        <w:rPr>
          <w:rFonts w:ascii="Arial" w:hAnsi="Arial" w:cs="Arial"/>
          <w:lang w:eastAsia="en-GB"/>
        </w:rPr>
        <w:t>Landlord Services has a preferred contractor it asks residents to use for removals.</w:t>
      </w:r>
    </w:p>
    <w:p w14:paraId="63E008A4" w14:textId="2CDD3269" w:rsidR="002310B7" w:rsidRPr="00065D4E" w:rsidRDefault="002310B7" w:rsidP="00065D4E">
      <w:pPr>
        <w:pStyle w:val="ListParagraph"/>
        <w:numPr>
          <w:ilvl w:val="1"/>
          <w:numId w:val="8"/>
        </w:numPr>
        <w:tabs>
          <w:tab w:val="left" w:pos="709"/>
        </w:tabs>
        <w:autoSpaceDE w:val="0"/>
        <w:autoSpaceDN w:val="0"/>
        <w:adjustRightInd w:val="0"/>
        <w:spacing w:after="0" w:line="276" w:lineRule="auto"/>
        <w:ind w:left="709" w:hanging="709"/>
        <w:rPr>
          <w:rFonts w:ascii="Arial" w:hAnsi="Arial" w:cs="Arial"/>
          <w:lang w:eastAsia="en-GB"/>
        </w:rPr>
      </w:pPr>
      <w:r w:rsidRPr="00065D4E">
        <w:rPr>
          <w:rFonts w:ascii="Arial" w:hAnsi="Arial" w:cs="Arial"/>
          <w:lang w:eastAsia="en-GB"/>
        </w:rPr>
        <w:t>Tenants will be expected to submit invoices or receipts to receive the moving cost element of this payment, up to a maximum of £500.  Payments will be authorised once the tenant has moved and following an inspection of the vacated property, to ensure that it is left in good decorative and clean order.</w:t>
      </w:r>
      <w:r w:rsidR="00065D4E">
        <w:rPr>
          <w:rFonts w:ascii="Arial" w:hAnsi="Arial" w:cs="Arial"/>
          <w:lang w:eastAsia="en-GB"/>
        </w:rPr>
        <w:t xml:space="preserve">  In certain circumstances where financial hardship can be demonstrated, Landlord Services will pay the removal costs direct to the removal company instead of reimbursing the tenant.</w:t>
      </w:r>
    </w:p>
    <w:p w14:paraId="24B8775D" w14:textId="77777777" w:rsidR="002310B7" w:rsidRPr="003D14FE" w:rsidRDefault="002310B7" w:rsidP="007E65AB">
      <w:pPr>
        <w:numPr>
          <w:ilvl w:val="2"/>
          <w:numId w:val="8"/>
        </w:numPr>
        <w:tabs>
          <w:tab w:val="left" w:pos="709"/>
        </w:tabs>
        <w:autoSpaceDE w:val="0"/>
        <w:autoSpaceDN w:val="0"/>
        <w:adjustRightInd w:val="0"/>
        <w:spacing w:after="0" w:line="276" w:lineRule="auto"/>
        <w:ind w:left="709" w:hanging="709"/>
        <w:rPr>
          <w:rFonts w:ascii="Arial" w:hAnsi="Arial" w:cs="Arial"/>
          <w:lang w:eastAsia="en-GB"/>
        </w:rPr>
      </w:pPr>
      <w:r w:rsidRPr="003D14FE">
        <w:rPr>
          <w:rFonts w:ascii="Arial" w:hAnsi="Arial" w:cs="Arial"/>
          <w:lang w:eastAsia="en-GB"/>
        </w:rPr>
        <w:t xml:space="preserve">The Council reserves the right to reduce the payments set out in paragraph </w:t>
      </w:r>
      <w:r w:rsidRPr="00331591">
        <w:rPr>
          <w:rFonts w:ascii="Arial" w:hAnsi="Arial" w:cs="Arial"/>
          <w:b/>
          <w:lang w:eastAsia="en-GB"/>
        </w:rPr>
        <w:t>5.</w:t>
      </w:r>
      <w:r w:rsidR="007E65AB">
        <w:rPr>
          <w:rFonts w:ascii="Arial" w:hAnsi="Arial" w:cs="Arial"/>
          <w:b/>
          <w:lang w:eastAsia="en-GB"/>
        </w:rPr>
        <w:t>9</w:t>
      </w:r>
      <w:r w:rsidRPr="003D14FE">
        <w:rPr>
          <w:rFonts w:ascii="Arial" w:hAnsi="Arial" w:cs="Arial"/>
          <w:lang w:eastAsia="en-GB"/>
        </w:rPr>
        <w:t xml:space="preserve"> if:</w:t>
      </w:r>
    </w:p>
    <w:p w14:paraId="53C7E0F5" w14:textId="23A732D4" w:rsidR="002310B7" w:rsidRPr="00E30A41" w:rsidRDefault="002310B7" w:rsidP="002C4BD4">
      <w:pPr>
        <w:numPr>
          <w:ilvl w:val="2"/>
          <w:numId w:val="8"/>
        </w:numPr>
        <w:tabs>
          <w:tab w:val="left" w:pos="709"/>
        </w:tabs>
        <w:autoSpaceDE w:val="0"/>
        <w:autoSpaceDN w:val="0"/>
        <w:adjustRightInd w:val="0"/>
        <w:spacing w:after="0" w:line="276" w:lineRule="auto"/>
        <w:rPr>
          <w:rFonts w:ascii="Arial" w:hAnsi="Arial" w:cs="Arial"/>
          <w:lang w:eastAsia="en-GB"/>
        </w:rPr>
      </w:pPr>
      <w:r w:rsidRPr="003D14FE">
        <w:rPr>
          <w:rFonts w:ascii="Arial" w:hAnsi="Arial" w:cs="Arial"/>
          <w:lang w:eastAsia="en-GB"/>
        </w:rPr>
        <w:t xml:space="preserve">There are rent </w:t>
      </w:r>
      <w:r w:rsidR="00065D4E" w:rsidRPr="003D14FE">
        <w:rPr>
          <w:rFonts w:ascii="Arial" w:hAnsi="Arial" w:cs="Arial"/>
          <w:lang w:eastAsia="en-GB"/>
        </w:rPr>
        <w:t>arrears,</w:t>
      </w:r>
      <w:r w:rsidRPr="003D14FE">
        <w:rPr>
          <w:rFonts w:ascii="Arial" w:hAnsi="Arial" w:cs="Arial"/>
          <w:lang w:eastAsia="en-GB"/>
        </w:rPr>
        <w:t xml:space="preserve"> </w:t>
      </w:r>
      <w:r>
        <w:rPr>
          <w:rFonts w:ascii="Arial" w:hAnsi="Arial" w:cs="Arial"/>
          <w:lang w:eastAsia="en-GB"/>
        </w:rPr>
        <w:t xml:space="preserve">or any other debts </w:t>
      </w:r>
      <w:r w:rsidRPr="003D14FE">
        <w:rPr>
          <w:rFonts w:ascii="Arial" w:hAnsi="Arial" w:cs="Arial"/>
          <w:lang w:eastAsia="en-GB"/>
        </w:rPr>
        <w:t>owed to the council at the time of offer of transfer</w:t>
      </w:r>
      <w:r>
        <w:rPr>
          <w:rFonts w:ascii="Arial" w:hAnsi="Arial" w:cs="Arial"/>
          <w:lang w:eastAsia="en-GB"/>
        </w:rPr>
        <w:t>.</w:t>
      </w:r>
    </w:p>
    <w:p w14:paraId="360DFD5B" w14:textId="53BA05BE" w:rsidR="002310B7" w:rsidRPr="003D14FE" w:rsidRDefault="002310B7" w:rsidP="002C4BD4">
      <w:pPr>
        <w:numPr>
          <w:ilvl w:val="2"/>
          <w:numId w:val="8"/>
        </w:numPr>
        <w:tabs>
          <w:tab w:val="left" w:pos="709"/>
        </w:tabs>
        <w:autoSpaceDE w:val="0"/>
        <w:autoSpaceDN w:val="0"/>
        <w:adjustRightInd w:val="0"/>
        <w:spacing w:after="0" w:line="276" w:lineRule="auto"/>
        <w:rPr>
          <w:rFonts w:ascii="Arial" w:hAnsi="Arial" w:cs="Arial"/>
          <w:lang w:eastAsia="en-GB"/>
        </w:rPr>
      </w:pPr>
      <w:r w:rsidRPr="003D14FE">
        <w:rPr>
          <w:rFonts w:ascii="Arial" w:hAnsi="Arial" w:cs="Arial"/>
          <w:lang w:eastAsia="en-GB"/>
        </w:rPr>
        <w:t xml:space="preserve">There are any rechargeable costs of any works that the council </w:t>
      </w:r>
      <w:r w:rsidR="00065D4E" w:rsidRPr="003D14FE">
        <w:rPr>
          <w:rFonts w:ascii="Arial" w:hAnsi="Arial" w:cs="Arial"/>
          <w:lang w:eastAsia="en-GB"/>
        </w:rPr>
        <w:t>must</w:t>
      </w:r>
      <w:r>
        <w:rPr>
          <w:rFonts w:ascii="Arial" w:hAnsi="Arial" w:cs="Arial"/>
          <w:lang w:eastAsia="en-GB"/>
        </w:rPr>
        <w:t xml:space="preserve"> </w:t>
      </w:r>
      <w:r w:rsidRPr="003D14FE">
        <w:rPr>
          <w:rFonts w:ascii="Arial" w:hAnsi="Arial" w:cs="Arial"/>
          <w:lang w:eastAsia="en-GB"/>
        </w:rPr>
        <w:t>undertake to the vacated premises as a result of damage or neglect on the part of the tenant.</w:t>
      </w:r>
    </w:p>
    <w:p w14:paraId="51BD6A8B" w14:textId="77777777" w:rsidR="002310B7" w:rsidRPr="003D14FE" w:rsidRDefault="002310B7" w:rsidP="002310B7">
      <w:pPr>
        <w:autoSpaceDE w:val="0"/>
        <w:autoSpaceDN w:val="0"/>
        <w:adjustRightInd w:val="0"/>
        <w:spacing w:line="276" w:lineRule="auto"/>
        <w:ind w:left="426" w:hanging="426"/>
        <w:rPr>
          <w:rFonts w:ascii="Arial" w:hAnsi="Arial" w:cs="Arial"/>
          <w:b/>
          <w:bCs/>
          <w:lang w:eastAsia="en-GB"/>
        </w:rPr>
      </w:pPr>
    </w:p>
    <w:p w14:paraId="6AAD3235" w14:textId="77777777" w:rsidR="002310B7" w:rsidRPr="00065D4E" w:rsidRDefault="002310B7" w:rsidP="007E65AB">
      <w:pPr>
        <w:pStyle w:val="Heading2"/>
        <w:rPr>
          <w:sz w:val="32"/>
          <w:szCs w:val="32"/>
        </w:rPr>
      </w:pPr>
      <w:r w:rsidRPr="00065D4E">
        <w:rPr>
          <w:sz w:val="32"/>
          <w:szCs w:val="32"/>
        </w:rPr>
        <w:t>Financial Resources</w:t>
      </w:r>
    </w:p>
    <w:p w14:paraId="116C01AF" w14:textId="77777777" w:rsidR="002310B7" w:rsidRPr="003D14FE" w:rsidRDefault="002310B7" w:rsidP="002310B7">
      <w:pPr>
        <w:widowControl w:val="0"/>
        <w:autoSpaceDE w:val="0"/>
        <w:autoSpaceDN w:val="0"/>
        <w:adjustRightInd w:val="0"/>
        <w:spacing w:line="276" w:lineRule="auto"/>
        <w:ind w:left="567"/>
        <w:jc w:val="both"/>
        <w:rPr>
          <w:rFonts w:ascii="Arial" w:hAnsi="Arial" w:cs="Arial"/>
          <w:b/>
          <w:bCs/>
        </w:rPr>
      </w:pPr>
    </w:p>
    <w:p w14:paraId="778955A9" w14:textId="77777777" w:rsidR="002310B7" w:rsidRPr="007E65AB" w:rsidRDefault="002310B7" w:rsidP="007E65AB">
      <w:pPr>
        <w:pStyle w:val="ListParagraph"/>
        <w:numPr>
          <w:ilvl w:val="1"/>
          <w:numId w:val="8"/>
        </w:numPr>
        <w:tabs>
          <w:tab w:val="left" w:pos="709"/>
        </w:tabs>
        <w:autoSpaceDE w:val="0"/>
        <w:autoSpaceDN w:val="0"/>
        <w:adjustRightInd w:val="0"/>
        <w:spacing w:after="0" w:line="276" w:lineRule="auto"/>
        <w:rPr>
          <w:rFonts w:ascii="Arial" w:hAnsi="Arial" w:cs="Arial"/>
          <w:lang w:eastAsia="en-GB"/>
        </w:rPr>
      </w:pPr>
      <w:r w:rsidRPr="007E65AB">
        <w:rPr>
          <w:rFonts w:ascii="Arial" w:hAnsi="Arial" w:cs="Arial"/>
          <w:lang w:eastAsia="en-GB"/>
        </w:rPr>
        <w:t>The budget will be reviewed annually and will be dealt with as part of the annual budget setting process.</w:t>
      </w:r>
    </w:p>
    <w:p w14:paraId="6AA83259" w14:textId="77777777" w:rsidR="002310B7" w:rsidRDefault="002310B7" w:rsidP="002310B7">
      <w:pPr>
        <w:autoSpaceDE w:val="0"/>
        <w:autoSpaceDN w:val="0"/>
        <w:adjustRightInd w:val="0"/>
        <w:spacing w:line="276" w:lineRule="auto"/>
        <w:ind w:left="426" w:hanging="426"/>
        <w:rPr>
          <w:rFonts w:ascii="Arial" w:hAnsi="Arial" w:cs="Arial"/>
          <w:lang w:eastAsia="en-GB"/>
        </w:rPr>
      </w:pPr>
    </w:p>
    <w:p w14:paraId="51A06735" w14:textId="77777777" w:rsidR="002310B7" w:rsidRPr="00065D4E" w:rsidRDefault="002310B7" w:rsidP="007E65AB">
      <w:pPr>
        <w:pStyle w:val="Heading2"/>
        <w:rPr>
          <w:sz w:val="32"/>
          <w:szCs w:val="32"/>
        </w:rPr>
      </w:pPr>
      <w:r w:rsidRPr="00065D4E">
        <w:rPr>
          <w:sz w:val="32"/>
          <w:szCs w:val="32"/>
        </w:rPr>
        <w:lastRenderedPageBreak/>
        <w:t>Exceptions</w:t>
      </w:r>
    </w:p>
    <w:p w14:paraId="11A44528" w14:textId="50A7B819" w:rsidR="002310B7" w:rsidRPr="007E65AB" w:rsidRDefault="002310B7" w:rsidP="007E65AB">
      <w:pPr>
        <w:pStyle w:val="ListParagraph"/>
        <w:numPr>
          <w:ilvl w:val="1"/>
          <w:numId w:val="8"/>
        </w:numPr>
        <w:tabs>
          <w:tab w:val="left" w:pos="709"/>
        </w:tabs>
        <w:autoSpaceDE w:val="0"/>
        <w:autoSpaceDN w:val="0"/>
        <w:adjustRightInd w:val="0"/>
        <w:spacing w:after="0" w:line="276" w:lineRule="auto"/>
        <w:rPr>
          <w:rFonts w:ascii="Arial" w:hAnsi="Arial" w:cs="Arial"/>
          <w:lang w:eastAsia="en-GB"/>
        </w:rPr>
      </w:pPr>
      <w:r w:rsidRPr="007E65AB">
        <w:rPr>
          <w:rFonts w:ascii="Arial" w:hAnsi="Arial" w:cs="Arial"/>
          <w:lang w:eastAsia="en-GB"/>
        </w:rPr>
        <w:t xml:space="preserve">Where a dwelling of a particular type is urgently required, the </w:t>
      </w:r>
      <w:r w:rsidR="00065D4E">
        <w:rPr>
          <w:rFonts w:ascii="Arial" w:hAnsi="Arial" w:cs="Arial"/>
          <w:lang w:eastAsia="en-GB"/>
        </w:rPr>
        <w:t>Chief Housing Officer</w:t>
      </w:r>
      <w:r w:rsidR="007E65AB">
        <w:rPr>
          <w:rFonts w:ascii="Arial" w:hAnsi="Arial" w:cs="Arial"/>
          <w:lang w:eastAsia="en-GB"/>
        </w:rPr>
        <w:t xml:space="preserve"> </w:t>
      </w:r>
      <w:r w:rsidRPr="007E65AB">
        <w:rPr>
          <w:rFonts w:ascii="Arial" w:hAnsi="Arial" w:cs="Arial"/>
          <w:lang w:eastAsia="en-GB"/>
        </w:rPr>
        <w:t>may offer the Tenants Incentive Scheme in relation to accommodati</w:t>
      </w:r>
      <w:r w:rsidR="000D3F32">
        <w:rPr>
          <w:rFonts w:ascii="Arial" w:hAnsi="Arial" w:cs="Arial"/>
          <w:lang w:eastAsia="en-GB"/>
        </w:rPr>
        <w:t xml:space="preserve">on other than that described </w:t>
      </w:r>
      <w:r w:rsidRPr="007E65AB">
        <w:rPr>
          <w:rFonts w:ascii="Arial" w:hAnsi="Arial" w:cs="Arial"/>
          <w:lang w:eastAsia="en-GB"/>
        </w:rPr>
        <w:t>above.</w:t>
      </w:r>
    </w:p>
    <w:p w14:paraId="65FDCE65" w14:textId="77777777" w:rsidR="002310B7" w:rsidRPr="002310B7" w:rsidRDefault="002310B7" w:rsidP="002310B7"/>
    <w:p w14:paraId="54E3E1BD" w14:textId="0358E49A" w:rsidR="00AA150F" w:rsidRDefault="00AA150F" w:rsidP="007E65AB">
      <w:pPr>
        <w:pStyle w:val="Heading1"/>
        <w:numPr>
          <w:ilvl w:val="0"/>
          <w:numId w:val="8"/>
        </w:numPr>
      </w:pPr>
      <w:r>
        <w:t xml:space="preserve">Role, </w:t>
      </w:r>
      <w:r w:rsidR="00065D4E">
        <w:t>responsibilities,</w:t>
      </w:r>
      <w:r>
        <w:t xml:space="preserve"> and authority</w:t>
      </w:r>
    </w:p>
    <w:p w14:paraId="455802D3" w14:textId="77777777" w:rsidR="00CB11CD" w:rsidRPr="007E65AB" w:rsidRDefault="00CB11CD" w:rsidP="007E65AB">
      <w:pPr>
        <w:pStyle w:val="ListParagraph"/>
        <w:numPr>
          <w:ilvl w:val="1"/>
          <w:numId w:val="9"/>
        </w:numPr>
        <w:tabs>
          <w:tab w:val="left" w:pos="540"/>
        </w:tabs>
        <w:spacing w:after="0" w:line="240" w:lineRule="auto"/>
        <w:jc w:val="both"/>
        <w:rPr>
          <w:rFonts w:ascii="Arial" w:hAnsi="Arial" w:cs="Arial"/>
        </w:rPr>
      </w:pPr>
      <w:r w:rsidRPr="007E65AB">
        <w:rPr>
          <w:rFonts w:ascii="Arial" w:hAnsi="Arial" w:cs="Arial"/>
        </w:rPr>
        <w:t>The Assistant Director RCET retains the overall responsibility for the implementation of this policy.</w:t>
      </w:r>
    </w:p>
    <w:p w14:paraId="5C713975" w14:textId="43B38866" w:rsidR="007E65AB" w:rsidRPr="003D14FE" w:rsidRDefault="007E65AB" w:rsidP="007E65AB">
      <w:pPr>
        <w:numPr>
          <w:ilvl w:val="1"/>
          <w:numId w:val="9"/>
        </w:numPr>
        <w:tabs>
          <w:tab w:val="left" w:pos="567"/>
        </w:tabs>
        <w:autoSpaceDE w:val="0"/>
        <w:autoSpaceDN w:val="0"/>
        <w:adjustRightInd w:val="0"/>
        <w:spacing w:after="0" w:line="276" w:lineRule="auto"/>
        <w:rPr>
          <w:rFonts w:ascii="Arial" w:hAnsi="Arial" w:cs="Arial"/>
          <w:lang w:eastAsia="en-GB"/>
        </w:rPr>
      </w:pPr>
      <w:r w:rsidRPr="003D14FE">
        <w:rPr>
          <w:rFonts w:ascii="Arial" w:hAnsi="Arial" w:cs="Arial"/>
          <w:lang w:eastAsia="en-GB"/>
        </w:rPr>
        <w:t xml:space="preserve">The </w:t>
      </w:r>
      <w:r w:rsidR="00076CC6">
        <w:rPr>
          <w:rFonts w:ascii="Arial" w:hAnsi="Arial" w:cs="Arial"/>
          <w:lang w:eastAsia="en-GB"/>
        </w:rPr>
        <w:t>Head of Tenant Services</w:t>
      </w:r>
      <w:r w:rsidRPr="003D14FE">
        <w:rPr>
          <w:rFonts w:ascii="Arial" w:hAnsi="Arial" w:cs="Arial"/>
          <w:lang w:eastAsia="en-GB"/>
        </w:rPr>
        <w:t xml:space="preserve"> is responsible for the operational delivery of this policy and the associated procedures. This includes responsibility for monitoring and reviewing, staff awareness and training, policy development and communication to tenants.</w:t>
      </w:r>
    </w:p>
    <w:p w14:paraId="7EB6316A" w14:textId="77777777" w:rsidR="00CB11CD" w:rsidRPr="00CB11CD" w:rsidRDefault="00CB11CD" w:rsidP="00CB11CD"/>
    <w:p w14:paraId="2E92AFA3" w14:textId="52B9E229" w:rsidR="00AA150F" w:rsidRDefault="00AA150F" w:rsidP="007E65AB">
      <w:pPr>
        <w:pStyle w:val="Heading1"/>
        <w:numPr>
          <w:ilvl w:val="0"/>
          <w:numId w:val="9"/>
        </w:numPr>
      </w:pPr>
      <w:r>
        <w:t xml:space="preserve">Monitoring, </w:t>
      </w:r>
      <w:r w:rsidR="00065D4E">
        <w:t>review,</w:t>
      </w:r>
      <w:r>
        <w:t xml:space="preserve"> and evaluation</w:t>
      </w:r>
    </w:p>
    <w:p w14:paraId="4C68CB11" w14:textId="2924B1D1" w:rsidR="007E65AB" w:rsidRDefault="007E65AB" w:rsidP="007E65AB">
      <w:pPr>
        <w:numPr>
          <w:ilvl w:val="1"/>
          <w:numId w:val="9"/>
        </w:numPr>
        <w:tabs>
          <w:tab w:val="left" w:pos="567"/>
        </w:tabs>
        <w:autoSpaceDE w:val="0"/>
        <w:autoSpaceDN w:val="0"/>
        <w:adjustRightInd w:val="0"/>
        <w:spacing w:after="0" w:line="276" w:lineRule="auto"/>
        <w:rPr>
          <w:rFonts w:ascii="Arial" w:hAnsi="Arial" w:cs="Arial"/>
          <w:lang w:eastAsia="en-GB"/>
        </w:rPr>
      </w:pPr>
      <w:r w:rsidRPr="003D14FE">
        <w:rPr>
          <w:rFonts w:ascii="Arial" w:hAnsi="Arial" w:cs="Arial"/>
          <w:lang w:eastAsia="en-GB"/>
        </w:rPr>
        <w:t xml:space="preserve">The </w:t>
      </w:r>
      <w:r w:rsidR="00065D4E">
        <w:rPr>
          <w:rFonts w:ascii="Arial" w:hAnsi="Arial" w:cs="Arial"/>
          <w:lang w:eastAsia="en-GB"/>
        </w:rPr>
        <w:t>Tenancy</w:t>
      </w:r>
      <w:r w:rsidRPr="003D14FE">
        <w:rPr>
          <w:rFonts w:ascii="Arial" w:hAnsi="Arial" w:cs="Arial"/>
          <w:lang w:eastAsia="en-GB"/>
        </w:rPr>
        <w:t xml:space="preserve"> Manager will monitor applications made for mutual exchange from the stage when the application is received through to the completion or refusal. </w:t>
      </w:r>
    </w:p>
    <w:p w14:paraId="6B43369F" w14:textId="77777777" w:rsidR="007E65AB" w:rsidRDefault="007E65AB" w:rsidP="007E65AB">
      <w:pPr>
        <w:tabs>
          <w:tab w:val="left" w:pos="567"/>
        </w:tabs>
        <w:autoSpaceDE w:val="0"/>
        <w:autoSpaceDN w:val="0"/>
        <w:adjustRightInd w:val="0"/>
        <w:spacing w:line="276" w:lineRule="auto"/>
        <w:ind w:left="567"/>
        <w:rPr>
          <w:rFonts w:ascii="Arial" w:hAnsi="Arial" w:cs="Arial"/>
          <w:lang w:eastAsia="en-GB"/>
        </w:rPr>
      </w:pPr>
    </w:p>
    <w:p w14:paraId="0C935DBD" w14:textId="77777777" w:rsidR="007E65AB" w:rsidRPr="003D14FE" w:rsidRDefault="007E65AB" w:rsidP="007E65AB">
      <w:pPr>
        <w:numPr>
          <w:ilvl w:val="1"/>
          <w:numId w:val="9"/>
        </w:numPr>
        <w:tabs>
          <w:tab w:val="left" w:pos="567"/>
        </w:tabs>
        <w:autoSpaceDE w:val="0"/>
        <w:autoSpaceDN w:val="0"/>
        <w:adjustRightInd w:val="0"/>
        <w:spacing w:after="0" w:line="276" w:lineRule="auto"/>
        <w:rPr>
          <w:rFonts w:ascii="Arial" w:hAnsi="Arial" w:cs="Arial"/>
          <w:lang w:eastAsia="en-GB"/>
        </w:rPr>
      </w:pPr>
      <w:r>
        <w:rPr>
          <w:rFonts w:ascii="Arial" w:hAnsi="Arial" w:cs="Arial"/>
          <w:lang w:eastAsia="en-GB"/>
        </w:rPr>
        <w:t>This policy will be reviewed every two years, unless changes to Government legislation or internal policy affecting this policy require it to be reviewed at an earlier date.</w:t>
      </w:r>
    </w:p>
    <w:p w14:paraId="0C7FC566" w14:textId="77777777" w:rsidR="00CB11CD" w:rsidRDefault="00CB11CD" w:rsidP="000D3F32">
      <w:pPr>
        <w:pStyle w:val="BodyText"/>
        <w:tabs>
          <w:tab w:val="left" w:pos="540"/>
        </w:tabs>
        <w:rPr>
          <w:lang w:val="en-GB"/>
        </w:rPr>
      </w:pPr>
    </w:p>
    <w:p w14:paraId="1CC49434" w14:textId="2261B2B0" w:rsidR="00AA150F" w:rsidRDefault="00527B79" w:rsidP="00AA150F">
      <w:r>
        <w:t xml:space="preserve">This version published: </w:t>
      </w:r>
      <w:r w:rsidR="00065D4E">
        <w:t>April 2023</w:t>
      </w:r>
    </w:p>
    <w:p w14:paraId="3C764092" w14:textId="39522533" w:rsidR="00AA150F" w:rsidRDefault="00527B79" w:rsidP="00AA150F">
      <w:r>
        <w:t>Next review due: A</w:t>
      </w:r>
      <w:r w:rsidR="00065D4E">
        <w:t>pril 2025</w:t>
      </w:r>
    </w:p>
    <w:p w14:paraId="1F97E4ED" w14:textId="77777777" w:rsidR="00AA150F" w:rsidRPr="00AA150F" w:rsidRDefault="00AA150F" w:rsidP="00AA150F"/>
    <w:sectPr w:rsidR="00AA150F" w:rsidRPr="00AA15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7F9BB" w14:textId="77777777" w:rsidR="008E09E6" w:rsidRDefault="008E09E6" w:rsidP="004B135C">
      <w:pPr>
        <w:spacing w:after="0" w:line="240" w:lineRule="auto"/>
      </w:pPr>
      <w:r>
        <w:separator/>
      </w:r>
    </w:p>
  </w:endnote>
  <w:endnote w:type="continuationSeparator" w:id="0">
    <w:p w14:paraId="5418C56D" w14:textId="77777777" w:rsidR="008E09E6" w:rsidRDefault="008E09E6"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52975"/>
      <w:docPartObj>
        <w:docPartGallery w:val="Page Numbers (Bottom of Page)"/>
        <w:docPartUnique/>
      </w:docPartObj>
    </w:sdtPr>
    <w:sdtContent>
      <w:sdt>
        <w:sdtPr>
          <w:id w:val="1728636285"/>
          <w:docPartObj>
            <w:docPartGallery w:val="Page Numbers (Top of Page)"/>
            <w:docPartUnique/>
          </w:docPartObj>
        </w:sdtPr>
        <w:sdtContent>
          <w:p w14:paraId="34CA5306"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27B7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7B79">
              <w:rPr>
                <w:b/>
                <w:bCs/>
                <w:noProof/>
              </w:rPr>
              <w:t>4</w:t>
            </w:r>
            <w:r>
              <w:rPr>
                <w:b/>
                <w:bCs/>
                <w:sz w:val="24"/>
                <w:szCs w:val="24"/>
              </w:rPr>
              <w:fldChar w:fldCharType="end"/>
            </w:r>
          </w:p>
        </w:sdtContent>
      </w:sdt>
    </w:sdtContent>
  </w:sdt>
  <w:p w14:paraId="50DFD15D"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C8B0E" w14:textId="77777777" w:rsidR="008E09E6" w:rsidRDefault="008E09E6" w:rsidP="004B135C">
      <w:pPr>
        <w:spacing w:after="0" w:line="240" w:lineRule="auto"/>
      </w:pPr>
      <w:r>
        <w:separator/>
      </w:r>
    </w:p>
  </w:footnote>
  <w:footnote w:type="continuationSeparator" w:id="0">
    <w:p w14:paraId="704AFC3A" w14:textId="77777777" w:rsidR="008E09E6" w:rsidRDefault="008E09E6"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Content>
      <w:p w14:paraId="5A95A412"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4466"/>
    <w:multiLevelType w:val="multilevel"/>
    <w:tmpl w:val="997A54BC"/>
    <w:lvl w:ilvl="0">
      <w:start w:val="1"/>
      <w:numFmt w:val="decimal"/>
      <w:lvlText w:val="%1."/>
      <w:lvlJc w:val="left"/>
      <w:pPr>
        <w:ind w:left="720" w:hanging="360"/>
      </w:pPr>
    </w:lvl>
    <w:lvl w:ilvl="1">
      <w:start w:val="1"/>
      <w:numFmt w:val="decimal"/>
      <w:isLgl/>
      <w:lvlText w:val="%1.%2"/>
      <w:lvlJc w:val="left"/>
      <w:pPr>
        <w:ind w:left="1080" w:hanging="720"/>
      </w:pPr>
      <w:rPr>
        <w:rFonts w:ascii="Arial" w:hAnsi="Arial" w:cs="Arial" w:hint="default"/>
        <w:i w:val="0"/>
        <w:sz w:val="24"/>
      </w:rPr>
    </w:lvl>
    <w:lvl w:ilvl="2">
      <w:start w:val="1"/>
      <w:numFmt w:val="bullet"/>
      <w:lvlText w:val=""/>
      <w:lvlJc w:val="left"/>
      <w:pPr>
        <w:ind w:left="1080" w:hanging="720"/>
      </w:pPr>
      <w:rPr>
        <w:rFonts w:ascii="Symbol" w:hAnsi="Symbol" w:hint="default"/>
        <w:sz w:val="24"/>
      </w:rPr>
    </w:lvl>
    <w:lvl w:ilvl="3">
      <w:start w:val="1"/>
      <w:numFmt w:val="decimal"/>
      <w:isLgl/>
      <w:lvlText w:val="%1.%2.%3.%4"/>
      <w:lvlJc w:val="left"/>
      <w:pPr>
        <w:ind w:left="1440" w:hanging="1080"/>
      </w:pPr>
      <w:rPr>
        <w:rFonts w:ascii="Arial" w:hAnsi="Arial" w:cs="Arial" w:hint="default"/>
        <w:sz w:val="24"/>
      </w:rPr>
    </w:lvl>
    <w:lvl w:ilvl="4">
      <w:start w:val="1"/>
      <w:numFmt w:val="decimal"/>
      <w:isLgl/>
      <w:lvlText w:val="%1.%2.%3.%4.%5"/>
      <w:lvlJc w:val="left"/>
      <w:pPr>
        <w:ind w:left="1440" w:hanging="1080"/>
      </w:pPr>
      <w:rPr>
        <w:rFonts w:ascii="Arial" w:hAnsi="Arial" w:cs="Arial" w:hint="default"/>
        <w:sz w:val="24"/>
      </w:rPr>
    </w:lvl>
    <w:lvl w:ilvl="5">
      <w:start w:val="1"/>
      <w:numFmt w:val="decimal"/>
      <w:isLgl/>
      <w:lvlText w:val="%1.%2.%3.%4.%5.%6"/>
      <w:lvlJc w:val="left"/>
      <w:pPr>
        <w:ind w:left="1800" w:hanging="1440"/>
      </w:pPr>
      <w:rPr>
        <w:rFonts w:ascii="Arial" w:hAnsi="Arial" w:cs="Arial" w:hint="default"/>
        <w:sz w:val="24"/>
      </w:rPr>
    </w:lvl>
    <w:lvl w:ilvl="6">
      <w:start w:val="1"/>
      <w:numFmt w:val="decimal"/>
      <w:isLgl/>
      <w:lvlText w:val="%1.%2.%3.%4.%5.%6.%7"/>
      <w:lvlJc w:val="left"/>
      <w:pPr>
        <w:ind w:left="1800" w:hanging="1440"/>
      </w:pPr>
      <w:rPr>
        <w:rFonts w:ascii="Arial" w:hAnsi="Arial" w:cs="Arial" w:hint="default"/>
        <w:sz w:val="24"/>
      </w:rPr>
    </w:lvl>
    <w:lvl w:ilvl="7">
      <w:start w:val="1"/>
      <w:numFmt w:val="decimal"/>
      <w:isLgl/>
      <w:lvlText w:val="%1.%2.%3.%4.%5.%6.%7.%8"/>
      <w:lvlJc w:val="left"/>
      <w:pPr>
        <w:ind w:left="2160" w:hanging="1800"/>
      </w:pPr>
      <w:rPr>
        <w:rFonts w:ascii="Arial" w:hAnsi="Arial" w:cs="Arial" w:hint="default"/>
        <w:sz w:val="24"/>
      </w:rPr>
    </w:lvl>
    <w:lvl w:ilvl="8">
      <w:start w:val="1"/>
      <w:numFmt w:val="decimal"/>
      <w:isLgl/>
      <w:lvlText w:val="%1.%2.%3.%4.%5.%6.%7.%8.%9"/>
      <w:lvlJc w:val="left"/>
      <w:pPr>
        <w:ind w:left="2160" w:hanging="1800"/>
      </w:pPr>
      <w:rPr>
        <w:rFonts w:ascii="Arial" w:hAnsi="Arial" w:cs="Arial" w:hint="default"/>
        <w:sz w:val="24"/>
      </w:rPr>
    </w:lvl>
  </w:abstractNum>
  <w:abstractNum w:abstractNumId="1" w15:restartNumberingAfterBreak="0">
    <w:nsid w:val="15B7415F"/>
    <w:multiLevelType w:val="multilevel"/>
    <w:tmpl w:val="00A8AC98"/>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66E3534"/>
    <w:multiLevelType w:val="multilevel"/>
    <w:tmpl w:val="99A600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4" w15:restartNumberingAfterBreak="0">
    <w:nsid w:val="21EC0154"/>
    <w:multiLevelType w:val="multilevel"/>
    <w:tmpl w:val="2D8E276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A01EDF"/>
    <w:multiLevelType w:val="multilevel"/>
    <w:tmpl w:val="9A2C1B46"/>
    <w:lvl w:ilvl="0">
      <w:start w:val="1"/>
      <w:numFmt w:val="decimal"/>
      <w:lvlText w:val="%1."/>
      <w:lvlJc w:val="left"/>
      <w:pPr>
        <w:ind w:left="720" w:hanging="360"/>
      </w:pPr>
    </w:lvl>
    <w:lvl w:ilvl="1">
      <w:start w:val="1"/>
      <w:numFmt w:val="decimal"/>
      <w:isLgl/>
      <w:lvlText w:val="%1.%2"/>
      <w:lvlJc w:val="left"/>
      <w:pPr>
        <w:ind w:left="1080" w:hanging="720"/>
      </w:pPr>
      <w:rPr>
        <w:rFonts w:ascii="Arial" w:hAnsi="Arial" w:cs="Arial" w:hint="default"/>
        <w:i w:val="0"/>
        <w:sz w:val="24"/>
      </w:rPr>
    </w:lvl>
    <w:lvl w:ilvl="2">
      <w:start w:val="1"/>
      <w:numFmt w:val="decimal"/>
      <w:isLgl/>
      <w:lvlText w:val="%1.%2.%3"/>
      <w:lvlJc w:val="left"/>
      <w:pPr>
        <w:ind w:left="1080" w:hanging="720"/>
      </w:pPr>
      <w:rPr>
        <w:rFonts w:ascii="Arial" w:hAnsi="Arial" w:cs="Arial" w:hint="default"/>
        <w:sz w:val="24"/>
      </w:rPr>
    </w:lvl>
    <w:lvl w:ilvl="3">
      <w:start w:val="1"/>
      <w:numFmt w:val="decimal"/>
      <w:isLgl/>
      <w:lvlText w:val="%1.%2.%3.%4"/>
      <w:lvlJc w:val="left"/>
      <w:pPr>
        <w:ind w:left="1440" w:hanging="1080"/>
      </w:pPr>
      <w:rPr>
        <w:rFonts w:ascii="Arial" w:hAnsi="Arial" w:cs="Arial" w:hint="default"/>
        <w:sz w:val="24"/>
      </w:rPr>
    </w:lvl>
    <w:lvl w:ilvl="4">
      <w:start w:val="1"/>
      <w:numFmt w:val="decimal"/>
      <w:isLgl/>
      <w:lvlText w:val="%1.%2.%3.%4.%5"/>
      <w:lvlJc w:val="left"/>
      <w:pPr>
        <w:ind w:left="1440" w:hanging="1080"/>
      </w:pPr>
      <w:rPr>
        <w:rFonts w:ascii="Arial" w:hAnsi="Arial" w:cs="Arial" w:hint="default"/>
        <w:sz w:val="24"/>
      </w:rPr>
    </w:lvl>
    <w:lvl w:ilvl="5">
      <w:start w:val="1"/>
      <w:numFmt w:val="decimal"/>
      <w:isLgl/>
      <w:lvlText w:val="%1.%2.%3.%4.%5.%6"/>
      <w:lvlJc w:val="left"/>
      <w:pPr>
        <w:ind w:left="1800" w:hanging="1440"/>
      </w:pPr>
      <w:rPr>
        <w:rFonts w:ascii="Arial" w:hAnsi="Arial" w:cs="Arial" w:hint="default"/>
        <w:sz w:val="24"/>
      </w:rPr>
    </w:lvl>
    <w:lvl w:ilvl="6">
      <w:start w:val="1"/>
      <w:numFmt w:val="decimal"/>
      <w:isLgl/>
      <w:lvlText w:val="%1.%2.%3.%4.%5.%6.%7"/>
      <w:lvlJc w:val="left"/>
      <w:pPr>
        <w:ind w:left="1800" w:hanging="1440"/>
      </w:pPr>
      <w:rPr>
        <w:rFonts w:ascii="Arial" w:hAnsi="Arial" w:cs="Arial" w:hint="default"/>
        <w:sz w:val="24"/>
      </w:rPr>
    </w:lvl>
    <w:lvl w:ilvl="7">
      <w:start w:val="1"/>
      <w:numFmt w:val="decimal"/>
      <w:isLgl/>
      <w:lvlText w:val="%1.%2.%3.%4.%5.%6.%7.%8"/>
      <w:lvlJc w:val="left"/>
      <w:pPr>
        <w:ind w:left="2160" w:hanging="1800"/>
      </w:pPr>
      <w:rPr>
        <w:rFonts w:ascii="Arial" w:hAnsi="Arial" w:cs="Arial" w:hint="default"/>
        <w:sz w:val="24"/>
      </w:rPr>
    </w:lvl>
    <w:lvl w:ilvl="8">
      <w:start w:val="1"/>
      <w:numFmt w:val="decimal"/>
      <w:isLgl/>
      <w:lvlText w:val="%1.%2.%3.%4.%5.%6.%7.%8.%9"/>
      <w:lvlJc w:val="left"/>
      <w:pPr>
        <w:ind w:left="2160" w:hanging="1800"/>
      </w:pPr>
      <w:rPr>
        <w:rFonts w:ascii="Arial" w:hAnsi="Arial" w:cs="Arial" w:hint="default"/>
        <w:sz w:val="24"/>
      </w:rPr>
    </w:lvl>
  </w:abstractNum>
  <w:abstractNum w:abstractNumId="6" w15:restartNumberingAfterBreak="0">
    <w:nsid w:val="405F36D7"/>
    <w:multiLevelType w:val="multilevel"/>
    <w:tmpl w:val="FEACA732"/>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79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7" w15:restartNumberingAfterBreak="0">
    <w:nsid w:val="41481DBB"/>
    <w:multiLevelType w:val="multilevel"/>
    <w:tmpl w:val="772A0F72"/>
    <w:lvl w:ilvl="0">
      <w:start w:val="5"/>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776739"/>
    <w:multiLevelType w:val="multilevel"/>
    <w:tmpl w:val="75F6D78C"/>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07948574">
    <w:abstractNumId w:val="1"/>
  </w:num>
  <w:num w:numId="2" w16cid:durableId="1926528423">
    <w:abstractNumId w:val="3"/>
  </w:num>
  <w:num w:numId="3" w16cid:durableId="208688473">
    <w:abstractNumId w:val="5"/>
  </w:num>
  <w:num w:numId="4" w16cid:durableId="1084957154">
    <w:abstractNumId w:val="0"/>
  </w:num>
  <w:num w:numId="5" w16cid:durableId="479621159">
    <w:abstractNumId w:val="6"/>
  </w:num>
  <w:num w:numId="6" w16cid:durableId="1821464543">
    <w:abstractNumId w:val="8"/>
  </w:num>
  <w:num w:numId="7" w16cid:durableId="1883400636">
    <w:abstractNumId w:val="4"/>
  </w:num>
  <w:num w:numId="8" w16cid:durableId="1321614268">
    <w:abstractNumId w:val="7"/>
  </w:num>
  <w:num w:numId="9" w16cid:durableId="77288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5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11DF0"/>
    <w:rsid w:val="00046942"/>
    <w:rsid w:val="00065D4E"/>
    <w:rsid w:val="00072269"/>
    <w:rsid w:val="00072657"/>
    <w:rsid w:val="00076CC6"/>
    <w:rsid w:val="000D3F32"/>
    <w:rsid w:val="001C39EE"/>
    <w:rsid w:val="002310B7"/>
    <w:rsid w:val="002C4BD4"/>
    <w:rsid w:val="002F0FCD"/>
    <w:rsid w:val="00353805"/>
    <w:rsid w:val="0039161F"/>
    <w:rsid w:val="0045174C"/>
    <w:rsid w:val="004B135C"/>
    <w:rsid w:val="004C0B3F"/>
    <w:rsid w:val="004E1AEF"/>
    <w:rsid w:val="00527B79"/>
    <w:rsid w:val="00537985"/>
    <w:rsid w:val="005774A1"/>
    <w:rsid w:val="00612008"/>
    <w:rsid w:val="007062ED"/>
    <w:rsid w:val="00792115"/>
    <w:rsid w:val="007963AC"/>
    <w:rsid w:val="007A42C7"/>
    <w:rsid w:val="007E65AB"/>
    <w:rsid w:val="00835EB0"/>
    <w:rsid w:val="00842357"/>
    <w:rsid w:val="00850BDE"/>
    <w:rsid w:val="008B0E10"/>
    <w:rsid w:val="008E09E6"/>
    <w:rsid w:val="00906BE9"/>
    <w:rsid w:val="00A36E66"/>
    <w:rsid w:val="00AA150F"/>
    <w:rsid w:val="00CB11CD"/>
    <w:rsid w:val="00EE3DA6"/>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FCB25"/>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0B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79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customStyle="1" w:styleId="Heading2Char">
    <w:name w:val="Heading 2 Char"/>
    <w:basedOn w:val="DefaultParagraphFont"/>
    <w:link w:val="Heading2"/>
    <w:uiPriority w:val="9"/>
    <w:rsid w:val="004C0B3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37985"/>
    <w:rPr>
      <w:rFonts w:asciiTheme="majorHAnsi" w:eastAsiaTheme="majorEastAsia" w:hAnsiTheme="majorHAnsi" w:cstheme="majorBidi"/>
      <w:color w:val="1F4D78" w:themeColor="accent1" w:themeShade="7F"/>
      <w:sz w:val="24"/>
      <w:szCs w:val="24"/>
    </w:rPr>
  </w:style>
  <w:style w:type="table" w:styleId="PlainTable1">
    <w:name w:val="Plain Table 1"/>
    <w:basedOn w:val="TableNormal"/>
    <w:uiPriority w:val="41"/>
    <w:rsid w:val="007E65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5666DB"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5666DB"/>
    <w:rsid w:val="005A141C"/>
    <w:rsid w:val="00605B72"/>
    <w:rsid w:val="008C692B"/>
    <w:rsid w:val="00AD3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maskell, skye</cp:lastModifiedBy>
  <cp:revision>2</cp:revision>
  <cp:lastPrinted>2020-06-22T14:09:00Z</cp:lastPrinted>
  <dcterms:created xsi:type="dcterms:W3CDTF">2023-04-24T09:42:00Z</dcterms:created>
  <dcterms:modified xsi:type="dcterms:W3CDTF">2023-04-24T09:42:00Z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