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5"/>
        <w:gridCol w:w="723"/>
        <w:gridCol w:w="180"/>
        <w:gridCol w:w="1440"/>
        <w:gridCol w:w="107"/>
        <w:gridCol w:w="1333"/>
        <w:gridCol w:w="720"/>
        <w:gridCol w:w="1594"/>
      </w:tblGrid>
      <w:tr w:rsidR="004D4385" w:rsidTr="00340B1C">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TITLE</w:t>
            </w:r>
          </w:p>
          <w:p w:rsidR="004D4385" w:rsidRDefault="004D4385">
            <w:pPr>
              <w:pStyle w:val="Header"/>
              <w:tabs>
                <w:tab w:val="clear" w:pos="4153"/>
                <w:tab w:val="clear" w:pos="8306"/>
              </w:tabs>
              <w:rPr>
                <w:b/>
                <w:bCs/>
                <w:i/>
                <w:iCs/>
              </w:rPr>
            </w:pPr>
            <w:r>
              <w:rPr>
                <w:rFonts w:cs="Arial"/>
                <w:i/>
                <w:iCs/>
                <w:sz w:val="20"/>
              </w:rPr>
              <w:t>Name / description of the issue being assessed</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pStyle w:val="Header"/>
              <w:tabs>
                <w:tab w:val="clear" w:pos="4153"/>
                <w:tab w:val="clear" w:pos="8306"/>
              </w:tabs>
            </w:pPr>
          </w:p>
          <w:p w:rsidR="00B7627B" w:rsidRDefault="001627E2">
            <w:pPr>
              <w:pStyle w:val="Header"/>
              <w:tabs>
                <w:tab w:val="clear" w:pos="4153"/>
                <w:tab w:val="clear" w:pos="8306"/>
              </w:tabs>
            </w:pPr>
            <w:r>
              <w:t xml:space="preserve">Tenancy </w:t>
            </w:r>
            <w:r w:rsidR="005C1B1E">
              <w:t>Fraud policy</w:t>
            </w:r>
          </w:p>
        </w:tc>
      </w:tr>
      <w:tr w:rsidR="004D4385" w:rsidTr="00340B1C">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 xml:space="preserve">DATE </w:t>
            </w:r>
          </w:p>
          <w:p w:rsidR="004D4385" w:rsidRDefault="004D4385">
            <w:pPr>
              <w:pStyle w:val="Header"/>
              <w:tabs>
                <w:tab w:val="clear" w:pos="4153"/>
                <w:tab w:val="clear" w:pos="8306"/>
              </w:tabs>
              <w:rPr>
                <w:i/>
                <w:iCs/>
              </w:rPr>
            </w:pPr>
            <w:r>
              <w:rPr>
                <w:rFonts w:cs="Arial"/>
                <w:i/>
                <w:iCs/>
                <w:sz w:val="20"/>
              </w:rPr>
              <w:t>Date the DIA is completed</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Default="001627E2">
            <w:pPr>
              <w:pStyle w:val="Header"/>
              <w:tabs>
                <w:tab w:val="clear" w:pos="4153"/>
                <w:tab w:val="clear" w:pos="8306"/>
              </w:tabs>
            </w:pPr>
            <w:r>
              <w:t xml:space="preserve">Published: </w:t>
            </w:r>
            <w:r w:rsidR="001A05EF">
              <w:t>13</w:t>
            </w:r>
            <w:r w:rsidR="001A05EF" w:rsidRPr="001A05EF">
              <w:rPr>
                <w:vertAlign w:val="superscript"/>
              </w:rPr>
              <w:t>th</w:t>
            </w:r>
            <w:r w:rsidR="001A05EF">
              <w:t xml:space="preserve"> November </w:t>
            </w:r>
            <w:r>
              <w:t>2018</w:t>
            </w:r>
          </w:p>
          <w:p w:rsidR="001627E2" w:rsidRDefault="001627E2">
            <w:pPr>
              <w:pStyle w:val="Header"/>
              <w:tabs>
                <w:tab w:val="clear" w:pos="4153"/>
                <w:tab w:val="clear" w:pos="8306"/>
              </w:tabs>
            </w:pPr>
            <w:r>
              <w:t>Reviewed: July 2020</w:t>
            </w:r>
          </w:p>
          <w:p w:rsidR="00B7627B" w:rsidRDefault="00B7627B">
            <w:pPr>
              <w:pStyle w:val="Header"/>
              <w:tabs>
                <w:tab w:val="clear" w:pos="4153"/>
                <w:tab w:val="clear" w:pos="8306"/>
              </w:tabs>
            </w:pPr>
          </w:p>
        </w:tc>
      </w:tr>
      <w:tr w:rsidR="004D4385" w:rsidTr="00340B1C">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LEAD OFFICER</w:t>
            </w:r>
          </w:p>
          <w:p w:rsidR="004D4385" w:rsidRDefault="004D4385">
            <w:pPr>
              <w:pStyle w:val="Header"/>
              <w:tabs>
                <w:tab w:val="clear" w:pos="4153"/>
                <w:tab w:val="clear" w:pos="8306"/>
              </w:tabs>
              <w:rPr>
                <w:b/>
                <w:bCs/>
              </w:rPr>
            </w:pPr>
            <w:r>
              <w:rPr>
                <w:rFonts w:cs="Arial"/>
                <w:i/>
                <w:iCs/>
                <w:sz w:val="20"/>
              </w:rPr>
              <w:t>Name, title and dept of person responsible for carrying out the DIA</w:t>
            </w:r>
            <w:r>
              <w:rPr>
                <w:rFonts w:cs="Arial"/>
                <w:sz w:val="20"/>
              </w:rPr>
              <w:t>.</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B7627B" w:rsidRDefault="005C1B1E" w:rsidP="00B7627B">
            <w:pPr>
              <w:pStyle w:val="Header"/>
              <w:tabs>
                <w:tab w:val="clear" w:pos="4153"/>
                <w:tab w:val="clear" w:pos="8306"/>
              </w:tabs>
            </w:pPr>
            <w:r>
              <w:t xml:space="preserve">Katherine Bishop – Business Development Officer </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560761">
            <w:pPr>
              <w:pStyle w:val="Header"/>
              <w:numPr>
                <w:ilvl w:val="0"/>
                <w:numId w:val="21"/>
              </w:numPr>
              <w:tabs>
                <w:tab w:val="clear" w:pos="4153"/>
                <w:tab w:val="clear" w:pos="8306"/>
              </w:tabs>
              <w:rPr>
                <w:b/>
                <w:bCs/>
              </w:rPr>
            </w:pPr>
            <w:r>
              <w:rPr>
                <w:b/>
                <w:bCs/>
              </w:rPr>
              <w:t>Summary description of the proposed change</w:t>
            </w:r>
          </w:p>
          <w:p w:rsidR="004D4385" w:rsidRDefault="004D4385" w:rsidP="008F3510">
            <w:pPr>
              <w:pStyle w:val="Header"/>
              <w:numPr>
                <w:ilvl w:val="0"/>
                <w:numId w:val="12"/>
              </w:numPr>
              <w:tabs>
                <w:tab w:val="clear" w:pos="4153"/>
                <w:tab w:val="clear" w:pos="8306"/>
              </w:tabs>
              <w:rPr>
                <w:i/>
                <w:iCs/>
                <w:sz w:val="20"/>
              </w:rPr>
            </w:pPr>
            <w:r>
              <w:rPr>
                <w:i/>
                <w:iCs/>
                <w:sz w:val="20"/>
              </w:rPr>
              <w:t>What is the change to policy / service / new project that is being proposed?</w:t>
            </w:r>
          </w:p>
          <w:p w:rsidR="004D4385" w:rsidRDefault="004D4385" w:rsidP="008F3510">
            <w:pPr>
              <w:pStyle w:val="Header"/>
              <w:numPr>
                <w:ilvl w:val="0"/>
                <w:numId w:val="12"/>
              </w:numPr>
              <w:tabs>
                <w:tab w:val="clear" w:pos="4153"/>
                <w:tab w:val="clear" w:pos="8306"/>
              </w:tabs>
              <w:rPr>
                <w:b/>
                <w:bCs/>
              </w:rPr>
            </w:pPr>
            <w:r>
              <w:rPr>
                <w:i/>
                <w:iCs/>
                <w:sz w:val="20"/>
              </w:rPr>
              <w:t>How does it compare with the current situation?</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1401F6" w:rsidRDefault="00B207CC" w:rsidP="00F72F80">
            <w:pPr>
              <w:pStyle w:val="Header"/>
              <w:rPr>
                <w:szCs w:val="22"/>
              </w:rPr>
            </w:pPr>
            <w:r>
              <w:t xml:space="preserve">The Tenancy Fraud policy was due to be reviewed and has been updated to ensure that it reflects the current </w:t>
            </w:r>
            <w:r w:rsidR="00AB0290">
              <w:t xml:space="preserve">process. </w:t>
            </w:r>
            <w:r w:rsidR="00297ED4">
              <w:rPr>
                <w:szCs w:val="22"/>
              </w:rPr>
              <w:t>Recovering properties</w:t>
            </w:r>
            <w:r w:rsidR="00265576">
              <w:rPr>
                <w:szCs w:val="22"/>
              </w:rPr>
              <w:t xml:space="preserve"> </w:t>
            </w:r>
            <w:r w:rsidR="000B4599">
              <w:rPr>
                <w:szCs w:val="22"/>
              </w:rPr>
              <w:t xml:space="preserve">occupied fraudulently </w:t>
            </w:r>
            <w:r w:rsidR="00265576">
              <w:rPr>
                <w:szCs w:val="22"/>
              </w:rPr>
              <w:t>means that the Council can ensure their housing is only occupied by those in priority need according to our Allocations Policy.</w:t>
            </w:r>
            <w:r w:rsidR="001401F6">
              <w:rPr>
                <w:szCs w:val="22"/>
              </w:rPr>
              <w:t xml:space="preserve"> </w:t>
            </w:r>
            <w:r w:rsidR="00F72F80">
              <w:rPr>
                <w:szCs w:val="22"/>
              </w:rPr>
              <w:t xml:space="preserve"> The policy seeks to e</w:t>
            </w:r>
            <w:r w:rsidR="001401F6">
              <w:rPr>
                <w:szCs w:val="22"/>
              </w:rPr>
              <w:t xml:space="preserve">nsure </w:t>
            </w:r>
            <w:r w:rsidR="00F72F80">
              <w:rPr>
                <w:szCs w:val="22"/>
              </w:rPr>
              <w:t xml:space="preserve">that </w:t>
            </w:r>
            <w:r w:rsidR="00F72F80" w:rsidRPr="001401F6">
              <w:rPr>
                <w:szCs w:val="22"/>
              </w:rPr>
              <w:t>tenant</w:t>
            </w:r>
            <w:r w:rsidR="001401F6" w:rsidRPr="001401F6">
              <w:rPr>
                <w:szCs w:val="22"/>
              </w:rPr>
              <w:t xml:space="preserve"> reside in the property as their principal home</w:t>
            </w:r>
            <w:r w:rsidR="00DC4E48">
              <w:rPr>
                <w:szCs w:val="22"/>
              </w:rPr>
              <w:t>, whilst providing support</w:t>
            </w:r>
            <w:r w:rsidR="001401F6">
              <w:rPr>
                <w:szCs w:val="22"/>
              </w:rPr>
              <w:t xml:space="preserve"> to victims of unlawful subletting.</w:t>
            </w:r>
            <w:r w:rsidR="00DC4E48">
              <w:rPr>
                <w:szCs w:val="22"/>
              </w:rPr>
              <w:t xml:space="preserve"> It d</w:t>
            </w:r>
            <w:r w:rsidR="00F72F80">
              <w:rPr>
                <w:szCs w:val="22"/>
              </w:rPr>
              <w:t>etails how occupancy data will be monitored through r</w:t>
            </w:r>
            <w:r w:rsidR="00F72F80" w:rsidRPr="00F72F80">
              <w:rPr>
                <w:szCs w:val="22"/>
              </w:rPr>
              <w:t>egular reviews of all housing applications to check for changes in circumstances and ensure that people o</w:t>
            </w:r>
            <w:r w:rsidR="00F72F80">
              <w:rPr>
                <w:szCs w:val="22"/>
              </w:rPr>
              <w:t>n the register remain eligible</w:t>
            </w:r>
            <w:r w:rsidR="00DC4E48">
              <w:rPr>
                <w:szCs w:val="22"/>
              </w:rPr>
              <w:t xml:space="preserve">. The policy also details that </w:t>
            </w:r>
            <w:r w:rsidR="00F72F80">
              <w:rPr>
                <w:szCs w:val="22"/>
              </w:rPr>
              <w:t>Tenancy Audits are undertaken to identify tenancy fraud, and provide reporting mechanisms for staff and members of the public.</w:t>
            </w:r>
          </w:p>
          <w:p w:rsidR="001401F6" w:rsidRDefault="001401F6">
            <w:pPr>
              <w:pStyle w:val="Header"/>
              <w:tabs>
                <w:tab w:val="clear" w:pos="4153"/>
                <w:tab w:val="clear" w:pos="8306"/>
              </w:tabs>
              <w:rPr>
                <w:szCs w:val="22"/>
              </w:rPr>
            </w:pPr>
          </w:p>
          <w:p w:rsidR="00062CD3" w:rsidRDefault="00265576">
            <w:pPr>
              <w:pStyle w:val="Header"/>
              <w:tabs>
                <w:tab w:val="clear" w:pos="4153"/>
                <w:tab w:val="clear" w:pos="8306"/>
              </w:tabs>
              <w:rPr>
                <w:szCs w:val="22"/>
              </w:rPr>
            </w:pPr>
            <w:r>
              <w:rPr>
                <w:szCs w:val="22"/>
              </w:rPr>
              <w:t>It enables the Council to make best use of our housing stock, reduces the housing register and reduces the number of families placed in temporary accommodation pending an offer of suitable permanent (or fixed term) housing.</w:t>
            </w:r>
            <w:r w:rsidR="00062CD3">
              <w:rPr>
                <w:szCs w:val="22"/>
              </w:rPr>
              <w:t xml:space="preserve"> </w:t>
            </w:r>
          </w:p>
          <w:p w:rsidR="00F72F80" w:rsidRDefault="00F72F80">
            <w:pPr>
              <w:pStyle w:val="Header"/>
              <w:tabs>
                <w:tab w:val="clear" w:pos="4153"/>
                <w:tab w:val="clear" w:pos="8306"/>
              </w:tabs>
              <w:rPr>
                <w:szCs w:val="22"/>
              </w:rPr>
            </w:pPr>
          </w:p>
          <w:p w:rsidR="00FD496D" w:rsidRPr="00062CD3" w:rsidRDefault="003E476C">
            <w:pPr>
              <w:pStyle w:val="Header"/>
              <w:tabs>
                <w:tab w:val="clear" w:pos="4153"/>
                <w:tab w:val="clear" w:pos="8306"/>
              </w:tabs>
              <w:rPr>
                <w:szCs w:val="22"/>
              </w:rPr>
            </w:pPr>
            <w:r>
              <w:t xml:space="preserve">The refreshed policy identifies the involvement of the </w:t>
            </w:r>
            <w:r w:rsidRPr="0045450E">
              <w:rPr>
                <w:rFonts w:cs="Arial"/>
              </w:rPr>
              <w:t>Corporate Anti Fraud Team</w:t>
            </w:r>
            <w:r>
              <w:rPr>
                <w:rFonts w:cs="Arial"/>
              </w:rPr>
              <w:t>.</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560761">
            <w:pPr>
              <w:pStyle w:val="Header"/>
              <w:numPr>
                <w:ilvl w:val="0"/>
                <w:numId w:val="21"/>
              </w:numPr>
              <w:tabs>
                <w:tab w:val="clear" w:pos="4153"/>
                <w:tab w:val="clear" w:pos="8306"/>
              </w:tabs>
              <w:rPr>
                <w:b/>
                <w:bCs/>
              </w:rPr>
            </w:pPr>
            <w:r>
              <w:rPr>
                <w:b/>
                <w:bCs/>
              </w:rPr>
              <w:t xml:space="preserve">Summary of evidence used to support this assessment  </w:t>
            </w:r>
          </w:p>
          <w:p w:rsidR="004D4385" w:rsidRDefault="004D4385" w:rsidP="008F3510">
            <w:pPr>
              <w:pStyle w:val="Header"/>
              <w:numPr>
                <w:ilvl w:val="0"/>
                <w:numId w:val="9"/>
              </w:numPr>
              <w:tabs>
                <w:tab w:val="clear" w:pos="4153"/>
                <w:tab w:val="clear" w:pos="8306"/>
              </w:tabs>
              <w:rPr>
                <w:i/>
                <w:iCs/>
                <w:sz w:val="20"/>
              </w:rPr>
            </w:pPr>
            <w:r>
              <w:rPr>
                <w:i/>
                <w:iCs/>
                <w:sz w:val="20"/>
              </w:rPr>
              <w:t>Eg: Feedback from consultation, performance information, service user records etc.</w:t>
            </w:r>
          </w:p>
          <w:p w:rsidR="004D4385" w:rsidRDefault="004D4385" w:rsidP="008F3510">
            <w:pPr>
              <w:pStyle w:val="Header"/>
              <w:numPr>
                <w:ilvl w:val="0"/>
                <w:numId w:val="9"/>
              </w:numPr>
              <w:tabs>
                <w:tab w:val="clear" w:pos="4153"/>
                <w:tab w:val="clear" w:pos="8306"/>
              </w:tabs>
              <w:rPr>
                <w:rFonts w:cs="Arial"/>
                <w:b/>
                <w:bCs/>
              </w:rPr>
            </w:pPr>
            <w:r>
              <w:rPr>
                <w:i/>
                <w:iCs/>
                <w:sz w:val="20"/>
              </w:rPr>
              <w:t>Eg: Comparison of service user profile with Medway Community Profile</w:t>
            </w:r>
            <w:r>
              <w:rPr>
                <w:sz w:val="20"/>
              </w:rPr>
              <w:t xml:space="preserve"> </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87087B" w:rsidRPr="00725B13" w:rsidRDefault="00265576">
            <w:pPr>
              <w:pStyle w:val="Header"/>
              <w:tabs>
                <w:tab w:val="clear" w:pos="4153"/>
                <w:tab w:val="clear" w:pos="8306"/>
              </w:tabs>
              <w:rPr>
                <w:b/>
              </w:rPr>
            </w:pPr>
            <w:r w:rsidRPr="00265576">
              <w:rPr>
                <w:b/>
              </w:rPr>
              <w:t>Tenancy Audits</w:t>
            </w:r>
          </w:p>
          <w:p w:rsidR="00F14C88" w:rsidRPr="00725B13" w:rsidRDefault="00F14C88">
            <w:pPr>
              <w:pStyle w:val="Header"/>
              <w:tabs>
                <w:tab w:val="clear" w:pos="4153"/>
                <w:tab w:val="clear" w:pos="8306"/>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5"/>
              <w:gridCol w:w="4246"/>
            </w:tblGrid>
            <w:tr w:rsidR="00725B13" w:rsidRPr="008D4A0A" w:rsidTr="008D4A0A">
              <w:tc>
                <w:tcPr>
                  <w:tcW w:w="4245" w:type="dxa"/>
                  <w:shd w:val="clear" w:color="auto" w:fill="auto"/>
                </w:tcPr>
                <w:p w:rsidR="00725B13" w:rsidRPr="008D4A0A" w:rsidRDefault="00725B13" w:rsidP="008D4A0A">
                  <w:pPr>
                    <w:pStyle w:val="Header"/>
                    <w:tabs>
                      <w:tab w:val="clear" w:pos="4153"/>
                      <w:tab w:val="clear" w:pos="8306"/>
                    </w:tabs>
                    <w:rPr>
                      <w:b/>
                    </w:rPr>
                  </w:pPr>
                  <w:r w:rsidRPr="008D4A0A">
                    <w:rPr>
                      <w:b/>
                    </w:rPr>
                    <w:t>Date</w:t>
                  </w:r>
                </w:p>
              </w:tc>
              <w:tc>
                <w:tcPr>
                  <w:tcW w:w="4246" w:type="dxa"/>
                  <w:shd w:val="clear" w:color="auto" w:fill="auto"/>
                </w:tcPr>
                <w:p w:rsidR="00725B13" w:rsidRPr="008D4A0A" w:rsidRDefault="00725B13" w:rsidP="008D4A0A">
                  <w:pPr>
                    <w:pStyle w:val="Header"/>
                    <w:tabs>
                      <w:tab w:val="clear" w:pos="4153"/>
                      <w:tab w:val="clear" w:pos="8306"/>
                    </w:tabs>
                    <w:rPr>
                      <w:b/>
                    </w:rPr>
                  </w:pPr>
                  <w:r w:rsidRPr="008D4A0A">
                    <w:rPr>
                      <w:b/>
                    </w:rPr>
                    <w:t xml:space="preserve">Number of Tenancy Audits </w:t>
                  </w:r>
                </w:p>
              </w:tc>
            </w:tr>
            <w:tr w:rsidR="00560761" w:rsidTr="008D4A0A">
              <w:tc>
                <w:tcPr>
                  <w:tcW w:w="4245" w:type="dxa"/>
                  <w:shd w:val="clear" w:color="auto" w:fill="auto"/>
                </w:tcPr>
                <w:p w:rsidR="00560761" w:rsidRDefault="00560761" w:rsidP="008D4A0A">
                  <w:pPr>
                    <w:pStyle w:val="Header"/>
                    <w:tabs>
                      <w:tab w:val="clear" w:pos="4153"/>
                      <w:tab w:val="clear" w:pos="8306"/>
                    </w:tabs>
                  </w:pPr>
                  <w:r>
                    <w:t>2017-18</w:t>
                  </w:r>
                </w:p>
              </w:tc>
              <w:tc>
                <w:tcPr>
                  <w:tcW w:w="4246" w:type="dxa"/>
                  <w:shd w:val="clear" w:color="auto" w:fill="auto"/>
                </w:tcPr>
                <w:p w:rsidR="00560761" w:rsidRDefault="00560761" w:rsidP="008D4A0A">
                  <w:pPr>
                    <w:pStyle w:val="Header"/>
                    <w:tabs>
                      <w:tab w:val="clear" w:pos="4153"/>
                      <w:tab w:val="clear" w:pos="8306"/>
                    </w:tabs>
                  </w:pPr>
                  <w:r>
                    <w:t>134</w:t>
                  </w:r>
                </w:p>
              </w:tc>
            </w:tr>
            <w:tr w:rsidR="00725B13" w:rsidTr="008D4A0A">
              <w:tc>
                <w:tcPr>
                  <w:tcW w:w="4245" w:type="dxa"/>
                  <w:shd w:val="clear" w:color="auto" w:fill="auto"/>
                </w:tcPr>
                <w:p w:rsidR="00725B13" w:rsidRDefault="00560761" w:rsidP="008D4A0A">
                  <w:pPr>
                    <w:pStyle w:val="Header"/>
                    <w:tabs>
                      <w:tab w:val="clear" w:pos="4153"/>
                      <w:tab w:val="clear" w:pos="8306"/>
                    </w:tabs>
                  </w:pPr>
                  <w:r>
                    <w:t>2018-19</w:t>
                  </w:r>
                </w:p>
              </w:tc>
              <w:tc>
                <w:tcPr>
                  <w:tcW w:w="4246" w:type="dxa"/>
                  <w:shd w:val="clear" w:color="auto" w:fill="auto"/>
                </w:tcPr>
                <w:p w:rsidR="00725B13" w:rsidRDefault="00560761" w:rsidP="008D4A0A">
                  <w:pPr>
                    <w:pStyle w:val="Header"/>
                    <w:tabs>
                      <w:tab w:val="clear" w:pos="4153"/>
                      <w:tab w:val="clear" w:pos="8306"/>
                    </w:tabs>
                  </w:pPr>
                  <w:r>
                    <w:t>131</w:t>
                  </w:r>
                </w:p>
              </w:tc>
            </w:tr>
            <w:tr w:rsidR="00725B13" w:rsidTr="008D4A0A">
              <w:tc>
                <w:tcPr>
                  <w:tcW w:w="4245" w:type="dxa"/>
                  <w:shd w:val="clear" w:color="auto" w:fill="auto"/>
                </w:tcPr>
                <w:p w:rsidR="00725B13" w:rsidRDefault="00560761" w:rsidP="008D4A0A">
                  <w:pPr>
                    <w:pStyle w:val="Header"/>
                    <w:tabs>
                      <w:tab w:val="clear" w:pos="4153"/>
                      <w:tab w:val="clear" w:pos="8306"/>
                    </w:tabs>
                  </w:pPr>
                  <w:r>
                    <w:t>2019-20</w:t>
                  </w:r>
                </w:p>
              </w:tc>
              <w:tc>
                <w:tcPr>
                  <w:tcW w:w="4246" w:type="dxa"/>
                  <w:shd w:val="clear" w:color="auto" w:fill="auto"/>
                </w:tcPr>
                <w:p w:rsidR="00725B13" w:rsidRDefault="00560761" w:rsidP="008D4A0A">
                  <w:pPr>
                    <w:pStyle w:val="Header"/>
                    <w:tabs>
                      <w:tab w:val="clear" w:pos="4153"/>
                      <w:tab w:val="clear" w:pos="8306"/>
                    </w:tabs>
                  </w:pPr>
                  <w:r>
                    <w:t>234</w:t>
                  </w:r>
                </w:p>
              </w:tc>
            </w:tr>
          </w:tbl>
          <w:p w:rsidR="00265576" w:rsidRDefault="00265576" w:rsidP="00265576">
            <w:pPr>
              <w:pStyle w:val="Header"/>
              <w:tabs>
                <w:tab w:val="clear" w:pos="4153"/>
                <w:tab w:val="clear" w:pos="8306"/>
              </w:tabs>
            </w:pPr>
          </w:p>
          <w:p w:rsidR="005C1B1E" w:rsidRDefault="00725B13">
            <w:pPr>
              <w:pStyle w:val="Header"/>
              <w:tabs>
                <w:tab w:val="clear" w:pos="4153"/>
                <w:tab w:val="clear" w:pos="8306"/>
              </w:tabs>
              <w:rPr>
                <w:bCs/>
              </w:rPr>
            </w:pPr>
            <w:r>
              <w:rPr>
                <w:bCs/>
              </w:rPr>
              <w:t>T</w:t>
            </w:r>
            <w:r w:rsidR="00F3464F">
              <w:rPr>
                <w:bCs/>
              </w:rPr>
              <w:t xml:space="preserve">here has been </w:t>
            </w:r>
            <w:r w:rsidR="00F3464F" w:rsidRPr="00F3464F">
              <w:rPr>
                <w:bCs/>
              </w:rPr>
              <w:t xml:space="preserve">1 tenancy fraud </w:t>
            </w:r>
            <w:r w:rsidR="001627E2">
              <w:rPr>
                <w:bCs/>
              </w:rPr>
              <w:t>in the past 3 years, where following intervention, the tenancy was terminated</w:t>
            </w:r>
            <w:r w:rsidR="00F3464F">
              <w:rPr>
                <w:bCs/>
              </w:rPr>
              <w:t xml:space="preserve">. This involved a customer with no </w:t>
            </w:r>
            <w:r w:rsidR="00F3464F" w:rsidRPr="00F3464F">
              <w:rPr>
                <w:bCs/>
              </w:rPr>
              <w:t>protected characteristics.</w:t>
            </w:r>
          </w:p>
          <w:p w:rsidR="00982701" w:rsidRPr="00725B13" w:rsidRDefault="00982701">
            <w:pPr>
              <w:pStyle w:val="Header"/>
              <w:tabs>
                <w:tab w:val="clear" w:pos="4153"/>
                <w:tab w:val="clear" w:pos="8306"/>
              </w:tabs>
              <w:rPr>
                <w:b/>
                <w:bCs/>
              </w:rPr>
            </w:pPr>
          </w:p>
          <w:p w:rsidR="00725B13" w:rsidRPr="00725B13" w:rsidRDefault="00725B13">
            <w:pPr>
              <w:pStyle w:val="Header"/>
              <w:tabs>
                <w:tab w:val="clear" w:pos="4153"/>
                <w:tab w:val="clear" w:pos="8306"/>
              </w:tabs>
              <w:rPr>
                <w:b/>
                <w:bCs/>
              </w:rPr>
            </w:pPr>
            <w:r w:rsidRPr="00725B13">
              <w:rPr>
                <w:b/>
                <w:bCs/>
              </w:rPr>
              <w:t>Customer Consultation</w:t>
            </w:r>
          </w:p>
          <w:p w:rsidR="00C1199D" w:rsidRDefault="00C1199D">
            <w:pPr>
              <w:pStyle w:val="Header"/>
              <w:tabs>
                <w:tab w:val="clear" w:pos="4153"/>
                <w:tab w:val="clear" w:pos="8306"/>
              </w:tabs>
              <w:rPr>
                <w:bCs/>
              </w:rPr>
            </w:pPr>
          </w:p>
          <w:p w:rsidR="00982701" w:rsidRDefault="00725B13">
            <w:pPr>
              <w:pStyle w:val="Header"/>
              <w:tabs>
                <w:tab w:val="clear" w:pos="4153"/>
                <w:tab w:val="clear" w:pos="8306"/>
              </w:tabs>
              <w:rPr>
                <w:bCs/>
              </w:rPr>
            </w:pPr>
            <w:r>
              <w:rPr>
                <w:bCs/>
              </w:rPr>
              <w:t xml:space="preserve">The policy was placed online for a period of 3 weeks from </w:t>
            </w:r>
            <w:r w:rsidR="00C1199D">
              <w:rPr>
                <w:bCs/>
              </w:rPr>
              <w:t>27</w:t>
            </w:r>
            <w:r w:rsidR="00C1199D" w:rsidRPr="00C1199D">
              <w:rPr>
                <w:bCs/>
                <w:vertAlign w:val="superscript"/>
              </w:rPr>
              <w:t>th</w:t>
            </w:r>
            <w:r w:rsidR="00C1199D">
              <w:rPr>
                <w:bCs/>
              </w:rPr>
              <w:t xml:space="preserve"> October – 12</w:t>
            </w:r>
            <w:r w:rsidR="00C1199D" w:rsidRPr="00C1199D">
              <w:rPr>
                <w:bCs/>
                <w:vertAlign w:val="superscript"/>
              </w:rPr>
              <w:t>th</w:t>
            </w:r>
            <w:r w:rsidR="00C1199D">
              <w:rPr>
                <w:bCs/>
              </w:rPr>
              <w:t xml:space="preserve"> November. In this time 17 customers responded to the survey and all </w:t>
            </w:r>
            <w:r w:rsidR="006D4015">
              <w:rPr>
                <w:bCs/>
              </w:rPr>
              <w:t>respondents noted</w:t>
            </w:r>
            <w:r w:rsidR="00C1199D">
              <w:rPr>
                <w:bCs/>
              </w:rPr>
              <w:t xml:space="preserve"> that </w:t>
            </w:r>
            <w:r w:rsidR="006D4015">
              <w:rPr>
                <w:bCs/>
              </w:rPr>
              <w:t>they understood</w:t>
            </w:r>
            <w:r w:rsidR="001A05EF">
              <w:rPr>
                <w:bCs/>
              </w:rPr>
              <w:t xml:space="preserve"> the policy and agreed with the content. </w:t>
            </w:r>
          </w:p>
          <w:p w:rsidR="00C1199D" w:rsidRDefault="00C1199D">
            <w:pPr>
              <w:pStyle w:val="Header"/>
              <w:tabs>
                <w:tab w:val="clear" w:pos="4153"/>
                <w:tab w:val="clear" w:pos="8306"/>
              </w:tabs>
              <w:rPr>
                <w:bCs/>
              </w:rPr>
            </w:pPr>
          </w:p>
          <w:p w:rsidR="00C1199D" w:rsidRPr="008346D8" w:rsidRDefault="00C1199D">
            <w:pPr>
              <w:pStyle w:val="Header"/>
              <w:tabs>
                <w:tab w:val="clear" w:pos="4153"/>
                <w:tab w:val="clear" w:pos="8306"/>
              </w:tabs>
              <w:rPr>
                <w:bCs/>
              </w:rPr>
            </w:pPr>
          </w:p>
        </w:tc>
      </w:tr>
      <w:tr w:rsidR="004D4385" w:rsidTr="00340B1C">
        <w:trPr>
          <w:cantSplit/>
        </w:trPr>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vAlign w:val="center"/>
          </w:tcPr>
          <w:p w:rsidR="004D4385" w:rsidRDefault="004D4385" w:rsidP="00560761">
            <w:pPr>
              <w:pStyle w:val="Heading2"/>
              <w:numPr>
                <w:ilvl w:val="0"/>
                <w:numId w:val="21"/>
              </w:numPr>
              <w:rPr>
                <w:sz w:val="24"/>
              </w:rPr>
            </w:pPr>
            <w:r>
              <w:rPr>
                <w:sz w:val="24"/>
              </w:rPr>
              <w:lastRenderedPageBreak/>
              <w:t>What is the likely impact of the proposed change?</w:t>
            </w:r>
          </w:p>
          <w:p w:rsidR="004D4385" w:rsidRDefault="004D4385">
            <w:pPr>
              <w:pStyle w:val="Header"/>
              <w:tabs>
                <w:tab w:val="clear" w:pos="4153"/>
                <w:tab w:val="clear" w:pos="8306"/>
              </w:tabs>
              <w:rPr>
                <w:i/>
                <w:iCs/>
                <w:sz w:val="20"/>
              </w:rPr>
            </w:pPr>
            <w:r>
              <w:rPr>
                <w:i/>
                <w:iCs/>
                <w:sz w:val="20"/>
              </w:rPr>
              <w:t>Is it likely to :</w:t>
            </w:r>
          </w:p>
          <w:p w:rsidR="004D4385" w:rsidRDefault="004D4385" w:rsidP="008F3510">
            <w:pPr>
              <w:pStyle w:val="Header"/>
              <w:numPr>
                <w:ilvl w:val="0"/>
                <w:numId w:val="8"/>
              </w:numPr>
              <w:tabs>
                <w:tab w:val="clear" w:pos="4153"/>
                <w:tab w:val="clear" w:pos="8306"/>
              </w:tabs>
              <w:rPr>
                <w:i/>
                <w:iCs/>
                <w:sz w:val="20"/>
              </w:rPr>
            </w:pPr>
            <w:r>
              <w:rPr>
                <w:i/>
                <w:iCs/>
                <w:sz w:val="20"/>
              </w:rPr>
              <w:t xml:space="preserve">Adversely impact on one or more of the protected characteristic groups? </w:t>
            </w:r>
          </w:p>
          <w:p w:rsidR="004D4385" w:rsidRDefault="004D4385" w:rsidP="008F3510">
            <w:pPr>
              <w:pStyle w:val="Header"/>
              <w:numPr>
                <w:ilvl w:val="0"/>
                <w:numId w:val="8"/>
              </w:numPr>
              <w:tabs>
                <w:tab w:val="clear" w:pos="4153"/>
                <w:tab w:val="clear" w:pos="8306"/>
              </w:tabs>
              <w:rPr>
                <w:i/>
                <w:iCs/>
                <w:sz w:val="20"/>
              </w:rPr>
            </w:pPr>
            <w:r>
              <w:rPr>
                <w:i/>
                <w:iCs/>
                <w:sz w:val="20"/>
              </w:rPr>
              <w:t>Advance equality of opportunity for one or more of the protected characteristic groups?</w:t>
            </w:r>
          </w:p>
          <w:p w:rsidR="004D4385" w:rsidRDefault="004D4385" w:rsidP="00962318">
            <w:pPr>
              <w:pStyle w:val="Header"/>
              <w:numPr>
                <w:ilvl w:val="0"/>
                <w:numId w:val="8"/>
              </w:numPr>
              <w:tabs>
                <w:tab w:val="clear" w:pos="4153"/>
                <w:tab w:val="clear" w:pos="8306"/>
              </w:tabs>
              <w:rPr>
                <w:rFonts w:cs="Arial"/>
                <w:b/>
                <w:bCs/>
                <w:i/>
                <w:iCs/>
              </w:rPr>
            </w:pPr>
            <w:r>
              <w:rPr>
                <w:i/>
                <w:iCs/>
                <w:sz w:val="20"/>
              </w:rPr>
              <w:t>Foster good relations between people who share a protected characteristic and those who don’t?</w:t>
            </w:r>
            <w:r>
              <w:rPr>
                <w:i/>
                <w:iCs/>
                <w:sz w:val="16"/>
              </w:rPr>
              <w:t xml:space="preserve"> </w:t>
            </w:r>
            <w:r>
              <w:rPr>
                <w:b/>
                <w:bCs/>
                <w:i/>
                <w:iCs/>
                <w:sz w:val="16"/>
              </w:rPr>
              <w:t xml:space="preserve">(insert </w:t>
            </w:r>
            <w:r>
              <w:rPr>
                <w:b/>
                <w:bCs/>
                <w:i/>
                <w:iCs/>
                <w:sz w:val="16"/>
              </w:rPr>
              <w:sym w:font="Wingdings" w:char="F0FC"/>
            </w:r>
            <w:r>
              <w:rPr>
                <w:b/>
                <w:bCs/>
                <w:i/>
                <w:iCs/>
                <w:sz w:val="16"/>
              </w:rPr>
              <w:t xml:space="preserve"> in one or more boxes)</w:t>
            </w: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Protected characteristic groups</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Adverse impact</w:t>
            </w:r>
          </w:p>
        </w:tc>
        <w:tc>
          <w:tcPr>
            <w:tcW w:w="1333"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Advance equality</w:t>
            </w: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Foster good relations</w:t>
            </w:r>
          </w:p>
        </w:tc>
      </w:tr>
      <w:tr w:rsidR="004D4385" w:rsidTr="00AF64C8">
        <w:trPr>
          <w:trHeight w:val="310"/>
        </w:trPr>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noProof/>
                <w:sz w:val="22"/>
                <w:lang w:val="en-US"/>
              </w:rPr>
            </w:pPr>
            <w:r>
              <w:rPr>
                <w:rFonts w:cs="Arial"/>
                <w:b/>
                <w:bCs/>
                <w:noProof/>
                <w:sz w:val="22"/>
                <w:lang w:val="en-US"/>
              </w:rPr>
              <w:t xml:space="preserve">Age </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noProof/>
                <w:sz w:val="22"/>
                <w:lang w:val="en-US"/>
              </w:rPr>
            </w:pPr>
            <w:r>
              <w:rPr>
                <w:rFonts w:cs="Arial"/>
                <w:b/>
                <w:bCs/>
                <w:noProof/>
                <w:sz w:val="22"/>
                <w:lang w:val="en-US"/>
              </w:rPr>
              <w:t>Disabilty</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Pr="00AF64C8" w:rsidRDefault="004D4385" w:rsidP="00AF64C8">
            <w:pPr>
              <w:pStyle w:val="Header"/>
              <w:tabs>
                <w:tab w:val="clear" w:pos="4153"/>
                <w:tab w:val="clear" w:pos="8306"/>
              </w:tabs>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sz w:val="22"/>
              </w:rPr>
              <w:t>Gender reassignment</w:t>
            </w:r>
            <w:r w:rsidR="00020F25">
              <w:rPr>
                <w:rFonts w:cs="Arial"/>
                <w:b/>
                <w:bCs/>
                <w:noProof/>
                <w:sz w:val="22"/>
                <w:lang w:val="en-US"/>
              </w:rPr>
              <w:t xml:space="preserve"> </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rPr>
          <w:trHeight w:val="538"/>
        </w:trPr>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sz w:val="22"/>
              </w:rPr>
              <w:t>Marriage/civil partnership</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pStyle w:val="Heading9"/>
              <w:jc w:val="center"/>
              <w:rPr>
                <w:rFonts w:cs="Arial"/>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Pr="00020F25" w:rsidRDefault="00020F25">
            <w:pPr>
              <w:rPr>
                <w:rFonts w:cs="Arial"/>
                <w:b/>
                <w:bCs/>
                <w:sz w:val="22"/>
              </w:rPr>
            </w:pPr>
            <w:r>
              <w:rPr>
                <w:rFonts w:cs="Arial"/>
                <w:b/>
                <w:bCs/>
                <w:sz w:val="22"/>
              </w:rPr>
              <w:t>Pregnancy/maternity</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pStyle w:val="Heading9"/>
              <w:jc w:val="center"/>
              <w:rPr>
                <w:rFonts w:cs="Arial"/>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noProof/>
                <w:sz w:val="22"/>
                <w:lang w:val="en-US"/>
              </w:rPr>
            </w:pPr>
            <w:r>
              <w:rPr>
                <w:rFonts w:cs="Arial"/>
                <w:b/>
                <w:bCs/>
                <w:noProof/>
                <w:sz w:val="22"/>
                <w:lang w:val="en-US"/>
              </w:rPr>
              <w:t>Race</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Pr="00020F25" w:rsidRDefault="00020F25" w:rsidP="00020F25">
            <w:pPr>
              <w:pStyle w:val="Heading6"/>
              <w:rPr>
                <w:rFonts w:cs="Arial"/>
              </w:rPr>
            </w:pPr>
            <w:r>
              <w:rPr>
                <w:rFonts w:cs="Arial"/>
              </w:rPr>
              <w:t>Religion/belief</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C70D2D">
        <w:trPr>
          <w:trHeight w:val="309"/>
        </w:trPr>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sz w:val="22"/>
              </w:rPr>
            </w:pPr>
            <w:r>
              <w:rPr>
                <w:rFonts w:cs="Arial"/>
                <w:b/>
                <w:bCs/>
                <w:sz w:val="22"/>
              </w:rPr>
              <w:t>Sex</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p w:rsidR="00AF64C8" w:rsidRDefault="00AF64C8">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sz w:val="22"/>
              </w:rPr>
            </w:pPr>
            <w:r>
              <w:rPr>
                <w:rFonts w:cs="Arial"/>
                <w:b/>
                <w:bCs/>
                <w:sz w:val="22"/>
              </w:rPr>
              <w:t>Sexual orientation</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C70D2D">
            <w:pPr>
              <w:rPr>
                <w:rFonts w:cs="Arial"/>
                <w:b/>
                <w:bCs/>
                <w:sz w:val="22"/>
              </w:rPr>
            </w:pPr>
            <w:r>
              <w:rPr>
                <w:rFonts w:cs="Arial"/>
                <w:b/>
                <w:bCs/>
                <w:sz w:val="22"/>
              </w:rPr>
              <w:t>L</w:t>
            </w:r>
            <w:r w:rsidR="00020F25">
              <w:rPr>
                <w:rFonts w:cs="Arial"/>
                <w:b/>
                <w:bCs/>
                <w:sz w:val="22"/>
              </w:rPr>
              <w:t>ow income groups</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96E1F">
            <w:pPr>
              <w:jc w:val="center"/>
              <w:rPr>
                <w:rFonts w:cs="Arial"/>
                <w:b/>
                <w:bCs/>
                <w:noProof/>
                <w:lang w:val="en-US"/>
              </w:rPr>
            </w:pPr>
            <w:r>
              <w:rPr>
                <w:rFonts w:cs="Arial"/>
                <w:b/>
                <w:bCs/>
                <w:noProof/>
                <w:lang w:val="en-US"/>
              </w:rPr>
              <w:sym w:font="Wingdings" w:char="F0FC"/>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Pr="008346D8" w:rsidRDefault="008346D8" w:rsidP="00560761">
            <w:pPr>
              <w:pStyle w:val="Header"/>
              <w:numPr>
                <w:ilvl w:val="0"/>
                <w:numId w:val="21"/>
              </w:numPr>
              <w:tabs>
                <w:tab w:val="clear" w:pos="4153"/>
                <w:tab w:val="clear" w:pos="8306"/>
              </w:tabs>
              <w:rPr>
                <w:b/>
                <w:bCs/>
              </w:rPr>
            </w:pPr>
            <w:r>
              <w:rPr>
                <w:b/>
                <w:bCs/>
              </w:rPr>
              <w:t xml:space="preserve">Summary of the likely impacts </w:t>
            </w:r>
            <w:r w:rsidR="004D4385">
              <w:rPr>
                <w:sz w:val="20"/>
              </w:rPr>
              <w:t xml:space="preserve"> </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366F3A" w:rsidRDefault="00530938" w:rsidP="00366F3A">
            <w:pPr>
              <w:autoSpaceDE w:val="0"/>
              <w:autoSpaceDN w:val="0"/>
              <w:adjustRightInd w:val="0"/>
              <w:rPr>
                <w:rFonts w:ascii="Helvetica" w:hAnsi="Helvetica" w:cs="Helvetica"/>
                <w:lang w:eastAsia="en-GB"/>
              </w:rPr>
            </w:pPr>
            <w:r w:rsidRPr="00530938">
              <w:t>The policy will be applied generically to all of our tenants.</w:t>
            </w:r>
            <w:r w:rsidR="00366F3A">
              <w:rPr>
                <w:rFonts w:ascii="Helvetica" w:hAnsi="Helvetica" w:cs="Helvetica"/>
                <w:lang w:eastAsia="en-GB"/>
              </w:rPr>
              <w:t xml:space="preserve"> </w:t>
            </w:r>
          </w:p>
          <w:p w:rsidR="00366F3A" w:rsidRPr="008346D8" w:rsidRDefault="00366F3A" w:rsidP="00366F3A">
            <w:pPr>
              <w:autoSpaceDE w:val="0"/>
              <w:autoSpaceDN w:val="0"/>
              <w:adjustRightInd w:val="0"/>
              <w:rPr>
                <w:rFonts w:ascii="Helvetica" w:hAnsi="Helvetica" w:cs="Helvetica"/>
                <w:sz w:val="20"/>
                <w:lang w:eastAsia="en-GB"/>
              </w:rPr>
            </w:pPr>
          </w:p>
          <w:p w:rsidR="003503A5" w:rsidRPr="00C70D2D" w:rsidRDefault="000A72A1" w:rsidP="00366F3A">
            <w:pPr>
              <w:autoSpaceDE w:val="0"/>
              <w:autoSpaceDN w:val="0"/>
              <w:adjustRightInd w:val="0"/>
              <w:rPr>
                <w:rFonts w:ascii="Helvetica" w:hAnsi="Helvetica" w:cs="Helvetica"/>
                <w:lang w:eastAsia="en-GB"/>
              </w:rPr>
            </w:pPr>
            <w:r>
              <w:rPr>
                <w:rFonts w:ascii="Helvetica" w:hAnsi="Helvetica" w:cs="Helvetica"/>
                <w:lang w:eastAsia="en-GB"/>
              </w:rPr>
              <w:t xml:space="preserve">Vulnerable people such as those with learning difficulties, elderly residents or people for whom English is not their first language may be more likely to be coerced into </w:t>
            </w:r>
            <w:r w:rsidR="00C70D2D">
              <w:rPr>
                <w:rFonts w:ascii="Helvetica" w:hAnsi="Helvetica" w:cs="Helvetica"/>
                <w:lang w:eastAsia="en-GB"/>
              </w:rPr>
              <w:t>committing</w:t>
            </w:r>
            <w:r>
              <w:rPr>
                <w:rFonts w:ascii="Helvetica" w:hAnsi="Helvetica" w:cs="Helvetica"/>
                <w:lang w:eastAsia="en-GB"/>
              </w:rPr>
              <w:t xml:space="preserve"> tenancy fraud.  This may be </w:t>
            </w:r>
            <w:r w:rsidR="00C70D2D">
              <w:rPr>
                <w:rFonts w:ascii="Helvetica" w:hAnsi="Helvetica" w:cs="Helvetica"/>
                <w:lang w:eastAsia="en-GB"/>
              </w:rPr>
              <w:t>because</w:t>
            </w:r>
            <w:r>
              <w:rPr>
                <w:rFonts w:ascii="Helvetica" w:hAnsi="Helvetica" w:cs="Helvetica"/>
                <w:lang w:eastAsia="en-GB"/>
              </w:rPr>
              <w:t xml:space="preserve"> they are being pressured into it by a third party or they do not understand that what they are doing is fraudulent.</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560761">
            <w:pPr>
              <w:pStyle w:val="Header"/>
              <w:numPr>
                <w:ilvl w:val="0"/>
                <w:numId w:val="21"/>
              </w:numPr>
              <w:tabs>
                <w:tab w:val="clear" w:pos="4153"/>
                <w:tab w:val="clear" w:pos="8306"/>
              </w:tabs>
              <w:rPr>
                <w:b/>
                <w:bCs/>
              </w:rPr>
            </w:pPr>
            <w:r>
              <w:rPr>
                <w:b/>
                <w:bCs/>
              </w:rPr>
              <w:t>What actions can be taken to mitigate likely adverse</w:t>
            </w:r>
            <w:r>
              <w:rPr>
                <w:b/>
                <w:bCs/>
                <w:sz w:val="28"/>
              </w:rPr>
              <w:t xml:space="preserve"> </w:t>
            </w:r>
            <w:r>
              <w:rPr>
                <w:b/>
                <w:bCs/>
              </w:rPr>
              <w:t>impacts, improve equality of opport</w:t>
            </w:r>
            <w:r w:rsidR="001B3AB4">
              <w:rPr>
                <w:b/>
                <w:bCs/>
              </w:rPr>
              <w:t>unity or foster good relations?</w:t>
            </w:r>
          </w:p>
        </w:tc>
      </w:tr>
      <w:tr w:rsidR="004D4385" w:rsidTr="003503A5">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1B3AB4" w:rsidRDefault="00C70D2D" w:rsidP="001B3AB4">
            <w:pPr>
              <w:pStyle w:val="Header"/>
              <w:tabs>
                <w:tab w:val="clear" w:pos="4153"/>
                <w:tab w:val="clear" w:pos="8306"/>
              </w:tabs>
            </w:pPr>
            <w:r>
              <w:rPr>
                <w:rFonts w:ascii="Helvetica" w:hAnsi="Helvetica" w:cs="Helvetica"/>
                <w:lang w:eastAsia="en-GB"/>
              </w:rPr>
              <w:t>Measures have been taken in the policy to ensure that vulnerable tenants are supported throughout cases of tenancy fraud and the correct advice given.</w:t>
            </w:r>
            <w:r w:rsidR="001B3AB4">
              <w:rPr>
                <w:rFonts w:ascii="Helvetica" w:hAnsi="Helvetica" w:cs="Helvetica"/>
                <w:lang w:eastAsia="en-GB"/>
              </w:rPr>
              <w:t xml:space="preserve">  </w:t>
            </w:r>
            <w:r w:rsidR="001B3AB4">
              <w:t>Officers will support vulnerable customers that are victims of tenancy fraud.</w:t>
            </w:r>
          </w:p>
          <w:p w:rsidR="001771C4" w:rsidRPr="00C70D2D" w:rsidRDefault="001771C4" w:rsidP="0061162D">
            <w:pPr>
              <w:autoSpaceDE w:val="0"/>
              <w:autoSpaceDN w:val="0"/>
              <w:adjustRightInd w:val="0"/>
              <w:rPr>
                <w:rFonts w:ascii="Helvetica" w:hAnsi="Helvetica" w:cs="Helvetica"/>
                <w:sz w:val="20"/>
                <w:lang w:eastAsia="en-GB"/>
              </w:rPr>
            </w:pPr>
          </w:p>
          <w:p w:rsidR="00530FBA" w:rsidRDefault="007630B6" w:rsidP="00C70D2D">
            <w:pPr>
              <w:autoSpaceDE w:val="0"/>
              <w:autoSpaceDN w:val="0"/>
              <w:adjustRightInd w:val="0"/>
              <w:rPr>
                <w:rFonts w:ascii="Helvetica" w:hAnsi="Helvetica" w:cs="Helvetica"/>
                <w:lang w:eastAsia="en-GB"/>
              </w:rPr>
            </w:pPr>
            <w:r>
              <w:rPr>
                <w:rFonts w:ascii="Helvetica" w:hAnsi="Helvetica" w:cs="Helvetica"/>
                <w:lang w:eastAsia="en-GB"/>
              </w:rPr>
              <w:lastRenderedPageBreak/>
              <w:t>C</w:t>
            </w:r>
            <w:r w:rsidR="0061162D">
              <w:rPr>
                <w:rFonts w:ascii="Helvetica" w:hAnsi="Helvetica" w:cs="Helvetica"/>
                <w:lang w:eastAsia="en-GB"/>
              </w:rPr>
              <w:t>ommunications</w:t>
            </w:r>
            <w:r w:rsidR="00706011">
              <w:rPr>
                <w:rFonts w:ascii="Helvetica" w:hAnsi="Helvetica" w:cs="Helvetica"/>
                <w:lang w:eastAsia="en-GB"/>
              </w:rPr>
              <w:t xml:space="preserve"> and publicity campaigns regarding tenancy fraud </w:t>
            </w:r>
            <w:r>
              <w:rPr>
                <w:rFonts w:ascii="Helvetica" w:hAnsi="Helvetica" w:cs="Helvetica"/>
                <w:lang w:eastAsia="en-GB"/>
              </w:rPr>
              <w:t xml:space="preserve">must be </w:t>
            </w:r>
            <w:r w:rsidR="004E1B86">
              <w:rPr>
                <w:rFonts w:ascii="Helvetica" w:hAnsi="Helvetica" w:cs="Helvetica"/>
                <w:lang w:eastAsia="en-GB"/>
              </w:rPr>
              <w:t>available in</w:t>
            </w:r>
            <w:r w:rsidR="0061162D">
              <w:rPr>
                <w:rFonts w:ascii="Helvetica" w:hAnsi="Helvetica" w:cs="Helvetica"/>
                <w:lang w:eastAsia="en-GB"/>
              </w:rPr>
              <w:t xml:space="preserve"> alternative languages</w:t>
            </w:r>
            <w:r>
              <w:rPr>
                <w:rFonts w:ascii="Helvetica" w:hAnsi="Helvetica" w:cs="Helvetica"/>
                <w:lang w:eastAsia="en-GB"/>
              </w:rPr>
              <w:t xml:space="preserve"> and translation services adopted</w:t>
            </w:r>
            <w:r w:rsidR="00196E25">
              <w:rPr>
                <w:rFonts w:ascii="Helvetica" w:hAnsi="Helvetica" w:cs="Helvetica"/>
                <w:lang w:eastAsia="en-GB"/>
              </w:rPr>
              <w:t xml:space="preserve"> when communicating with tenants regarding fraud investigations. </w:t>
            </w:r>
          </w:p>
          <w:p w:rsidR="00C70D2D" w:rsidRPr="00C70D2D" w:rsidRDefault="00C70D2D" w:rsidP="00C70D2D">
            <w:pPr>
              <w:autoSpaceDE w:val="0"/>
              <w:autoSpaceDN w:val="0"/>
              <w:adjustRightInd w:val="0"/>
              <w:rPr>
                <w:rFonts w:ascii="Helvetica" w:hAnsi="Helvetica" w:cs="Helvetica"/>
                <w:sz w:val="20"/>
                <w:lang w:eastAsia="en-GB"/>
              </w:rPr>
            </w:pPr>
          </w:p>
          <w:p w:rsidR="00E577C4" w:rsidRDefault="004E1B86" w:rsidP="00C70D2D">
            <w:pPr>
              <w:pStyle w:val="NormalWeb"/>
              <w:spacing w:before="0" w:beforeAutospacing="0" w:after="0" w:afterAutospacing="0"/>
              <w:rPr>
                <w:rFonts w:ascii="Arial" w:hAnsi="Arial" w:cs="Arial"/>
                <w:lang w:val="en"/>
              </w:rPr>
            </w:pPr>
            <w:r>
              <w:rPr>
                <w:rFonts w:ascii="Arial" w:hAnsi="Arial" w:cs="Arial"/>
                <w:lang w:val="en"/>
              </w:rPr>
              <w:t>T</w:t>
            </w:r>
            <w:r w:rsidR="00265576">
              <w:rPr>
                <w:rFonts w:ascii="Arial" w:hAnsi="Arial" w:cs="Arial"/>
                <w:lang w:val="en"/>
              </w:rPr>
              <w:t>he Corporate Anti Fraud Team will ensure cases are in the public interest and therefore may have consideration to the impact on cases that involve persons with certain protected characteristics.</w:t>
            </w:r>
          </w:p>
          <w:p w:rsidR="00C70D2D" w:rsidRPr="00C70D2D" w:rsidRDefault="00C70D2D" w:rsidP="00C70D2D">
            <w:pPr>
              <w:pStyle w:val="NormalWeb"/>
              <w:spacing w:before="0" w:beforeAutospacing="0" w:after="0" w:afterAutospacing="0"/>
              <w:rPr>
                <w:rFonts w:ascii="Arial" w:eastAsia="Arial Unicode MS" w:hAnsi="Arial" w:cs="Arial"/>
                <w:sz w:val="20"/>
                <w:lang w:val="en"/>
              </w:rPr>
            </w:pPr>
          </w:p>
          <w:p w:rsidR="00BE4C58" w:rsidRDefault="00E577C4">
            <w:pPr>
              <w:pStyle w:val="Header"/>
              <w:tabs>
                <w:tab w:val="clear" w:pos="4153"/>
                <w:tab w:val="clear" w:pos="8306"/>
              </w:tabs>
            </w:pPr>
            <w:r>
              <w:t xml:space="preserve">Although some investigations will involve officers attending a property without prior appointment, a </w:t>
            </w:r>
            <w:r w:rsidR="0034146B">
              <w:t>password scheme is available to tenants s</w:t>
            </w:r>
            <w:r>
              <w:t xml:space="preserve">o that they can verify that the officer is a genuine employee of Medway Council. </w:t>
            </w:r>
          </w:p>
          <w:p w:rsidR="00BE4C58" w:rsidRDefault="00BE4C58">
            <w:pPr>
              <w:pStyle w:val="Header"/>
              <w:tabs>
                <w:tab w:val="clear" w:pos="4153"/>
                <w:tab w:val="clear" w:pos="8306"/>
              </w:tabs>
            </w:pPr>
          </w:p>
          <w:p w:rsidR="00962318" w:rsidRDefault="00530938" w:rsidP="00962318">
            <w:pPr>
              <w:pStyle w:val="Header"/>
              <w:tabs>
                <w:tab w:val="clear" w:pos="4153"/>
                <w:tab w:val="clear" w:pos="8306"/>
              </w:tabs>
            </w:pPr>
            <w:r>
              <w:t xml:space="preserve">Officers will </w:t>
            </w:r>
            <w:r w:rsidR="00BE4C58">
              <w:t>refer to Academy before conducting a tenancy audit to identify any circumstances that may identify the tenant as being vulnerable and requiring extra measures.  Where it is identified that a tenant is vulnerable and requires an advocate to be present, this will be arranged prior to the audit taking place.  Other special circumstance will be considered such as whether a translator is required for the audit.</w:t>
            </w:r>
          </w:p>
          <w:p w:rsidR="00530938" w:rsidRPr="00530FBA" w:rsidRDefault="00E95972" w:rsidP="005278AB">
            <w:pPr>
              <w:pStyle w:val="Header"/>
              <w:tabs>
                <w:tab w:val="clear" w:pos="4153"/>
                <w:tab w:val="clear" w:pos="8306"/>
              </w:tabs>
            </w:pPr>
            <w:r>
              <w:t xml:space="preserve">Details of how to report Housing Fraud is publicised in the </w:t>
            </w:r>
            <w:r w:rsidR="008346D8">
              <w:t>tenant’s</w:t>
            </w:r>
            <w:r>
              <w:t xml:space="preserve"> m</w:t>
            </w:r>
            <w:r w:rsidR="005278AB">
              <w:t>edia</w:t>
            </w:r>
            <w:r>
              <w:t xml:space="preserve"> and </w:t>
            </w:r>
            <w:r w:rsidR="00B47647">
              <w:t>online on the council website.</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560761">
            <w:pPr>
              <w:pStyle w:val="Heading2"/>
              <w:numPr>
                <w:ilvl w:val="0"/>
                <w:numId w:val="21"/>
              </w:numPr>
              <w:rPr>
                <w:sz w:val="24"/>
              </w:rPr>
            </w:pPr>
            <w:r>
              <w:rPr>
                <w:sz w:val="24"/>
              </w:rPr>
              <w:lastRenderedPageBreak/>
              <w:t>Action plan</w:t>
            </w:r>
          </w:p>
          <w:p w:rsidR="004D4385" w:rsidRDefault="004D4385" w:rsidP="008F3510">
            <w:pPr>
              <w:numPr>
                <w:ilvl w:val="0"/>
                <w:numId w:val="11"/>
              </w:numPr>
              <w:rPr>
                <w:rFonts w:cs="Arial"/>
                <w:b/>
                <w:bCs/>
                <w:i/>
                <w:iCs/>
                <w:sz w:val="20"/>
              </w:rPr>
            </w:pPr>
            <w:r>
              <w:rPr>
                <w:i/>
                <w:iCs/>
                <w:sz w:val="20"/>
              </w:rPr>
              <w:t>Actions to mitigate adverse impact, improve equality of opportunity or foster good relations and/or obtain new evidence</w:t>
            </w:r>
          </w:p>
        </w:tc>
      </w:tr>
      <w:tr w:rsidR="004D4385" w:rsidTr="00B7627B">
        <w:trPr>
          <w:trHeight w:val="740"/>
        </w:trPr>
        <w:tc>
          <w:tcPr>
            <w:tcW w:w="4968" w:type="dxa"/>
            <w:gridSpan w:val="4"/>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Action</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Lead</w:t>
            </w:r>
          </w:p>
        </w:tc>
        <w:tc>
          <w:tcPr>
            <w:tcW w:w="1594"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Deadline or review date</w:t>
            </w:r>
          </w:p>
        </w:tc>
      </w:tr>
      <w:tr w:rsidR="004D4385"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4D4385" w:rsidRDefault="00530FBA" w:rsidP="00530FBA">
            <w:pPr>
              <w:rPr>
                <w:rFonts w:cs="Arial"/>
              </w:rPr>
            </w:pPr>
            <w:r>
              <w:rPr>
                <w:rFonts w:cs="Arial"/>
              </w:rPr>
              <w:t xml:space="preserve">Monitor Complaints to </w:t>
            </w:r>
            <w:r>
              <w:t xml:space="preserve">identify any negative </w:t>
            </w:r>
            <w:r w:rsidR="00B7627B">
              <w:t xml:space="preserve">trends with regards to the Tenancy </w:t>
            </w:r>
            <w:r w:rsidR="005C1B1E">
              <w:t>Fraud policy</w:t>
            </w:r>
            <w:r w:rsidR="00340B1C">
              <w:t>.</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560761">
            <w:pPr>
              <w:jc w:val="center"/>
              <w:rPr>
                <w:rFonts w:cs="Arial"/>
              </w:rPr>
            </w:pPr>
            <w:r>
              <w:rPr>
                <w:rFonts w:cs="Arial"/>
              </w:rPr>
              <w:t>Housing Manager</w:t>
            </w: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560761">
            <w:pPr>
              <w:jc w:val="center"/>
              <w:rPr>
                <w:rFonts w:cs="Arial"/>
              </w:rPr>
            </w:pPr>
            <w:r>
              <w:rPr>
                <w:rFonts w:cs="Arial"/>
              </w:rPr>
              <w:t>Ongoing</w:t>
            </w:r>
          </w:p>
          <w:p w:rsidR="00B7627B" w:rsidRDefault="00B7627B">
            <w:pPr>
              <w:jc w:val="center"/>
              <w:rPr>
                <w:rFonts w:cs="Arial"/>
              </w:rPr>
            </w:pPr>
          </w:p>
        </w:tc>
      </w:tr>
      <w:tr w:rsidR="004D4385"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C70D2D" w:rsidRDefault="00C70D2D" w:rsidP="00C70D2D">
            <w:pPr>
              <w:pStyle w:val="Header"/>
              <w:tabs>
                <w:tab w:val="clear" w:pos="4153"/>
                <w:tab w:val="clear" w:pos="8306"/>
              </w:tabs>
            </w:pPr>
            <w:r>
              <w:t xml:space="preserve">Advertise details of how to report Housing Fraud </w:t>
            </w:r>
            <w:r w:rsidR="003503A5">
              <w:t xml:space="preserve">in </w:t>
            </w:r>
            <w:r>
              <w:t xml:space="preserve">the </w:t>
            </w:r>
            <w:r w:rsidR="001F040E">
              <w:t>tenant’s</w:t>
            </w:r>
            <w:r>
              <w:t xml:space="preserve"> </w:t>
            </w:r>
            <w:r w:rsidR="00560761">
              <w:t>newsletter</w:t>
            </w:r>
            <w:r>
              <w:t xml:space="preserve"> and online on the council website.</w:t>
            </w:r>
          </w:p>
          <w:p w:rsidR="004D4385" w:rsidRDefault="004D4385">
            <w:pPr>
              <w:rPr>
                <w:rFonts w:cs="Arial"/>
              </w:rPr>
            </w:pP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3503A5" w:rsidP="003503A5">
            <w:pPr>
              <w:jc w:val="center"/>
              <w:rPr>
                <w:rFonts w:cs="Arial"/>
              </w:rPr>
            </w:pPr>
            <w:r>
              <w:rPr>
                <w:rFonts w:cs="Arial"/>
              </w:rPr>
              <w:t>Policy and Partnership Manager</w:t>
            </w: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560761">
            <w:pPr>
              <w:jc w:val="center"/>
              <w:rPr>
                <w:rFonts w:cs="Arial"/>
              </w:rPr>
            </w:pPr>
            <w:r>
              <w:rPr>
                <w:rFonts w:cs="Arial"/>
              </w:rPr>
              <w:t>December 2020</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560761">
            <w:pPr>
              <w:pStyle w:val="Heading2"/>
              <w:numPr>
                <w:ilvl w:val="0"/>
                <w:numId w:val="21"/>
              </w:numPr>
              <w:rPr>
                <w:sz w:val="24"/>
              </w:rPr>
            </w:pPr>
            <w:r>
              <w:rPr>
                <w:sz w:val="24"/>
              </w:rPr>
              <w:t>Recommendation</w:t>
            </w:r>
          </w:p>
          <w:p w:rsidR="004D4385" w:rsidRDefault="004D4385">
            <w:pPr>
              <w:pStyle w:val="Header"/>
              <w:tabs>
                <w:tab w:val="clear" w:pos="4153"/>
                <w:tab w:val="clear" w:pos="8306"/>
              </w:tabs>
            </w:pPr>
          </w:p>
        </w:tc>
      </w:tr>
      <w:tr w:rsidR="004D4385" w:rsidTr="00340B1C">
        <w:trPr>
          <w:cantSplit/>
        </w:trPr>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4D4385" w:rsidRDefault="009956B5">
            <w:r>
              <w:t>To p</w:t>
            </w:r>
            <w:r w:rsidR="00604BDB">
              <w:t>roceed with the implementation of the revised policy.</w:t>
            </w:r>
            <w:bookmarkStart w:id="0" w:name="_GoBack"/>
            <w:bookmarkEnd w:id="0"/>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560761">
            <w:pPr>
              <w:pStyle w:val="Heading2"/>
              <w:numPr>
                <w:ilvl w:val="0"/>
                <w:numId w:val="21"/>
              </w:numPr>
              <w:rPr>
                <w:sz w:val="24"/>
              </w:rPr>
            </w:pPr>
            <w:r>
              <w:rPr>
                <w:sz w:val="24"/>
              </w:rPr>
              <w:t xml:space="preserve">Authorisation </w:t>
            </w:r>
          </w:p>
          <w:p w:rsidR="004D4385" w:rsidRDefault="004D4385">
            <w:pPr>
              <w:pStyle w:val="Header"/>
              <w:tabs>
                <w:tab w:val="clear" w:pos="4153"/>
                <w:tab w:val="clear" w:pos="8306"/>
              </w:tabs>
              <w:rPr>
                <w:i/>
                <w:iCs/>
                <w:sz w:val="20"/>
              </w:rPr>
            </w:pPr>
            <w:r>
              <w:rPr>
                <w:i/>
                <w:iCs/>
                <w:sz w:val="20"/>
              </w:rPr>
              <w:t>The authorising officer is consenting that:</w:t>
            </w:r>
          </w:p>
          <w:p w:rsidR="004D4385" w:rsidRDefault="004D4385" w:rsidP="008F3510">
            <w:pPr>
              <w:pStyle w:val="Header"/>
              <w:numPr>
                <w:ilvl w:val="0"/>
                <w:numId w:val="15"/>
              </w:numPr>
              <w:tabs>
                <w:tab w:val="clear" w:pos="4153"/>
                <w:tab w:val="clear" w:pos="8306"/>
              </w:tabs>
              <w:rPr>
                <w:i/>
                <w:iCs/>
                <w:sz w:val="20"/>
              </w:rPr>
            </w:pPr>
            <w:r>
              <w:rPr>
                <w:i/>
                <w:iCs/>
                <w:sz w:val="20"/>
              </w:rPr>
              <w:t>the recommendation can be implemented</w:t>
            </w:r>
          </w:p>
          <w:p w:rsidR="004D4385" w:rsidRDefault="004D4385" w:rsidP="008F3510">
            <w:pPr>
              <w:pStyle w:val="Header"/>
              <w:numPr>
                <w:ilvl w:val="0"/>
                <w:numId w:val="14"/>
              </w:numPr>
              <w:tabs>
                <w:tab w:val="clear" w:pos="4153"/>
                <w:tab w:val="clear" w:pos="8306"/>
              </w:tabs>
              <w:rPr>
                <w:i/>
                <w:iCs/>
                <w:sz w:val="20"/>
              </w:rPr>
            </w:pPr>
            <w:r>
              <w:rPr>
                <w:i/>
                <w:iCs/>
                <w:sz w:val="20"/>
              </w:rPr>
              <w:t>sufficient evidence has been obtained and appropriate mitigation is planned</w:t>
            </w:r>
          </w:p>
          <w:p w:rsidR="004D4385" w:rsidRDefault="004D4385" w:rsidP="008F3510">
            <w:pPr>
              <w:numPr>
                <w:ilvl w:val="0"/>
                <w:numId w:val="14"/>
              </w:numPr>
              <w:rPr>
                <w:rFonts w:cs="Arial"/>
                <w:b/>
                <w:bCs/>
                <w:sz w:val="20"/>
                <w:szCs w:val="20"/>
              </w:rPr>
            </w:pPr>
            <w:r>
              <w:rPr>
                <w:i/>
                <w:iCs/>
                <w:sz w:val="20"/>
              </w:rPr>
              <w:t xml:space="preserve">the Action Plan will be incorporated into </w:t>
            </w:r>
            <w:r w:rsidR="00435E08">
              <w:rPr>
                <w:i/>
                <w:iCs/>
                <w:sz w:val="20"/>
              </w:rPr>
              <w:t>the relevant S</w:t>
            </w:r>
            <w:r>
              <w:rPr>
                <w:i/>
                <w:iCs/>
                <w:sz w:val="20"/>
              </w:rPr>
              <w:t xml:space="preserve">ervice </w:t>
            </w:r>
            <w:r w:rsidR="00435E08">
              <w:rPr>
                <w:i/>
                <w:iCs/>
                <w:sz w:val="20"/>
              </w:rPr>
              <w:t>P</w:t>
            </w:r>
            <w:r>
              <w:rPr>
                <w:i/>
                <w:iCs/>
                <w:sz w:val="20"/>
              </w:rPr>
              <w:t xml:space="preserve">lan and monitored </w:t>
            </w:r>
          </w:p>
        </w:tc>
      </w:tr>
      <w:tr w:rsidR="004D4385" w:rsidTr="00340B1C">
        <w:tc>
          <w:tcPr>
            <w:tcW w:w="2625"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rPr>
            </w:pPr>
            <w:r>
              <w:rPr>
                <w:rFonts w:cs="Arial"/>
                <w:b/>
                <w:bCs/>
              </w:rPr>
              <w:t>A</w:t>
            </w:r>
            <w:r w:rsidR="00530FBA">
              <w:rPr>
                <w:rFonts w:cs="Arial"/>
                <w:b/>
                <w:bCs/>
              </w:rPr>
              <w:t>uthorising Officer</w:t>
            </w:r>
          </w:p>
          <w:p w:rsidR="004D4385" w:rsidRDefault="004D4385">
            <w:pPr>
              <w:rPr>
                <w:rFonts w:cs="Arial"/>
                <w:b/>
                <w:bCs/>
              </w:rPr>
            </w:pPr>
          </w:p>
        </w:tc>
        <w:tc>
          <w:tcPr>
            <w:tcW w:w="6097"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865498" w:rsidRDefault="00560761">
            <w:pPr>
              <w:pStyle w:val="CommentText"/>
              <w:rPr>
                <w:rFonts w:cs="Arial"/>
                <w:b/>
                <w:bCs/>
                <w:sz w:val="24"/>
                <w:szCs w:val="24"/>
              </w:rPr>
            </w:pPr>
            <w:r>
              <w:rPr>
                <w:rFonts w:cs="Arial"/>
                <w:b/>
                <w:bCs/>
                <w:sz w:val="24"/>
                <w:szCs w:val="24"/>
              </w:rPr>
              <w:t>Mark Breathwick</w:t>
            </w:r>
          </w:p>
          <w:p w:rsidR="00560761" w:rsidRPr="00340B1C" w:rsidRDefault="00560761">
            <w:pPr>
              <w:pStyle w:val="CommentText"/>
              <w:rPr>
                <w:rFonts w:cs="Arial"/>
                <w:b/>
                <w:bCs/>
                <w:sz w:val="24"/>
                <w:szCs w:val="24"/>
              </w:rPr>
            </w:pPr>
            <w:r>
              <w:rPr>
                <w:rFonts w:cs="Arial"/>
                <w:b/>
                <w:bCs/>
                <w:sz w:val="24"/>
                <w:szCs w:val="24"/>
              </w:rPr>
              <w:t>Head of Housing</w:t>
            </w:r>
          </w:p>
        </w:tc>
      </w:tr>
      <w:tr w:rsidR="004D4385" w:rsidTr="00340B1C">
        <w:tc>
          <w:tcPr>
            <w:tcW w:w="2625"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rPr>
            </w:pPr>
            <w:r>
              <w:rPr>
                <w:rFonts w:cs="Arial"/>
                <w:b/>
                <w:bCs/>
              </w:rPr>
              <w:t xml:space="preserve">Date </w:t>
            </w:r>
          </w:p>
        </w:tc>
        <w:tc>
          <w:tcPr>
            <w:tcW w:w="6097"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4D4385" w:rsidRPr="00865498" w:rsidRDefault="00560761">
            <w:pPr>
              <w:rPr>
                <w:rFonts w:cs="Arial"/>
                <w:b/>
                <w:bCs/>
              </w:rPr>
            </w:pPr>
            <w:r>
              <w:rPr>
                <w:rFonts w:cs="Arial"/>
                <w:b/>
                <w:bCs/>
              </w:rPr>
              <w:t>July 2020</w:t>
            </w:r>
          </w:p>
        </w:tc>
      </w:tr>
    </w:tbl>
    <w:p w:rsidR="004D4385" w:rsidRDefault="004D4385">
      <w:pPr>
        <w:rPr>
          <w:rFonts w:cs="Arial"/>
          <w:b/>
          <w:bCs/>
          <w:iCs/>
          <w:sz w:val="16"/>
          <w:szCs w:val="16"/>
        </w:rPr>
      </w:pPr>
    </w:p>
    <w:sectPr w:rsidR="004D4385">
      <w:headerReference w:type="default" r:id="rId8"/>
      <w:footerReference w:type="default" r:id="rId9"/>
      <w:type w:val="continuous"/>
      <w:pgSz w:w="11906" w:h="16838"/>
      <w:pgMar w:top="1985"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DC6" w:rsidRDefault="00E43DC6">
      <w:r>
        <w:separator/>
      </w:r>
    </w:p>
  </w:endnote>
  <w:endnote w:type="continuationSeparator" w:id="0">
    <w:p w:rsidR="00E43DC6" w:rsidRDefault="00E43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588" w:rsidRDefault="00FC5588">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A965A1">
      <w:rPr>
        <w:rStyle w:val="PageNumber"/>
        <w:noProof/>
      </w:rPr>
      <w:t>3</w:t>
    </w:r>
    <w:r>
      <w:rPr>
        <w:rStyle w:val="PageNumber"/>
      </w:rPr>
      <w:fldChar w:fldCharType="end"/>
    </w:r>
  </w:p>
  <w:p w:rsidR="00FC5588" w:rsidRDefault="00FC558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DC6" w:rsidRDefault="00E43DC6">
      <w:r>
        <w:separator/>
      </w:r>
    </w:p>
  </w:footnote>
  <w:footnote w:type="continuationSeparator" w:id="0">
    <w:p w:rsidR="00E43DC6" w:rsidRDefault="00E43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588" w:rsidRDefault="00A965A1">
    <w:pPr>
      <w:pStyle w:val="Header"/>
      <w:jc w:val="center"/>
      <w:rPr>
        <w:b/>
        <w:bCs/>
        <w:sz w:val="44"/>
      </w:rPr>
    </w:pPr>
    <w:r>
      <w:rPr>
        <w:noProof/>
        <w:sz w:val="44"/>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in;margin-top:-35.4pt;width:2in;height:87.75pt;z-index:251657216">
          <v:imagedata r:id="rId1" o:title=""/>
          <w10:wrap type="square"/>
        </v:shape>
        <o:OLEObject Type="Embed" ProgID="Word.Picture.8" ShapeID="_x0000_s2049" DrawAspect="Content" ObjectID="_1657515650" r:id="rId2"/>
      </w:object>
    </w:r>
    <w:r w:rsidR="00FC5588">
      <w:rPr>
        <w:b/>
        <w:bCs/>
        <w:sz w:val="44"/>
      </w:rPr>
      <w:t>Diversity</w:t>
    </w:r>
  </w:p>
  <w:p w:rsidR="00FC5588" w:rsidRDefault="00FC5588">
    <w:pPr>
      <w:pStyle w:val="Header"/>
      <w:jc w:val="center"/>
      <w:rPr>
        <w:b/>
        <w:bCs/>
        <w:sz w:val="36"/>
      </w:rPr>
    </w:pPr>
    <w:r>
      <w:rPr>
        <w:b/>
        <w:bCs/>
        <w:sz w:val="44"/>
      </w:rPr>
      <w:t xml:space="preserve"> impact assessment </w:t>
    </w:r>
  </w:p>
  <w:p w:rsidR="00FC5588" w:rsidRDefault="00FC5588">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615F"/>
    <w:multiLevelType w:val="hybridMultilevel"/>
    <w:tmpl w:val="64D6F7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00603F"/>
    <w:multiLevelType w:val="hybridMultilevel"/>
    <w:tmpl w:val="46BAD2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2978A6"/>
    <w:multiLevelType w:val="hybridMultilevel"/>
    <w:tmpl w:val="D12C1F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402C9"/>
    <w:multiLevelType w:val="hybridMultilevel"/>
    <w:tmpl w:val="0AE422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DF1D6D"/>
    <w:multiLevelType w:val="hybridMultilevel"/>
    <w:tmpl w:val="2B6885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6023368"/>
    <w:multiLevelType w:val="hybridMultilevel"/>
    <w:tmpl w:val="63CE64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5C4007"/>
    <w:multiLevelType w:val="hybridMultilevel"/>
    <w:tmpl w:val="2386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B848D6"/>
    <w:multiLevelType w:val="hybridMultilevel"/>
    <w:tmpl w:val="FA9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4F17EE"/>
    <w:multiLevelType w:val="hybridMultilevel"/>
    <w:tmpl w:val="63DC59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7FD65E7"/>
    <w:multiLevelType w:val="hybridMultilevel"/>
    <w:tmpl w:val="41387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FB5A88"/>
    <w:multiLevelType w:val="hybridMultilevel"/>
    <w:tmpl w:val="A0FEA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602219"/>
    <w:multiLevelType w:val="hybridMultilevel"/>
    <w:tmpl w:val="C79C61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5B54504"/>
    <w:multiLevelType w:val="hybridMultilevel"/>
    <w:tmpl w:val="AC46AEF4"/>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3" w15:restartNumberingAfterBreak="0">
    <w:nsid w:val="5EEA075E"/>
    <w:multiLevelType w:val="hybridMultilevel"/>
    <w:tmpl w:val="A5DC70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14682E"/>
    <w:multiLevelType w:val="hybridMultilevel"/>
    <w:tmpl w:val="05029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0644AE"/>
    <w:multiLevelType w:val="hybridMultilevel"/>
    <w:tmpl w:val="3E7A6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155273"/>
    <w:multiLevelType w:val="hybridMultilevel"/>
    <w:tmpl w:val="77F21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2A7DD9"/>
    <w:multiLevelType w:val="hybridMultilevel"/>
    <w:tmpl w:val="8B7A6C2C"/>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8" w15:restartNumberingAfterBreak="0">
    <w:nsid w:val="725622F7"/>
    <w:multiLevelType w:val="hybridMultilevel"/>
    <w:tmpl w:val="52ACF4EE"/>
    <w:lvl w:ilvl="0" w:tplc="054224F2">
      <w:numFmt w:val="bullet"/>
      <w:lvlText w:val="-"/>
      <w:lvlJc w:val="left"/>
      <w:pPr>
        <w:tabs>
          <w:tab w:val="num" w:pos="1140"/>
        </w:tabs>
        <w:ind w:left="1140" w:hanging="78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75AF7BE7"/>
    <w:multiLevelType w:val="hybridMultilevel"/>
    <w:tmpl w:val="441AE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242364"/>
    <w:multiLevelType w:val="hybridMultilevel"/>
    <w:tmpl w:val="CE24DD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19"/>
  </w:num>
  <w:num w:numId="3">
    <w:abstractNumId w:val="7"/>
  </w:num>
  <w:num w:numId="4">
    <w:abstractNumId w:val="1"/>
  </w:num>
  <w:num w:numId="5">
    <w:abstractNumId w:val="10"/>
  </w:num>
  <w:num w:numId="6">
    <w:abstractNumId w:val="9"/>
  </w:num>
  <w:num w:numId="7">
    <w:abstractNumId w:val="14"/>
  </w:num>
  <w:num w:numId="8">
    <w:abstractNumId w:val="8"/>
  </w:num>
  <w:num w:numId="9">
    <w:abstractNumId w:val="0"/>
  </w:num>
  <w:num w:numId="10">
    <w:abstractNumId w:val="4"/>
  </w:num>
  <w:num w:numId="11">
    <w:abstractNumId w:val="11"/>
  </w:num>
  <w:num w:numId="12">
    <w:abstractNumId w:val="3"/>
  </w:num>
  <w:num w:numId="13">
    <w:abstractNumId w:val="20"/>
  </w:num>
  <w:num w:numId="14">
    <w:abstractNumId w:val="2"/>
  </w:num>
  <w:num w:numId="15">
    <w:abstractNumId w:val="16"/>
  </w:num>
  <w:num w:numId="16">
    <w:abstractNumId w:val="15"/>
  </w:num>
  <w:num w:numId="17">
    <w:abstractNumId w:val="12"/>
  </w:num>
  <w:num w:numId="18">
    <w:abstractNumId w:val="18"/>
  </w:num>
  <w:num w:numId="19">
    <w:abstractNumId w:val="17"/>
  </w:num>
  <w:num w:numId="20">
    <w:abstractNumId w:val="6"/>
  </w:num>
  <w:num w:numId="21">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2050">
      <o:colormru v:ext="edit" colors="#99cef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36C"/>
    <w:rsid w:val="00015B0F"/>
    <w:rsid w:val="00020F25"/>
    <w:rsid w:val="00031054"/>
    <w:rsid w:val="00062CD3"/>
    <w:rsid w:val="000A72A1"/>
    <w:rsid w:val="000B4599"/>
    <w:rsid w:val="00107B82"/>
    <w:rsid w:val="001237C6"/>
    <w:rsid w:val="001237F8"/>
    <w:rsid w:val="001401F6"/>
    <w:rsid w:val="001627E2"/>
    <w:rsid w:val="001771C4"/>
    <w:rsid w:val="00196E25"/>
    <w:rsid w:val="001A05EF"/>
    <w:rsid w:val="001B3AB4"/>
    <w:rsid w:val="001C32FB"/>
    <w:rsid w:val="001D7F99"/>
    <w:rsid w:val="001F040E"/>
    <w:rsid w:val="001F48BB"/>
    <w:rsid w:val="00265576"/>
    <w:rsid w:val="00280974"/>
    <w:rsid w:val="00286ECE"/>
    <w:rsid w:val="002954A8"/>
    <w:rsid w:val="00297ED4"/>
    <w:rsid w:val="002B620D"/>
    <w:rsid w:val="002C1B27"/>
    <w:rsid w:val="003254F3"/>
    <w:rsid w:val="00340B1C"/>
    <w:rsid w:val="0034146B"/>
    <w:rsid w:val="003503A5"/>
    <w:rsid w:val="00366F3A"/>
    <w:rsid w:val="00391CDB"/>
    <w:rsid w:val="003C493F"/>
    <w:rsid w:val="003E476C"/>
    <w:rsid w:val="003E49E9"/>
    <w:rsid w:val="004052FC"/>
    <w:rsid w:val="00422C8C"/>
    <w:rsid w:val="00435E08"/>
    <w:rsid w:val="0045129D"/>
    <w:rsid w:val="00483FC6"/>
    <w:rsid w:val="00496E1F"/>
    <w:rsid w:val="004A42A2"/>
    <w:rsid w:val="004C5F24"/>
    <w:rsid w:val="004D4385"/>
    <w:rsid w:val="004E1B86"/>
    <w:rsid w:val="00503624"/>
    <w:rsid w:val="00514AB9"/>
    <w:rsid w:val="00526E5D"/>
    <w:rsid w:val="005278AB"/>
    <w:rsid w:val="00530938"/>
    <w:rsid w:val="00530FBA"/>
    <w:rsid w:val="00560761"/>
    <w:rsid w:val="005A7594"/>
    <w:rsid w:val="005C1B1E"/>
    <w:rsid w:val="00604BDB"/>
    <w:rsid w:val="0061162D"/>
    <w:rsid w:val="006D4015"/>
    <w:rsid w:val="006D538F"/>
    <w:rsid w:val="006F59FB"/>
    <w:rsid w:val="007045C0"/>
    <w:rsid w:val="00706011"/>
    <w:rsid w:val="00725B13"/>
    <w:rsid w:val="00740282"/>
    <w:rsid w:val="007630B6"/>
    <w:rsid w:val="0077036C"/>
    <w:rsid w:val="00795B73"/>
    <w:rsid w:val="007D2B57"/>
    <w:rsid w:val="008346D8"/>
    <w:rsid w:val="00865498"/>
    <w:rsid w:val="0087087B"/>
    <w:rsid w:val="00895D9C"/>
    <w:rsid w:val="0089749F"/>
    <w:rsid w:val="008B70B6"/>
    <w:rsid w:val="008C2F77"/>
    <w:rsid w:val="008D4A0A"/>
    <w:rsid w:val="008F3510"/>
    <w:rsid w:val="0092162B"/>
    <w:rsid w:val="00962318"/>
    <w:rsid w:val="00982701"/>
    <w:rsid w:val="00992A27"/>
    <w:rsid w:val="009956B5"/>
    <w:rsid w:val="00A54820"/>
    <w:rsid w:val="00A90A76"/>
    <w:rsid w:val="00A90F07"/>
    <w:rsid w:val="00A965A1"/>
    <w:rsid w:val="00AB0290"/>
    <w:rsid w:val="00AF64C8"/>
    <w:rsid w:val="00B207CC"/>
    <w:rsid w:val="00B47647"/>
    <w:rsid w:val="00B7627B"/>
    <w:rsid w:val="00BA623C"/>
    <w:rsid w:val="00BE4C58"/>
    <w:rsid w:val="00C1199D"/>
    <w:rsid w:val="00C414A3"/>
    <w:rsid w:val="00C43E0D"/>
    <w:rsid w:val="00C51B76"/>
    <w:rsid w:val="00C70D2D"/>
    <w:rsid w:val="00C82BC3"/>
    <w:rsid w:val="00C834F4"/>
    <w:rsid w:val="00C9581D"/>
    <w:rsid w:val="00CB7C70"/>
    <w:rsid w:val="00CE14AF"/>
    <w:rsid w:val="00D73AF7"/>
    <w:rsid w:val="00DC4E48"/>
    <w:rsid w:val="00E34A78"/>
    <w:rsid w:val="00E377A5"/>
    <w:rsid w:val="00E43DC6"/>
    <w:rsid w:val="00E577C4"/>
    <w:rsid w:val="00E91E2F"/>
    <w:rsid w:val="00E95972"/>
    <w:rsid w:val="00F14C88"/>
    <w:rsid w:val="00F25DD6"/>
    <w:rsid w:val="00F3464F"/>
    <w:rsid w:val="00F72F80"/>
    <w:rsid w:val="00FB5F56"/>
    <w:rsid w:val="00FB6D0B"/>
    <w:rsid w:val="00FC5588"/>
    <w:rsid w:val="00FD496D"/>
    <w:rsid w:val="00FF3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9cef3"/>
    </o:shapedefaults>
    <o:shapelayout v:ext="edit">
      <o:idmap v:ext="edit" data="1"/>
    </o:shapelayout>
  </w:shapeDefaults>
  <w:decimalSymbol w:val="."/>
  <w:listSeparator w:val=","/>
  <w14:docId w14:val="14598C63"/>
  <w15:chartTrackingRefBased/>
  <w15:docId w15:val="{E7430A2A-6C67-4C8A-BFB9-4265C281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ind w:left="1080"/>
      <w:outlineLvl w:val="0"/>
    </w:pPr>
    <w:rPr>
      <w:b/>
      <w:bCs/>
      <w:sz w:val="22"/>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jc w:val="center"/>
      <w:outlineLvl w:val="2"/>
    </w:pPr>
    <w:rPr>
      <w:b/>
      <w:bCs/>
      <w:sz w:val="22"/>
      <w:u w:val="single"/>
    </w:rPr>
  </w:style>
  <w:style w:type="paragraph" w:styleId="Heading4">
    <w:name w:val="heading 4"/>
    <w:basedOn w:val="Normal"/>
    <w:next w:val="Normal"/>
    <w:qFormat/>
    <w:pPr>
      <w:keepNext/>
      <w:ind w:left="1080"/>
      <w:jc w:val="center"/>
      <w:outlineLvl w:val="3"/>
    </w:pPr>
    <w:rPr>
      <w:b/>
      <w:bCs/>
      <w:sz w:val="22"/>
    </w:rPr>
  </w:style>
  <w:style w:type="paragraph" w:styleId="Heading5">
    <w:name w:val="heading 5"/>
    <w:basedOn w:val="Normal"/>
    <w:next w:val="Normal"/>
    <w:qFormat/>
    <w:pPr>
      <w:keepNext/>
      <w:outlineLvl w:val="4"/>
    </w:pPr>
    <w:rPr>
      <w:b/>
      <w:bCs/>
      <w:sz w:val="22"/>
      <w:u w:val="single"/>
    </w:rPr>
  </w:style>
  <w:style w:type="paragraph" w:styleId="Heading6">
    <w:name w:val="heading 6"/>
    <w:basedOn w:val="Normal"/>
    <w:next w:val="Normal"/>
    <w:qFormat/>
    <w:pPr>
      <w:keepNext/>
      <w:outlineLvl w:val="5"/>
    </w:pPr>
    <w:rPr>
      <w:b/>
      <w:bCs/>
      <w:sz w:val="22"/>
    </w:rPr>
  </w:style>
  <w:style w:type="paragraph" w:styleId="Heading7">
    <w:name w:val="heading 7"/>
    <w:basedOn w:val="Normal"/>
    <w:next w:val="Normal"/>
    <w:qFormat/>
    <w:pPr>
      <w:keepNext/>
      <w:jc w:val="center"/>
      <w:outlineLvl w:val="6"/>
    </w:pPr>
    <w:rPr>
      <w:b/>
      <w:bCs/>
      <w:sz w:val="22"/>
    </w:rPr>
  </w:style>
  <w:style w:type="paragraph" w:styleId="Heading8">
    <w:name w:val="heading 8"/>
    <w:basedOn w:val="Normal"/>
    <w:next w:val="Normal"/>
    <w:qFormat/>
    <w:pPr>
      <w:keepNext/>
      <w:framePr w:w="10260" w:h="4500" w:hSpace="180" w:wrap="around" w:vAnchor="text" w:hAnchor="page" w:x="829" w:y="5611"/>
      <w:outlineLvl w:val="7"/>
    </w:pPr>
    <w:rPr>
      <w:rFonts w:cs="Arial"/>
      <w:b/>
      <w:bCs/>
      <w:sz w:val="22"/>
      <w:u w:val="single"/>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rPr>
      <w:sz w:val="28"/>
    </w:rPr>
  </w:style>
  <w:style w:type="paragraph" w:styleId="BodyText2">
    <w:name w:val="Body Text 2"/>
    <w:basedOn w:val="Normal"/>
    <w:semiHidden/>
    <w:pPr>
      <w:jc w:val="center"/>
    </w:pPr>
    <w:rPr>
      <w:b/>
      <w:sz w:val="22"/>
    </w:rPr>
  </w:style>
  <w:style w:type="paragraph" w:styleId="BodyText3">
    <w:name w:val="Body Text 3"/>
    <w:basedOn w:val="Normal"/>
    <w:semiHidden/>
    <w:pPr>
      <w:autoSpaceDE w:val="0"/>
      <w:autoSpaceDN w:val="0"/>
      <w:adjustRightInd w:val="0"/>
    </w:pPr>
    <w:rPr>
      <w:rFonts w:cs="Arial"/>
      <w:b/>
      <w:bCs/>
      <w:sz w:val="22"/>
      <w:szCs w:val="29"/>
      <w:lang w:val="en-US"/>
    </w:rPr>
  </w:style>
  <w:style w:type="character" w:styleId="Hyperlink">
    <w:name w:val="Hyperlink"/>
    <w:semiHidden/>
    <w:rPr>
      <w:color w:val="0000FF"/>
      <w:u w:val="single"/>
    </w:rPr>
  </w:style>
  <w:style w:type="character" w:styleId="Strong">
    <w:name w:val="Strong"/>
    <w:qFormat/>
    <w:rPr>
      <w:b/>
      <w:bCs/>
    </w:rPr>
  </w:style>
  <w:style w:type="character" w:styleId="PageNumber">
    <w:name w:val="page number"/>
    <w:basedOn w:val="DefaultParagraphFont"/>
    <w:semiHidden/>
  </w:style>
  <w:style w:type="paragraph" w:styleId="BodyTextIndent">
    <w:name w:val="Body Text Indent"/>
    <w:basedOn w:val="Normal"/>
    <w:semiHidden/>
    <w:pPr>
      <w:ind w:left="360"/>
    </w:pPr>
    <w:rPr>
      <w:sz w:val="22"/>
    </w:rPr>
  </w:style>
  <w:style w:type="paragraph" w:styleId="BodyTextIndent3">
    <w:name w:val="Body Text Indent 3"/>
    <w:basedOn w:val="Normal"/>
    <w:semiHidden/>
    <w:pPr>
      <w:ind w:left="720" w:hanging="720"/>
    </w:pPr>
    <w:rPr>
      <w:rFonts w:cs="Arial"/>
    </w:rPr>
  </w:style>
  <w:style w:type="paragraph" w:customStyle="1" w:styleId="sub-heading">
    <w:name w:val="sub-heading"/>
    <w:basedOn w:val="Normal"/>
    <w:next w:val="Normal"/>
    <w:autoRedefine/>
    <w:rPr>
      <w:rFonts w:cs="Arial"/>
      <w:lang w:val="en-US"/>
    </w:rPr>
  </w:style>
  <w:style w:type="paragraph" w:styleId="NormalWeb">
    <w:name w:val="Normal (Web)"/>
    <w:basedOn w:val="Normal"/>
    <w:semiHidden/>
    <w:pPr>
      <w:spacing w:before="100" w:beforeAutospacing="1" w:after="100" w:afterAutospacing="1"/>
    </w:pPr>
    <w:rPr>
      <w:rFonts w:ascii="Times New Roman" w:hAnsi="Times New Roman"/>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numbering" w:customStyle="1" w:styleId="NoList1">
    <w:name w:val="No List1"/>
    <w:next w:val="NoList"/>
    <w:uiPriority w:val="99"/>
    <w:semiHidden/>
    <w:unhideWhenUsed/>
    <w:rsid w:val="00FB6D0B"/>
  </w:style>
  <w:style w:type="paragraph" w:styleId="Title">
    <w:name w:val="Title"/>
    <w:basedOn w:val="Normal"/>
    <w:link w:val="TitleChar"/>
    <w:qFormat/>
    <w:rsid w:val="00FB6D0B"/>
    <w:pPr>
      <w:tabs>
        <w:tab w:val="center" w:pos="4510"/>
        <w:tab w:val="right" w:pos="9000"/>
      </w:tabs>
      <w:jc w:val="center"/>
    </w:pPr>
    <w:rPr>
      <w:rFonts w:cs="Arial"/>
      <w:b/>
      <w:bCs/>
      <w:sz w:val="28"/>
      <w:szCs w:val="28"/>
      <w:lang w:eastAsia="en-GB"/>
    </w:rPr>
  </w:style>
  <w:style w:type="character" w:customStyle="1" w:styleId="TitleChar">
    <w:name w:val="Title Char"/>
    <w:link w:val="Title"/>
    <w:rsid w:val="00FB6D0B"/>
    <w:rPr>
      <w:rFonts w:ascii="Arial" w:hAnsi="Arial" w:cs="Arial"/>
      <w:b/>
      <w:bCs/>
      <w:sz w:val="28"/>
      <w:szCs w:val="28"/>
    </w:rPr>
  </w:style>
  <w:style w:type="paragraph" w:styleId="ListParagraph">
    <w:name w:val="List Paragraph"/>
    <w:basedOn w:val="Normal"/>
    <w:qFormat/>
    <w:rsid w:val="00FB6D0B"/>
    <w:pPr>
      <w:spacing w:after="200" w:line="276" w:lineRule="auto"/>
      <w:ind w:left="720"/>
    </w:pPr>
    <w:rPr>
      <w:rFonts w:cs="Arial"/>
      <w:lang w:eastAsia="en-GB"/>
    </w:rPr>
  </w:style>
  <w:style w:type="character" w:customStyle="1" w:styleId="BalloonTextChar">
    <w:name w:val="Balloon Text Char"/>
    <w:semiHidden/>
    <w:rsid w:val="00FB6D0B"/>
    <w:rPr>
      <w:rFonts w:ascii="Tahoma" w:hAnsi="Tahoma" w:cs="Tahoma"/>
      <w:sz w:val="16"/>
      <w:szCs w:val="16"/>
    </w:rPr>
  </w:style>
  <w:style w:type="paragraph" w:styleId="Subtitle">
    <w:name w:val="Subtitle"/>
    <w:basedOn w:val="Normal"/>
    <w:link w:val="SubtitleChar"/>
    <w:qFormat/>
    <w:rsid w:val="00FB6D0B"/>
    <w:pPr>
      <w:spacing w:after="200" w:line="276" w:lineRule="auto"/>
      <w:jc w:val="center"/>
    </w:pPr>
    <w:rPr>
      <w:rFonts w:cs="Arial"/>
      <w:b/>
      <w:bCs/>
      <w:sz w:val="28"/>
      <w:lang w:eastAsia="en-GB"/>
    </w:rPr>
  </w:style>
  <w:style w:type="character" w:customStyle="1" w:styleId="SubtitleChar">
    <w:name w:val="Subtitle Char"/>
    <w:link w:val="Subtitle"/>
    <w:rsid w:val="00FB6D0B"/>
    <w:rPr>
      <w:rFonts w:ascii="Arial" w:hAnsi="Arial" w:cs="Arial"/>
      <w:b/>
      <w:bCs/>
      <w:sz w:val="28"/>
      <w:szCs w:val="24"/>
    </w:rPr>
  </w:style>
  <w:style w:type="paragraph" w:styleId="CommentSubject">
    <w:name w:val="annotation subject"/>
    <w:basedOn w:val="CommentText"/>
    <w:next w:val="CommentText"/>
    <w:link w:val="CommentSubjectChar"/>
    <w:semiHidden/>
    <w:unhideWhenUsed/>
    <w:rsid w:val="00FB6D0B"/>
    <w:pPr>
      <w:spacing w:after="200" w:line="276" w:lineRule="auto"/>
    </w:pPr>
    <w:rPr>
      <w:rFonts w:cs="Arial"/>
      <w:b/>
      <w:bCs/>
      <w:lang w:eastAsia="en-GB"/>
    </w:rPr>
  </w:style>
  <w:style w:type="character" w:customStyle="1" w:styleId="CommentTextChar">
    <w:name w:val="Comment Text Char"/>
    <w:link w:val="CommentText"/>
    <w:semiHidden/>
    <w:rsid w:val="00FB6D0B"/>
    <w:rPr>
      <w:rFonts w:ascii="Arial" w:hAnsi="Arial"/>
      <w:lang w:eastAsia="en-US"/>
    </w:rPr>
  </w:style>
  <w:style w:type="character" w:customStyle="1" w:styleId="CommentSubjectChar">
    <w:name w:val="Comment Subject Char"/>
    <w:link w:val="CommentSubject"/>
    <w:semiHidden/>
    <w:rsid w:val="00FB6D0B"/>
    <w:rPr>
      <w:rFonts w:ascii="Arial" w:hAnsi="Arial" w:cs="Arial"/>
      <w:b/>
      <w:bCs/>
      <w:lang w:eastAsia="en-US"/>
    </w:rPr>
  </w:style>
  <w:style w:type="paragraph" w:styleId="NoSpacing">
    <w:name w:val="No Spacing"/>
    <w:qFormat/>
    <w:rsid w:val="00FB6D0B"/>
    <w:rPr>
      <w:rFonts w:ascii="Arial" w:hAnsi="Arial"/>
      <w:sz w:val="24"/>
      <w:szCs w:val="22"/>
      <w:lang w:eastAsia="en-US"/>
    </w:rPr>
  </w:style>
  <w:style w:type="paragraph" w:styleId="Caption">
    <w:name w:val="caption"/>
    <w:basedOn w:val="Normal"/>
    <w:next w:val="Normal"/>
    <w:qFormat/>
    <w:rsid w:val="00FB6D0B"/>
    <w:pPr>
      <w:spacing w:after="200" w:line="276" w:lineRule="auto"/>
    </w:pPr>
    <w:rPr>
      <w:rFonts w:cs="Arial"/>
      <w:b/>
      <w:bCs/>
      <w:sz w:val="20"/>
      <w:szCs w:val="20"/>
      <w:lang w:eastAsia="en-GB"/>
    </w:rPr>
  </w:style>
  <w:style w:type="paragraph" w:styleId="FootnoteText">
    <w:name w:val="footnote text"/>
    <w:basedOn w:val="Normal"/>
    <w:link w:val="FootnoteTextChar"/>
    <w:semiHidden/>
    <w:rsid w:val="00FB6D0B"/>
    <w:pPr>
      <w:spacing w:after="200" w:line="276" w:lineRule="auto"/>
    </w:pPr>
    <w:rPr>
      <w:rFonts w:cs="Arial"/>
      <w:sz w:val="20"/>
      <w:szCs w:val="20"/>
      <w:lang w:eastAsia="en-GB"/>
    </w:rPr>
  </w:style>
  <w:style w:type="character" w:customStyle="1" w:styleId="FootnoteTextChar">
    <w:name w:val="Footnote Text Char"/>
    <w:link w:val="FootnoteText"/>
    <w:semiHidden/>
    <w:rsid w:val="00FB6D0B"/>
    <w:rPr>
      <w:rFonts w:ascii="Arial" w:hAnsi="Arial" w:cs="Arial"/>
    </w:rPr>
  </w:style>
  <w:style w:type="character" w:styleId="FootnoteReference">
    <w:name w:val="footnote reference"/>
    <w:semiHidden/>
    <w:rsid w:val="00FB6D0B"/>
    <w:rPr>
      <w:vertAlign w:val="superscript"/>
    </w:rPr>
  </w:style>
  <w:style w:type="table" w:styleId="TableGrid">
    <w:name w:val="Table Grid"/>
    <w:basedOn w:val="TableNormal"/>
    <w:uiPriority w:val="59"/>
    <w:rsid w:val="00FB6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semiHidden/>
    <w:rsid w:val="00265576"/>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12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F85FE-90D5-4CD1-83B3-AF9D75DD2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Medway Council</Company>
  <LinksUpToDate>false</LinksUpToDate>
  <CharactersWithSpaces>5695</CharactersWithSpaces>
  <SharedDoc>false</SharedDoc>
  <HLinks>
    <vt:vector size="30" baseType="variant">
      <vt:variant>
        <vt:i4>4980795</vt:i4>
      </vt:variant>
      <vt:variant>
        <vt:i4>12</vt:i4>
      </vt:variant>
      <vt:variant>
        <vt:i4>0</vt:i4>
      </vt:variant>
      <vt:variant>
        <vt:i4>5</vt:i4>
      </vt:variant>
      <vt:variant>
        <vt:lpwstr>mailto:corppi@medway.gov.uk</vt:lpwstr>
      </vt:variant>
      <vt:variant>
        <vt:lpwstr/>
      </vt:variant>
      <vt:variant>
        <vt:i4>6815825</vt:i4>
      </vt:variant>
      <vt:variant>
        <vt:i4>9</vt:i4>
      </vt:variant>
      <vt:variant>
        <vt:i4>0</vt:i4>
      </vt:variant>
      <vt:variant>
        <vt:i4>5</vt:i4>
      </vt:variant>
      <vt:variant>
        <vt:lpwstr>mailto:david.whiting@medway.gov.uk</vt:lpwstr>
      </vt:variant>
      <vt:variant>
        <vt:lpwstr/>
      </vt:variant>
      <vt:variant>
        <vt:i4>4980795</vt:i4>
      </vt:variant>
      <vt:variant>
        <vt:i4>6</vt:i4>
      </vt:variant>
      <vt:variant>
        <vt:i4>0</vt:i4>
      </vt:variant>
      <vt:variant>
        <vt:i4>5</vt:i4>
      </vt:variant>
      <vt:variant>
        <vt:lpwstr>mailto:corppi@medway.gov.uk</vt:lpwstr>
      </vt:variant>
      <vt:variant>
        <vt:lpwstr/>
      </vt:variant>
      <vt:variant>
        <vt:i4>7667717</vt:i4>
      </vt:variant>
      <vt:variant>
        <vt:i4>3</vt:i4>
      </vt:variant>
      <vt:variant>
        <vt:i4>0</vt:i4>
      </vt:variant>
      <vt:variant>
        <vt:i4>5</vt:i4>
      </vt:variant>
      <vt:variant>
        <vt:lpwstr>mailto:chrismckenzie@medway.gov.uk</vt:lpwstr>
      </vt:variant>
      <vt:variant>
        <vt:lpwstr/>
      </vt:variant>
      <vt:variant>
        <vt:i4>4522108</vt:i4>
      </vt:variant>
      <vt:variant>
        <vt:i4>0</vt:i4>
      </vt:variant>
      <vt:variant>
        <vt:i4>0</vt:i4>
      </vt:variant>
      <vt:variant>
        <vt:i4>5</vt:i4>
      </vt:variant>
      <vt:variant>
        <vt:lpwstr>mailto:annamarie.lawrence@medway.gov.uk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Authorised User</dc:creator>
  <cp:keywords/>
  <cp:lastModifiedBy>aisling sims</cp:lastModifiedBy>
  <cp:revision>4</cp:revision>
  <cp:lastPrinted>2017-12-04T15:16:00Z</cp:lastPrinted>
  <dcterms:created xsi:type="dcterms:W3CDTF">2020-07-22T07:24:00Z</dcterms:created>
  <dcterms:modified xsi:type="dcterms:W3CDTF">2020-07-29T07:14:00Z</dcterms:modified>
</cp:coreProperties>
</file>