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723"/>
        <w:gridCol w:w="180"/>
        <w:gridCol w:w="1547"/>
        <w:gridCol w:w="782"/>
        <w:gridCol w:w="946"/>
        <w:gridCol w:w="393"/>
        <w:gridCol w:w="1335"/>
      </w:tblGrid>
      <w:tr w:rsidR="004D4385" w:rsidTr="00FC19C8">
        <w:tblPrEx>
          <w:tblCellMar>
            <w:top w:w="0" w:type="dxa"/>
            <w:bottom w:w="0" w:type="dxa"/>
          </w:tblCellMar>
        </w:tblPrEx>
        <w:tc>
          <w:tcPr>
            <w:tcW w:w="342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Pr="00052663" w:rsidRDefault="00B06653">
            <w:pPr>
              <w:pStyle w:val="Header"/>
              <w:tabs>
                <w:tab w:val="clear" w:pos="4153"/>
                <w:tab w:val="clear" w:pos="8306"/>
              </w:tabs>
              <w:rPr>
                <w:bCs/>
                <w:sz w:val="22"/>
                <w:szCs w:val="22"/>
              </w:rPr>
            </w:pPr>
            <w:r w:rsidRPr="00052663">
              <w:rPr>
                <w:bCs/>
                <w:sz w:val="22"/>
                <w:szCs w:val="22"/>
              </w:rPr>
              <w:t>TIT</w:t>
            </w:r>
            <w:r w:rsidR="004D4385" w:rsidRPr="00052663">
              <w:rPr>
                <w:bCs/>
                <w:sz w:val="22"/>
                <w:szCs w:val="22"/>
              </w:rPr>
              <w:t>LE</w:t>
            </w:r>
          </w:p>
          <w:p w:rsidR="004D4385" w:rsidRPr="00052663" w:rsidRDefault="004D4385">
            <w:pPr>
              <w:pStyle w:val="Header"/>
              <w:tabs>
                <w:tab w:val="clear" w:pos="4153"/>
                <w:tab w:val="clear" w:pos="8306"/>
              </w:tabs>
              <w:rPr>
                <w:bCs/>
                <w:i/>
                <w:iCs/>
                <w:sz w:val="22"/>
                <w:szCs w:val="22"/>
              </w:rPr>
            </w:pPr>
            <w:r w:rsidRPr="00052663">
              <w:rPr>
                <w:rFonts w:cs="Arial"/>
                <w:i/>
                <w:iCs/>
                <w:sz w:val="22"/>
                <w:szCs w:val="22"/>
              </w:rPr>
              <w:t>Name / description of the issue being assessed</w:t>
            </w:r>
          </w:p>
        </w:tc>
        <w:tc>
          <w:tcPr>
            <w:tcW w:w="5003"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052663" w:rsidRPr="00052663" w:rsidRDefault="00052663" w:rsidP="00052663">
            <w:pPr>
              <w:spacing w:after="200" w:line="276" w:lineRule="auto"/>
              <w:contextualSpacing/>
              <w:rPr>
                <w:rFonts w:eastAsia="Calibri" w:cs="Arial"/>
                <w:b/>
                <w:sz w:val="22"/>
                <w:szCs w:val="22"/>
              </w:rPr>
            </w:pPr>
            <w:r w:rsidRPr="00052663">
              <w:rPr>
                <w:rFonts w:eastAsia="Calibri" w:cs="Arial"/>
                <w:b/>
                <w:sz w:val="22"/>
                <w:szCs w:val="22"/>
              </w:rPr>
              <w:t xml:space="preserve"> Gas Safety and Servicing Policy</w:t>
            </w:r>
          </w:p>
          <w:p w:rsidR="004D4385" w:rsidRPr="00052663" w:rsidRDefault="004D4385">
            <w:pPr>
              <w:pStyle w:val="Header"/>
              <w:tabs>
                <w:tab w:val="clear" w:pos="4153"/>
                <w:tab w:val="clear" w:pos="8306"/>
              </w:tabs>
              <w:rPr>
                <w:b/>
                <w:sz w:val="22"/>
                <w:szCs w:val="22"/>
              </w:rPr>
            </w:pPr>
          </w:p>
        </w:tc>
      </w:tr>
      <w:tr w:rsidR="004D4385" w:rsidTr="00FC19C8">
        <w:tblPrEx>
          <w:tblCellMar>
            <w:top w:w="0" w:type="dxa"/>
            <w:bottom w:w="0" w:type="dxa"/>
          </w:tblCellMar>
        </w:tblPrEx>
        <w:tc>
          <w:tcPr>
            <w:tcW w:w="342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 xml:space="preserve">DATE </w:t>
            </w:r>
          </w:p>
          <w:p w:rsidR="004D4385" w:rsidRDefault="004D4385">
            <w:pPr>
              <w:pStyle w:val="Header"/>
              <w:tabs>
                <w:tab w:val="clear" w:pos="4153"/>
                <w:tab w:val="clear" w:pos="8306"/>
              </w:tabs>
              <w:rPr>
                <w:i/>
                <w:iCs/>
              </w:rPr>
            </w:pPr>
            <w:r>
              <w:rPr>
                <w:rFonts w:cs="Arial"/>
                <w:i/>
                <w:iCs/>
                <w:sz w:val="20"/>
              </w:rPr>
              <w:t>Date the DIA is completed</w:t>
            </w:r>
          </w:p>
        </w:tc>
        <w:tc>
          <w:tcPr>
            <w:tcW w:w="5003"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230054" w:rsidRDefault="00E36ED0" w:rsidP="00052663">
            <w:pPr>
              <w:pStyle w:val="Header"/>
              <w:tabs>
                <w:tab w:val="clear" w:pos="4153"/>
                <w:tab w:val="clear" w:pos="8306"/>
              </w:tabs>
              <w:rPr>
                <w:sz w:val="22"/>
                <w:szCs w:val="22"/>
              </w:rPr>
            </w:pPr>
            <w:r>
              <w:rPr>
                <w:sz w:val="22"/>
                <w:szCs w:val="22"/>
              </w:rPr>
              <w:t>3</w:t>
            </w:r>
            <w:r w:rsidRPr="00E36ED0">
              <w:rPr>
                <w:sz w:val="22"/>
                <w:szCs w:val="22"/>
                <w:vertAlign w:val="superscript"/>
              </w:rPr>
              <w:t>rd</w:t>
            </w:r>
            <w:r>
              <w:rPr>
                <w:sz w:val="22"/>
                <w:szCs w:val="22"/>
              </w:rPr>
              <w:t xml:space="preserve"> January 2020</w:t>
            </w:r>
          </w:p>
        </w:tc>
      </w:tr>
      <w:tr w:rsidR="004D4385" w:rsidTr="00FC19C8">
        <w:tblPrEx>
          <w:tblCellMar>
            <w:top w:w="0" w:type="dxa"/>
            <w:bottom w:w="0" w:type="dxa"/>
          </w:tblCellMar>
        </w:tblPrEx>
        <w:tc>
          <w:tcPr>
            <w:tcW w:w="342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LEAD OFFICER</w:t>
            </w:r>
          </w:p>
          <w:p w:rsidR="004D4385" w:rsidRDefault="004D4385">
            <w:pPr>
              <w:pStyle w:val="Header"/>
              <w:tabs>
                <w:tab w:val="clear" w:pos="4153"/>
                <w:tab w:val="clear" w:pos="8306"/>
              </w:tabs>
              <w:rPr>
                <w:b/>
                <w:bCs/>
              </w:rPr>
            </w:pPr>
            <w:r>
              <w:rPr>
                <w:rFonts w:cs="Arial"/>
                <w:i/>
                <w:iCs/>
                <w:sz w:val="20"/>
              </w:rPr>
              <w:t>Name, title and dept of person responsible for carrying out the DIA</w:t>
            </w:r>
            <w:r>
              <w:rPr>
                <w:rFonts w:cs="Arial"/>
                <w:sz w:val="20"/>
              </w:rPr>
              <w:t>.</w:t>
            </w:r>
          </w:p>
        </w:tc>
        <w:tc>
          <w:tcPr>
            <w:tcW w:w="5003"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230054" w:rsidRDefault="00E36ED0">
            <w:pPr>
              <w:pStyle w:val="Header"/>
              <w:tabs>
                <w:tab w:val="clear" w:pos="4153"/>
                <w:tab w:val="clear" w:pos="8306"/>
              </w:tabs>
              <w:rPr>
                <w:sz w:val="22"/>
                <w:szCs w:val="22"/>
              </w:rPr>
            </w:pPr>
            <w:r>
              <w:rPr>
                <w:sz w:val="22"/>
                <w:szCs w:val="22"/>
              </w:rPr>
              <w:t>Aisling Sims – Policy and Partnership Manager</w:t>
            </w:r>
          </w:p>
        </w:tc>
      </w:tr>
      <w:tr w:rsidR="004D4385" w:rsidTr="00FC19C8">
        <w:tblPrEx>
          <w:tblCellMar>
            <w:top w:w="0" w:type="dxa"/>
            <w:bottom w:w="0" w:type="dxa"/>
          </w:tblCellMar>
        </w:tblPrEx>
        <w:tc>
          <w:tcPr>
            <w:tcW w:w="8423"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EB6BCA">
            <w:pPr>
              <w:pStyle w:val="Header"/>
              <w:numPr>
                <w:ilvl w:val="0"/>
                <w:numId w:val="25"/>
              </w:numPr>
              <w:tabs>
                <w:tab w:val="clear" w:pos="4153"/>
                <w:tab w:val="clear" w:pos="8306"/>
              </w:tabs>
              <w:rPr>
                <w:b/>
                <w:bCs/>
              </w:rPr>
            </w:pPr>
            <w:r>
              <w:rPr>
                <w:b/>
                <w:bCs/>
              </w:rPr>
              <w:t>Summary description of the proposed change</w:t>
            </w:r>
          </w:p>
          <w:p w:rsidR="004D4385" w:rsidRDefault="004D4385" w:rsidP="008F3510">
            <w:pPr>
              <w:pStyle w:val="Header"/>
              <w:numPr>
                <w:ilvl w:val="0"/>
                <w:numId w:val="12"/>
              </w:numPr>
              <w:tabs>
                <w:tab w:val="clear" w:pos="4153"/>
                <w:tab w:val="clear" w:pos="8306"/>
              </w:tabs>
              <w:rPr>
                <w:i/>
                <w:iCs/>
                <w:sz w:val="20"/>
              </w:rPr>
            </w:pPr>
            <w:r>
              <w:rPr>
                <w:i/>
                <w:iCs/>
                <w:sz w:val="20"/>
              </w:rPr>
              <w:t>What is the change to policy / service / new project that is being proposed?</w:t>
            </w:r>
          </w:p>
          <w:p w:rsidR="004D4385" w:rsidRDefault="004D4385" w:rsidP="008F3510">
            <w:pPr>
              <w:pStyle w:val="Header"/>
              <w:numPr>
                <w:ilvl w:val="0"/>
                <w:numId w:val="12"/>
              </w:numPr>
              <w:tabs>
                <w:tab w:val="clear" w:pos="4153"/>
                <w:tab w:val="clear" w:pos="8306"/>
              </w:tabs>
              <w:rPr>
                <w:b/>
                <w:bCs/>
              </w:rPr>
            </w:pPr>
            <w:r>
              <w:rPr>
                <w:i/>
                <w:iCs/>
                <w:sz w:val="20"/>
              </w:rPr>
              <w:t>How does it compare with the current situation?</w:t>
            </w:r>
          </w:p>
        </w:tc>
      </w:tr>
      <w:tr w:rsidR="004D4385" w:rsidTr="00FC19C8">
        <w:tblPrEx>
          <w:tblCellMar>
            <w:top w:w="0" w:type="dxa"/>
            <w:bottom w:w="0" w:type="dxa"/>
          </w:tblCellMar>
        </w:tblPrEx>
        <w:trPr>
          <w:trHeight w:val="578"/>
        </w:trPr>
        <w:tc>
          <w:tcPr>
            <w:tcW w:w="8423"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er"/>
              <w:tabs>
                <w:tab w:val="clear" w:pos="4153"/>
                <w:tab w:val="clear" w:pos="8306"/>
              </w:tabs>
            </w:pPr>
          </w:p>
          <w:p w:rsidR="00CE51D5" w:rsidRDefault="00AF5728" w:rsidP="0076786A">
            <w:pPr>
              <w:pStyle w:val="Header"/>
              <w:tabs>
                <w:tab w:val="clear" w:pos="4153"/>
                <w:tab w:val="clear" w:pos="8306"/>
              </w:tabs>
              <w:rPr>
                <w:bCs/>
                <w:sz w:val="22"/>
                <w:szCs w:val="22"/>
              </w:rPr>
            </w:pPr>
            <w:r w:rsidRPr="000E3B7B">
              <w:rPr>
                <w:bCs/>
                <w:sz w:val="22"/>
                <w:szCs w:val="22"/>
              </w:rPr>
              <w:t>The</w:t>
            </w:r>
            <w:r w:rsidR="00052663">
              <w:rPr>
                <w:bCs/>
                <w:sz w:val="22"/>
                <w:szCs w:val="22"/>
              </w:rPr>
              <w:t xml:space="preserve"> Gas Safety and Servicing </w:t>
            </w:r>
            <w:r w:rsidR="00911D4F">
              <w:rPr>
                <w:bCs/>
                <w:sz w:val="22"/>
                <w:szCs w:val="22"/>
              </w:rPr>
              <w:t>Policy was</w:t>
            </w:r>
            <w:r w:rsidRPr="000E3B7B">
              <w:rPr>
                <w:bCs/>
                <w:sz w:val="22"/>
                <w:szCs w:val="22"/>
              </w:rPr>
              <w:t xml:space="preserve"> due to be reviewed and has been updated to ensure that it reflects current </w:t>
            </w:r>
            <w:r w:rsidR="008C1B2F" w:rsidRPr="000E3B7B">
              <w:rPr>
                <w:bCs/>
                <w:sz w:val="22"/>
                <w:szCs w:val="22"/>
              </w:rPr>
              <w:t>legislation.</w:t>
            </w:r>
            <w:r w:rsidR="0076786A">
              <w:rPr>
                <w:bCs/>
                <w:sz w:val="22"/>
                <w:szCs w:val="22"/>
              </w:rPr>
              <w:t xml:space="preserve"> </w:t>
            </w:r>
            <w:r w:rsidR="008C1B2F" w:rsidRPr="000E3B7B">
              <w:rPr>
                <w:bCs/>
                <w:sz w:val="22"/>
                <w:szCs w:val="22"/>
              </w:rPr>
              <w:t>There</w:t>
            </w:r>
            <w:r w:rsidR="000E3B7B" w:rsidRPr="000E3B7B">
              <w:rPr>
                <w:bCs/>
                <w:sz w:val="22"/>
                <w:szCs w:val="22"/>
              </w:rPr>
              <w:t xml:space="preserve"> have been no significant policy changes. </w:t>
            </w:r>
          </w:p>
          <w:p w:rsidR="00210A78" w:rsidRPr="000E3B7B" w:rsidRDefault="00210A78" w:rsidP="0076786A">
            <w:pPr>
              <w:pStyle w:val="Header"/>
              <w:tabs>
                <w:tab w:val="clear" w:pos="4153"/>
                <w:tab w:val="clear" w:pos="8306"/>
              </w:tabs>
              <w:rPr>
                <w:bCs/>
                <w:sz w:val="22"/>
                <w:szCs w:val="22"/>
              </w:rPr>
            </w:pPr>
          </w:p>
        </w:tc>
      </w:tr>
      <w:tr w:rsidR="004D4385" w:rsidTr="00FC19C8">
        <w:tblPrEx>
          <w:tblCellMar>
            <w:top w:w="0" w:type="dxa"/>
            <w:bottom w:w="0" w:type="dxa"/>
          </w:tblCellMar>
        </w:tblPrEx>
        <w:tc>
          <w:tcPr>
            <w:tcW w:w="8423"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EB6BCA">
            <w:pPr>
              <w:pStyle w:val="Header"/>
              <w:numPr>
                <w:ilvl w:val="0"/>
                <w:numId w:val="25"/>
              </w:numPr>
              <w:tabs>
                <w:tab w:val="clear" w:pos="4153"/>
                <w:tab w:val="clear" w:pos="8306"/>
              </w:tabs>
              <w:rPr>
                <w:b/>
                <w:bCs/>
              </w:rPr>
            </w:pPr>
            <w:r>
              <w:rPr>
                <w:b/>
                <w:bCs/>
              </w:rPr>
              <w:t xml:space="preserve">Summary of evidence used to support this assessment  </w:t>
            </w:r>
          </w:p>
          <w:p w:rsidR="004D4385" w:rsidRDefault="004D4385" w:rsidP="008F3510">
            <w:pPr>
              <w:pStyle w:val="Header"/>
              <w:numPr>
                <w:ilvl w:val="0"/>
                <w:numId w:val="9"/>
              </w:numPr>
              <w:tabs>
                <w:tab w:val="clear" w:pos="4153"/>
                <w:tab w:val="clear" w:pos="8306"/>
              </w:tabs>
              <w:rPr>
                <w:i/>
                <w:iCs/>
                <w:sz w:val="20"/>
              </w:rPr>
            </w:pPr>
            <w:r>
              <w:rPr>
                <w:i/>
                <w:iCs/>
                <w:sz w:val="20"/>
              </w:rPr>
              <w:t>Eg: Feedback from consultation, performance information, service user records etc.</w:t>
            </w:r>
          </w:p>
          <w:p w:rsidR="004D4385" w:rsidRDefault="004D4385" w:rsidP="008F3510">
            <w:pPr>
              <w:pStyle w:val="Header"/>
              <w:numPr>
                <w:ilvl w:val="0"/>
                <w:numId w:val="9"/>
              </w:numPr>
              <w:tabs>
                <w:tab w:val="clear" w:pos="4153"/>
                <w:tab w:val="clear" w:pos="8306"/>
              </w:tabs>
              <w:rPr>
                <w:rFonts w:cs="Arial"/>
                <w:b/>
                <w:bCs/>
              </w:rPr>
            </w:pPr>
            <w:r>
              <w:rPr>
                <w:i/>
                <w:iCs/>
                <w:sz w:val="20"/>
              </w:rPr>
              <w:t>Eg: Comparison of service user profile with Medway Community Profile</w:t>
            </w:r>
            <w:r>
              <w:rPr>
                <w:sz w:val="20"/>
              </w:rPr>
              <w:t xml:space="preserve"> </w:t>
            </w:r>
          </w:p>
        </w:tc>
      </w:tr>
      <w:tr w:rsidR="004D4385" w:rsidTr="00FC19C8">
        <w:tblPrEx>
          <w:tblCellMar>
            <w:top w:w="0" w:type="dxa"/>
            <w:bottom w:w="0" w:type="dxa"/>
          </w:tblCellMar>
        </w:tblPrEx>
        <w:tc>
          <w:tcPr>
            <w:tcW w:w="8423"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E41C0E" w:rsidRPr="00E41C0E" w:rsidRDefault="00E41C0E" w:rsidP="00E41C0E">
            <w:pPr>
              <w:pStyle w:val="Header"/>
              <w:tabs>
                <w:tab w:val="clear" w:pos="4153"/>
                <w:tab w:val="clear" w:pos="8306"/>
              </w:tabs>
              <w:rPr>
                <w:sz w:val="22"/>
                <w:szCs w:val="22"/>
              </w:rPr>
            </w:pPr>
          </w:p>
          <w:p w:rsidR="00E41C0E" w:rsidRPr="00E41C0E" w:rsidRDefault="00E41C0E" w:rsidP="00E41C0E">
            <w:pPr>
              <w:pStyle w:val="Header"/>
              <w:tabs>
                <w:tab w:val="clear" w:pos="4153"/>
                <w:tab w:val="clear" w:pos="8306"/>
              </w:tabs>
              <w:rPr>
                <w:sz w:val="22"/>
                <w:szCs w:val="22"/>
              </w:rPr>
            </w:pPr>
            <w:r w:rsidRPr="00E41C0E">
              <w:rPr>
                <w:sz w:val="22"/>
                <w:szCs w:val="22"/>
              </w:rPr>
              <w:t xml:space="preserve">Number of properties: = </w:t>
            </w:r>
            <w:r w:rsidR="00E36ED0">
              <w:rPr>
                <w:sz w:val="22"/>
                <w:szCs w:val="22"/>
              </w:rPr>
              <w:t>2996</w:t>
            </w:r>
          </w:p>
          <w:p w:rsidR="000B2138" w:rsidRPr="00E41C0E" w:rsidRDefault="00E36ED0" w:rsidP="00E41C0E">
            <w:pPr>
              <w:pStyle w:val="Header"/>
              <w:tabs>
                <w:tab w:val="clear" w:pos="4153"/>
                <w:tab w:val="clear" w:pos="8306"/>
              </w:tabs>
              <w:rPr>
                <w:sz w:val="22"/>
                <w:szCs w:val="22"/>
              </w:rPr>
            </w:pPr>
            <w:r>
              <w:rPr>
                <w:sz w:val="22"/>
                <w:szCs w:val="22"/>
              </w:rPr>
              <w:t>Number of properties requiring gas safety certification: 2743</w:t>
            </w:r>
          </w:p>
          <w:p w:rsidR="00763B90" w:rsidRDefault="00763B90" w:rsidP="00DC4DB4">
            <w:pPr>
              <w:pStyle w:val="Header"/>
              <w:tabs>
                <w:tab w:val="clear" w:pos="4153"/>
                <w:tab w:val="clear" w:pos="8306"/>
              </w:tabs>
              <w:rPr>
                <w:b/>
                <w:bCs/>
              </w:rPr>
            </w:pPr>
          </w:p>
        </w:tc>
      </w:tr>
      <w:tr w:rsidR="004D4385" w:rsidTr="00FC19C8">
        <w:tblPrEx>
          <w:tblCellMar>
            <w:top w:w="0" w:type="dxa"/>
            <w:bottom w:w="0" w:type="dxa"/>
          </w:tblCellMar>
        </w:tblPrEx>
        <w:trPr>
          <w:cantSplit/>
        </w:trPr>
        <w:tc>
          <w:tcPr>
            <w:tcW w:w="8423"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4D4385" w:rsidRDefault="004D4385" w:rsidP="00EB6BCA">
            <w:pPr>
              <w:pStyle w:val="Heading2"/>
              <w:numPr>
                <w:ilvl w:val="0"/>
                <w:numId w:val="25"/>
              </w:numPr>
              <w:rPr>
                <w:sz w:val="24"/>
              </w:rPr>
            </w:pPr>
            <w:r>
              <w:rPr>
                <w:sz w:val="24"/>
              </w:rPr>
              <w:t>What is the likely impact of the proposed change?</w:t>
            </w:r>
          </w:p>
          <w:p w:rsidR="004D4385" w:rsidRDefault="004D4385">
            <w:pPr>
              <w:pStyle w:val="Header"/>
              <w:tabs>
                <w:tab w:val="clear" w:pos="4153"/>
                <w:tab w:val="clear" w:pos="8306"/>
              </w:tabs>
              <w:rPr>
                <w:i/>
                <w:iCs/>
                <w:sz w:val="20"/>
              </w:rPr>
            </w:pPr>
            <w:r>
              <w:rPr>
                <w:i/>
                <w:iCs/>
                <w:sz w:val="20"/>
              </w:rPr>
              <w:t>Is it likely to :</w:t>
            </w:r>
          </w:p>
          <w:p w:rsidR="004D4385" w:rsidRDefault="004D4385" w:rsidP="008F3510">
            <w:pPr>
              <w:pStyle w:val="Header"/>
              <w:numPr>
                <w:ilvl w:val="0"/>
                <w:numId w:val="8"/>
              </w:numPr>
              <w:tabs>
                <w:tab w:val="clear" w:pos="4153"/>
                <w:tab w:val="clear" w:pos="8306"/>
              </w:tabs>
              <w:rPr>
                <w:i/>
                <w:iCs/>
                <w:sz w:val="20"/>
              </w:rPr>
            </w:pPr>
            <w:r>
              <w:rPr>
                <w:i/>
                <w:iCs/>
                <w:sz w:val="20"/>
              </w:rPr>
              <w:t xml:space="preserve">Adversely impact on one or more of the protected characteristic groups? </w:t>
            </w:r>
          </w:p>
          <w:p w:rsidR="004D4385" w:rsidRDefault="004D4385" w:rsidP="008F3510">
            <w:pPr>
              <w:pStyle w:val="Header"/>
              <w:numPr>
                <w:ilvl w:val="0"/>
                <w:numId w:val="8"/>
              </w:numPr>
              <w:tabs>
                <w:tab w:val="clear" w:pos="4153"/>
                <w:tab w:val="clear" w:pos="8306"/>
              </w:tabs>
              <w:rPr>
                <w:i/>
                <w:iCs/>
                <w:sz w:val="20"/>
              </w:rPr>
            </w:pPr>
            <w:r>
              <w:rPr>
                <w:i/>
                <w:iCs/>
                <w:sz w:val="20"/>
              </w:rPr>
              <w:t>Advance equality of opportunity for one or more of the protected characteristic groups?</w:t>
            </w:r>
          </w:p>
          <w:p w:rsidR="004D4385" w:rsidRDefault="004D4385" w:rsidP="00EB6BCA">
            <w:pPr>
              <w:pStyle w:val="Header"/>
              <w:numPr>
                <w:ilvl w:val="0"/>
                <w:numId w:val="8"/>
              </w:numPr>
              <w:tabs>
                <w:tab w:val="clear" w:pos="4153"/>
                <w:tab w:val="clear" w:pos="8306"/>
              </w:tabs>
              <w:rPr>
                <w:rFonts w:cs="Arial"/>
                <w:b/>
                <w:bCs/>
                <w:i/>
                <w:iCs/>
              </w:rPr>
            </w:pPr>
            <w:r>
              <w:rPr>
                <w:i/>
                <w:iCs/>
                <w:sz w:val="20"/>
              </w:rPr>
              <w:t>Foster good relations between people who share a protected characteristic and those who don’t?</w:t>
            </w:r>
            <w:r w:rsidR="00EB6BCA">
              <w:rPr>
                <w:i/>
                <w:iCs/>
                <w:sz w:val="16"/>
              </w:rPr>
              <w:t xml:space="preserve"> </w:t>
            </w:r>
            <w:r>
              <w:rPr>
                <w:b/>
                <w:bCs/>
                <w:i/>
                <w:iCs/>
                <w:sz w:val="16"/>
              </w:rPr>
              <w:t xml:space="preserve">(insert </w:t>
            </w:r>
            <w:r>
              <w:rPr>
                <w:b/>
                <w:bCs/>
                <w:i/>
                <w:iCs/>
                <w:sz w:val="16"/>
              </w:rPr>
              <w:sym w:font="Wingdings" w:char="F0FC"/>
            </w:r>
            <w:r>
              <w:rPr>
                <w:b/>
                <w:bCs/>
                <w:i/>
                <w:iCs/>
                <w:sz w:val="16"/>
              </w:rPr>
              <w:t xml:space="preserve"> in one or more boxes)</w:t>
            </w:r>
          </w:p>
        </w:tc>
      </w:tr>
      <w:tr w:rsidR="004D4385" w:rsidTr="00FC19C8">
        <w:tblPrEx>
          <w:tblCellMar>
            <w:top w:w="0" w:type="dxa"/>
            <w:bottom w:w="0" w:type="dxa"/>
          </w:tblCellMar>
        </w:tblPrEx>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Protected characteristic groups</w:t>
            </w: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Adverse impact</w:t>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Advance equality</w:t>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Foster good relations</w:t>
            </w:r>
          </w:p>
        </w:tc>
      </w:tr>
      <w:tr w:rsidR="004D4385" w:rsidTr="00FC19C8">
        <w:tblPrEx>
          <w:tblCellMar>
            <w:top w:w="0" w:type="dxa"/>
            <w:bottom w:w="0" w:type="dxa"/>
          </w:tblCellMar>
        </w:tblPrEx>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 xml:space="preserve">Age </w:t>
            </w:r>
          </w:p>
          <w:p w:rsidR="004D4385" w:rsidRDefault="004D4385">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FC19C8">
        <w:tblPrEx>
          <w:tblCellMar>
            <w:top w:w="0" w:type="dxa"/>
            <w:bottom w:w="0" w:type="dxa"/>
          </w:tblCellMar>
        </w:tblPrEx>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Disabilty</w:t>
            </w:r>
          </w:p>
          <w:p w:rsidR="004D4385" w:rsidRDefault="004D4385">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7D722A">
            <w:pPr>
              <w:jc w:val="center"/>
              <w:rPr>
                <w:rFonts w:cs="Arial"/>
                <w:b/>
                <w:bCs/>
                <w:noProof/>
                <w:lang w:val="en-US"/>
              </w:rPr>
            </w:pPr>
            <w:r>
              <w:rPr>
                <w:rFonts w:cs="Arial"/>
                <w:b/>
                <w:bCs/>
                <w:noProof/>
                <w:lang w:val="en-US"/>
              </w:rPr>
              <w:sym w:font="Wingdings" w:char="F0FC"/>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FC19C8">
        <w:tblPrEx>
          <w:tblCellMar>
            <w:top w:w="0" w:type="dxa"/>
            <w:bottom w:w="0" w:type="dxa"/>
          </w:tblCellMar>
        </w:tblPrEx>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Gender reassignment</w:t>
            </w:r>
            <w:r>
              <w:rPr>
                <w:rFonts w:cs="Arial"/>
                <w:b/>
                <w:bCs/>
                <w:noProof/>
                <w:sz w:val="22"/>
                <w:lang w:val="en-US"/>
              </w:rPr>
              <w:t xml:space="preserve"> </w:t>
            </w:r>
          </w:p>
          <w:p w:rsidR="004D4385" w:rsidRDefault="004D4385">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FC19C8">
        <w:tblPrEx>
          <w:tblCellMar>
            <w:top w:w="0" w:type="dxa"/>
            <w:bottom w:w="0" w:type="dxa"/>
          </w:tblCellMar>
        </w:tblPrEx>
        <w:trPr>
          <w:trHeight w:val="538"/>
        </w:trPr>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Marriage/civil partnership</w:t>
            </w: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FC19C8">
        <w:tblPrEx>
          <w:tblCellMar>
            <w:top w:w="0" w:type="dxa"/>
            <w:bottom w:w="0" w:type="dxa"/>
          </w:tblCellMar>
        </w:tblPrEx>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sz w:val="22"/>
              </w:rPr>
            </w:pPr>
            <w:r>
              <w:rPr>
                <w:rFonts w:cs="Arial"/>
                <w:b/>
                <w:bCs/>
                <w:sz w:val="22"/>
              </w:rPr>
              <w:t>Pregnancy/maternity</w:t>
            </w:r>
          </w:p>
          <w:p w:rsidR="004D4385" w:rsidRDefault="004D4385">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FC19C8">
        <w:tblPrEx>
          <w:tblCellMar>
            <w:top w:w="0" w:type="dxa"/>
            <w:bottom w:w="0" w:type="dxa"/>
          </w:tblCellMar>
        </w:tblPrEx>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Race</w:t>
            </w:r>
          </w:p>
          <w:p w:rsidR="004D4385" w:rsidRDefault="004D4385">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FC19C8">
        <w:tblPrEx>
          <w:tblCellMar>
            <w:top w:w="0" w:type="dxa"/>
            <w:bottom w:w="0" w:type="dxa"/>
          </w:tblCellMar>
        </w:tblPrEx>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ing6"/>
              <w:rPr>
                <w:rFonts w:cs="Arial"/>
              </w:rPr>
            </w:pPr>
            <w:r>
              <w:rPr>
                <w:rFonts w:cs="Arial"/>
              </w:rPr>
              <w:lastRenderedPageBreak/>
              <w:t>Religion/belief</w:t>
            </w:r>
          </w:p>
          <w:p w:rsidR="004D4385" w:rsidRDefault="004D4385">
            <w:pPr>
              <w:rPr>
                <w:rFonts w:cs="Arial"/>
                <w:b/>
                <w:bCs/>
                <w:noProof/>
                <w:sz w:val="22"/>
                <w:lang w:val="en-US"/>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FC19C8">
        <w:tblPrEx>
          <w:tblCellMar>
            <w:top w:w="0" w:type="dxa"/>
            <w:bottom w:w="0" w:type="dxa"/>
          </w:tblCellMar>
        </w:tblPrEx>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sz w:val="22"/>
              </w:rPr>
            </w:pPr>
            <w:r>
              <w:rPr>
                <w:rFonts w:cs="Arial"/>
                <w:b/>
                <w:bCs/>
                <w:sz w:val="22"/>
              </w:rPr>
              <w:t>Sex</w:t>
            </w:r>
          </w:p>
          <w:p w:rsidR="004D4385" w:rsidRDefault="004D4385">
            <w:pPr>
              <w:rPr>
                <w:rFonts w:cs="Arial"/>
                <w:b/>
                <w:bCs/>
                <w:sz w:val="22"/>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FC19C8">
        <w:tblPrEx>
          <w:tblCellMar>
            <w:top w:w="0" w:type="dxa"/>
            <w:bottom w:w="0" w:type="dxa"/>
          </w:tblCellMar>
        </w:tblPrEx>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sz w:val="22"/>
              </w:rPr>
            </w:pPr>
            <w:r>
              <w:rPr>
                <w:rFonts w:cs="Arial"/>
                <w:b/>
                <w:bCs/>
                <w:sz w:val="22"/>
              </w:rPr>
              <w:t>Sexual orientation</w:t>
            </w:r>
          </w:p>
          <w:p w:rsidR="004D4385" w:rsidRDefault="004D4385">
            <w:pPr>
              <w:rPr>
                <w:rFonts w:cs="Arial"/>
                <w:b/>
                <w:bCs/>
                <w:sz w:val="22"/>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FC19C8">
        <w:tblPrEx>
          <w:tblCellMar>
            <w:top w:w="0" w:type="dxa"/>
            <w:bottom w:w="0" w:type="dxa"/>
          </w:tblCellMar>
        </w:tblPrEx>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sz w:val="22"/>
              </w:rPr>
            </w:pPr>
            <w:r>
              <w:rPr>
                <w:rFonts w:cs="Arial"/>
                <w:b/>
                <w:bCs/>
                <w:sz w:val="22"/>
              </w:rPr>
              <w:t>Other (eg low income groups)</w:t>
            </w:r>
          </w:p>
          <w:p w:rsidR="004D4385" w:rsidRDefault="004D4385">
            <w:pPr>
              <w:rPr>
                <w:rFonts w:cs="Arial"/>
                <w:b/>
                <w:bCs/>
                <w:sz w:val="22"/>
              </w:rPr>
            </w:pPr>
          </w:p>
        </w:tc>
        <w:tc>
          <w:tcPr>
            <w:tcW w:w="172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rsidP="00DC4DB4">
            <w:pP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FC19C8">
        <w:tblPrEx>
          <w:tblCellMar>
            <w:top w:w="0" w:type="dxa"/>
            <w:bottom w:w="0" w:type="dxa"/>
          </w:tblCellMar>
        </w:tblPrEx>
        <w:tc>
          <w:tcPr>
            <w:tcW w:w="8423"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EB6BCA">
            <w:pPr>
              <w:pStyle w:val="Header"/>
              <w:numPr>
                <w:ilvl w:val="0"/>
                <w:numId w:val="25"/>
              </w:numPr>
              <w:tabs>
                <w:tab w:val="clear" w:pos="4153"/>
                <w:tab w:val="clear" w:pos="8306"/>
              </w:tabs>
              <w:rPr>
                <w:b/>
                <w:bCs/>
              </w:rPr>
            </w:pPr>
            <w:r>
              <w:rPr>
                <w:b/>
                <w:bCs/>
              </w:rPr>
              <w:t xml:space="preserve">Summary of the likely impacts </w:t>
            </w:r>
          </w:p>
          <w:p w:rsidR="004D4385" w:rsidRDefault="004D4385" w:rsidP="008F3510">
            <w:pPr>
              <w:pStyle w:val="Header"/>
              <w:numPr>
                <w:ilvl w:val="0"/>
                <w:numId w:val="10"/>
              </w:numPr>
              <w:tabs>
                <w:tab w:val="clear" w:pos="4153"/>
                <w:tab w:val="clear" w:pos="8306"/>
              </w:tabs>
              <w:rPr>
                <w:i/>
                <w:iCs/>
                <w:sz w:val="20"/>
              </w:rPr>
            </w:pPr>
            <w:r>
              <w:rPr>
                <w:i/>
                <w:iCs/>
                <w:sz w:val="20"/>
              </w:rPr>
              <w:t>Who will be affected?</w:t>
            </w:r>
          </w:p>
          <w:p w:rsidR="004D4385" w:rsidRDefault="004D4385" w:rsidP="008F3510">
            <w:pPr>
              <w:pStyle w:val="Header"/>
              <w:numPr>
                <w:ilvl w:val="0"/>
                <w:numId w:val="10"/>
              </w:numPr>
              <w:tabs>
                <w:tab w:val="clear" w:pos="4153"/>
                <w:tab w:val="clear" w:pos="8306"/>
              </w:tabs>
              <w:rPr>
                <w:sz w:val="16"/>
              </w:rPr>
            </w:pPr>
            <w:r>
              <w:rPr>
                <w:i/>
                <w:iCs/>
                <w:sz w:val="20"/>
              </w:rPr>
              <w:t>How will they be affected?</w:t>
            </w:r>
            <w:r>
              <w:rPr>
                <w:sz w:val="20"/>
              </w:rPr>
              <w:t xml:space="preserve"> </w:t>
            </w:r>
          </w:p>
        </w:tc>
      </w:tr>
      <w:tr w:rsidR="004D4385" w:rsidTr="00FC19C8">
        <w:tblPrEx>
          <w:tblCellMar>
            <w:top w:w="0" w:type="dxa"/>
            <w:bottom w:w="0" w:type="dxa"/>
          </w:tblCellMar>
        </w:tblPrEx>
        <w:tc>
          <w:tcPr>
            <w:tcW w:w="8423"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1279A5" w:rsidRDefault="008C1B2F" w:rsidP="008B4848">
            <w:pPr>
              <w:pStyle w:val="BodyText2"/>
              <w:jc w:val="left"/>
              <w:rPr>
                <w:b w:val="0"/>
                <w:szCs w:val="22"/>
              </w:rPr>
            </w:pPr>
            <w:r w:rsidRPr="00FC19C8">
              <w:rPr>
                <w:b w:val="0"/>
                <w:szCs w:val="22"/>
              </w:rPr>
              <w:t xml:space="preserve">It has not been identified that this policy will have a negative impact on any protected characteristic. </w:t>
            </w:r>
            <w:r w:rsidR="000B2138">
              <w:rPr>
                <w:b w:val="0"/>
                <w:szCs w:val="22"/>
              </w:rPr>
              <w:t xml:space="preserve"> There may be some residents that do not wish to give us access to the property.  However the gas safety and servicing policy has been put into place to ensure the safety of our residents and employees.  It is a legal requirement that we carry out the gas service.</w:t>
            </w:r>
          </w:p>
          <w:p w:rsidR="000B2138" w:rsidRPr="001279A5" w:rsidRDefault="000B2138" w:rsidP="008B4848">
            <w:pPr>
              <w:pStyle w:val="BodyText2"/>
              <w:jc w:val="left"/>
              <w:rPr>
                <w:b w:val="0"/>
                <w:szCs w:val="22"/>
              </w:rPr>
            </w:pPr>
          </w:p>
          <w:p w:rsidR="001279A5" w:rsidRPr="001279A5" w:rsidRDefault="001279A5" w:rsidP="001279A5">
            <w:pPr>
              <w:spacing w:after="200" w:line="276" w:lineRule="auto"/>
              <w:contextualSpacing/>
              <w:rPr>
                <w:rFonts w:eastAsia="Calibri" w:cs="Arial"/>
                <w:sz w:val="22"/>
                <w:szCs w:val="22"/>
              </w:rPr>
            </w:pPr>
            <w:r w:rsidRPr="001279A5">
              <w:rPr>
                <w:rFonts w:eastAsia="Calibri" w:cs="Arial"/>
                <w:sz w:val="22"/>
                <w:szCs w:val="22"/>
              </w:rPr>
              <w:t>Residents as stated in their tenancy agreement are required to give council employees or people authorised by the council, access into their property to carry out gas servicing.  Housing Services take all reasonable steps to ensure access to a property to complete a gas safety check.</w:t>
            </w:r>
          </w:p>
          <w:p w:rsidR="008B4848" w:rsidRPr="001279A5" w:rsidRDefault="001279A5" w:rsidP="001279A5">
            <w:pPr>
              <w:spacing w:after="200" w:line="276" w:lineRule="auto"/>
              <w:contextualSpacing/>
              <w:rPr>
                <w:rFonts w:eastAsia="Calibri" w:cs="Arial"/>
                <w:sz w:val="22"/>
                <w:szCs w:val="22"/>
              </w:rPr>
            </w:pPr>
            <w:r w:rsidRPr="001279A5">
              <w:rPr>
                <w:rFonts w:eastAsia="Calibri" w:cs="Arial"/>
                <w:sz w:val="22"/>
                <w:szCs w:val="22"/>
              </w:rPr>
              <w:t>Legal action will be taken against residents that do not respond to requests to complete a gas safety check, or consistently refuse access to their property.  In such cases to fulfil our legal obligation as landlord action will be taken to obtain a Court Order to enter the property.  Legal action will only be taken as a last resort.</w:t>
            </w:r>
          </w:p>
        </w:tc>
      </w:tr>
      <w:tr w:rsidR="004D4385" w:rsidTr="00FC19C8">
        <w:tblPrEx>
          <w:tblCellMar>
            <w:top w:w="0" w:type="dxa"/>
            <w:bottom w:w="0" w:type="dxa"/>
          </w:tblCellMar>
        </w:tblPrEx>
        <w:tc>
          <w:tcPr>
            <w:tcW w:w="8423"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EB6BCA">
            <w:pPr>
              <w:pStyle w:val="Header"/>
              <w:numPr>
                <w:ilvl w:val="0"/>
                <w:numId w:val="25"/>
              </w:numPr>
              <w:tabs>
                <w:tab w:val="clear" w:pos="4153"/>
                <w:tab w:val="clear" w:pos="8306"/>
              </w:tabs>
              <w:rPr>
                <w:b/>
                <w:bCs/>
              </w:rPr>
            </w:pPr>
            <w:r>
              <w:rPr>
                <w:b/>
                <w:bCs/>
              </w:rPr>
              <w:t>What actions can be taken to mitigate likely adverse</w:t>
            </w:r>
            <w:r>
              <w:rPr>
                <w:b/>
                <w:bCs/>
                <w:sz w:val="28"/>
              </w:rPr>
              <w:t xml:space="preserve"> </w:t>
            </w:r>
            <w:r>
              <w:rPr>
                <w:b/>
                <w:bCs/>
              </w:rPr>
              <w:t>impacts, improve equality of opportunity or foster good relations?</w:t>
            </w:r>
          </w:p>
          <w:p w:rsidR="004D4385" w:rsidRDefault="004D4385" w:rsidP="008F3510">
            <w:pPr>
              <w:pStyle w:val="Header"/>
              <w:numPr>
                <w:ilvl w:val="0"/>
                <w:numId w:val="11"/>
              </w:numPr>
              <w:tabs>
                <w:tab w:val="clear" w:pos="4153"/>
                <w:tab w:val="clear" w:pos="8306"/>
              </w:tabs>
              <w:rPr>
                <w:i/>
                <w:iCs/>
                <w:sz w:val="20"/>
              </w:rPr>
            </w:pPr>
            <w:r>
              <w:rPr>
                <w:i/>
                <w:iCs/>
                <w:sz w:val="20"/>
              </w:rPr>
              <w:t>Are there alternative providers?</w:t>
            </w:r>
          </w:p>
          <w:p w:rsidR="004D4385" w:rsidRDefault="004D4385" w:rsidP="008F3510">
            <w:pPr>
              <w:pStyle w:val="Header"/>
              <w:numPr>
                <w:ilvl w:val="0"/>
                <w:numId w:val="11"/>
              </w:numPr>
              <w:tabs>
                <w:tab w:val="clear" w:pos="4153"/>
                <w:tab w:val="clear" w:pos="8306"/>
              </w:tabs>
              <w:rPr>
                <w:i/>
                <w:iCs/>
                <w:sz w:val="20"/>
              </w:rPr>
            </w:pPr>
            <w:r>
              <w:rPr>
                <w:i/>
                <w:iCs/>
                <w:sz w:val="20"/>
              </w:rPr>
              <w:t>What alternative ways can the Council provide the service?</w:t>
            </w:r>
          </w:p>
          <w:p w:rsidR="004D4385" w:rsidRDefault="004D4385" w:rsidP="008F3510">
            <w:pPr>
              <w:pStyle w:val="Header"/>
              <w:numPr>
                <w:ilvl w:val="0"/>
                <w:numId w:val="11"/>
              </w:numPr>
              <w:tabs>
                <w:tab w:val="clear" w:pos="4153"/>
                <w:tab w:val="clear" w:pos="8306"/>
              </w:tabs>
              <w:rPr>
                <w:b/>
                <w:bCs/>
              </w:rPr>
            </w:pPr>
            <w:r>
              <w:rPr>
                <w:i/>
                <w:iCs/>
                <w:sz w:val="20"/>
              </w:rPr>
              <w:t>Can demand for services be managed differently?</w:t>
            </w:r>
          </w:p>
        </w:tc>
      </w:tr>
      <w:tr w:rsidR="004D4385" w:rsidTr="00FC19C8">
        <w:tblPrEx>
          <w:tblCellMar>
            <w:top w:w="0" w:type="dxa"/>
            <w:bottom w:w="0" w:type="dxa"/>
          </w:tblCellMar>
        </w:tblPrEx>
        <w:trPr>
          <w:cantSplit/>
        </w:trPr>
        <w:tc>
          <w:tcPr>
            <w:tcW w:w="8423"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0B2138" w:rsidRDefault="000B2138" w:rsidP="00FC19C8">
            <w:pPr>
              <w:pStyle w:val="ListParagraph"/>
              <w:ind w:left="0"/>
              <w:contextualSpacing/>
              <w:rPr>
                <w:rFonts w:eastAsia="Calibri"/>
                <w:sz w:val="22"/>
                <w:szCs w:val="22"/>
              </w:rPr>
            </w:pPr>
            <w:r>
              <w:rPr>
                <w:rFonts w:eastAsia="Calibri"/>
                <w:sz w:val="22"/>
                <w:szCs w:val="22"/>
              </w:rPr>
              <w:lastRenderedPageBreak/>
              <w:t>Whilst carrying out</w:t>
            </w:r>
            <w:r w:rsidR="007D722A">
              <w:rPr>
                <w:rFonts w:eastAsia="Calibri"/>
                <w:sz w:val="22"/>
                <w:szCs w:val="22"/>
              </w:rPr>
              <w:t xml:space="preserve"> gas servicing is statutory we aim to deliver and adapt our service in order to make is accessible to all our residents.</w:t>
            </w:r>
            <w:r>
              <w:rPr>
                <w:rFonts w:eastAsia="Calibri"/>
                <w:sz w:val="22"/>
                <w:szCs w:val="22"/>
              </w:rPr>
              <w:t xml:space="preserve"> </w:t>
            </w:r>
          </w:p>
          <w:p w:rsidR="00FC19C8" w:rsidRPr="008F3364" w:rsidRDefault="00FC19C8" w:rsidP="00FC19C8">
            <w:pPr>
              <w:pStyle w:val="ListParagraph"/>
              <w:ind w:left="0"/>
              <w:contextualSpacing/>
              <w:rPr>
                <w:rFonts w:eastAsia="Calibri"/>
              </w:rPr>
            </w:pPr>
            <w:r w:rsidRPr="008F3364">
              <w:rPr>
                <w:rFonts w:eastAsia="Calibri"/>
                <w:sz w:val="22"/>
                <w:szCs w:val="22"/>
              </w:rPr>
              <w:t>Residents will be written to offering them an appointment for a gas safety check and service to be carried out.  Every effort will be made to work with residents to make an appointment at a time that is convenient</w:t>
            </w:r>
            <w:r w:rsidRPr="008F3364">
              <w:rPr>
                <w:rFonts w:eastAsia="Calibri"/>
              </w:rPr>
              <w:t>.</w:t>
            </w:r>
            <w:r>
              <w:rPr>
                <w:rFonts w:eastAsia="Calibri"/>
              </w:rPr>
              <w:t xml:space="preserve"> </w:t>
            </w:r>
            <w:r w:rsidRPr="008F3364">
              <w:rPr>
                <w:rFonts w:eastAsia="Calibri"/>
                <w:sz w:val="22"/>
                <w:szCs w:val="22"/>
              </w:rPr>
              <w:t>Housing Services will make efforts to provide out of hours appointments where it is required by residents</w:t>
            </w:r>
            <w:r w:rsidRPr="008F3364">
              <w:rPr>
                <w:rFonts w:eastAsia="Calibri"/>
              </w:rPr>
              <w:t>.</w:t>
            </w:r>
          </w:p>
          <w:p w:rsidR="00FC19C8" w:rsidRPr="00FC19C8" w:rsidRDefault="00FC19C8" w:rsidP="00FC19C8">
            <w:pPr>
              <w:spacing w:after="200" w:line="276" w:lineRule="auto"/>
              <w:contextualSpacing/>
              <w:rPr>
                <w:rFonts w:eastAsia="Calibri" w:cs="Arial"/>
                <w:sz w:val="22"/>
                <w:szCs w:val="22"/>
              </w:rPr>
            </w:pPr>
            <w:r w:rsidRPr="00FC19C8">
              <w:rPr>
                <w:rFonts w:eastAsia="Calibri" w:cs="Arial"/>
                <w:sz w:val="22"/>
                <w:szCs w:val="22"/>
              </w:rPr>
              <w:t>Customer profiling will be used to schedule gas safety checks, services and repairs to our more vulnerable households during the summer months. Customer profiling will also be used to identify tenants who may have difficultly interpreting appointment letters due to English not being a first language and/or sensory impairments and the Council will make efforts to use more suitable methods.</w:t>
            </w:r>
          </w:p>
          <w:p w:rsidR="001279A5" w:rsidRPr="001279A5" w:rsidRDefault="001279A5" w:rsidP="001279A5">
            <w:pPr>
              <w:pStyle w:val="ListParagraph"/>
              <w:ind w:left="0"/>
              <w:contextualSpacing/>
              <w:rPr>
                <w:rFonts w:eastAsia="Calibri"/>
                <w:sz w:val="22"/>
                <w:szCs w:val="22"/>
              </w:rPr>
            </w:pPr>
            <w:r w:rsidRPr="001279A5">
              <w:rPr>
                <w:sz w:val="22"/>
                <w:szCs w:val="22"/>
              </w:rPr>
              <w:t>To keep tenants informed</w:t>
            </w:r>
            <w:r w:rsidRPr="00F27E33">
              <w:rPr>
                <w:rFonts w:eastAsia="Calibri"/>
                <w:sz w:val="22"/>
                <w:szCs w:val="22"/>
              </w:rPr>
              <w:t xml:space="preserve"> </w:t>
            </w:r>
            <w:r w:rsidRPr="001279A5">
              <w:rPr>
                <w:rFonts w:eastAsia="Calibri"/>
                <w:sz w:val="22"/>
                <w:szCs w:val="22"/>
              </w:rPr>
              <w:t>Annual gas safety checks will be promoted to tenants through tenant’s newsletters, information leaflets and ‘sign up’ procedures.</w:t>
            </w:r>
          </w:p>
          <w:p w:rsidR="004D4385" w:rsidRPr="00EB6BCA" w:rsidRDefault="00FC19C8" w:rsidP="00DC4DB4">
            <w:pPr>
              <w:pStyle w:val="Header"/>
              <w:tabs>
                <w:tab w:val="clear" w:pos="4153"/>
                <w:tab w:val="clear" w:pos="8306"/>
              </w:tabs>
              <w:rPr>
                <w:b/>
                <w:bCs/>
                <w:sz w:val="22"/>
                <w:szCs w:val="22"/>
              </w:rPr>
            </w:pPr>
            <w:r w:rsidRPr="008B4848">
              <w:rPr>
                <w:sz w:val="22"/>
                <w:szCs w:val="22"/>
              </w:rPr>
              <w:t>Complaints will be monitored to identify any trends and this DIA may need review if any negative trends are identified.</w:t>
            </w:r>
          </w:p>
        </w:tc>
      </w:tr>
      <w:tr w:rsidR="004D4385" w:rsidTr="00FC19C8">
        <w:tblPrEx>
          <w:tblCellMar>
            <w:top w:w="0" w:type="dxa"/>
            <w:bottom w:w="0" w:type="dxa"/>
          </w:tblCellMar>
        </w:tblPrEx>
        <w:tc>
          <w:tcPr>
            <w:tcW w:w="8423"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EB6BCA">
            <w:pPr>
              <w:pStyle w:val="Heading2"/>
              <w:numPr>
                <w:ilvl w:val="0"/>
                <w:numId w:val="25"/>
              </w:numPr>
              <w:rPr>
                <w:sz w:val="24"/>
              </w:rPr>
            </w:pPr>
            <w:r>
              <w:rPr>
                <w:sz w:val="24"/>
              </w:rPr>
              <w:t>Action plan</w:t>
            </w:r>
          </w:p>
          <w:p w:rsidR="004D4385" w:rsidRDefault="004D4385" w:rsidP="008F3510">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4D4385" w:rsidTr="00FC19C8">
        <w:tblPrEx>
          <w:tblCellMar>
            <w:top w:w="0" w:type="dxa"/>
            <w:bottom w:w="0" w:type="dxa"/>
          </w:tblCellMar>
        </w:tblPrEx>
        <w:tc>
          <w:tcPr>
            <w:tcW w:w="5749" w:type="dxa"/>
            <w:gridSpan w:val="5"/>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Action</w:t>
            </w:r>
          </w:p>
        </w:tc>
        <w:tc>
          <w:tcPr>
            <w:tcW w:w="1339"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Lead</w:t>
            </w:r>
          </w:p>
        </w:tc>
        <w:tc>
          <w:tcPr>
            <w:tcW w:w="133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Deadline or review date</w:t>
            </w:r>
          </w:p>
        </w:tc>
      </w:tr>
      <w:tr w:rsidR="004D4385" w:rsidTr="00FC19C8">
        <w:tblPrEx>
          <w:tblCellMar>
            <w:top w:w="0" w:type="dxa"/>
            <w:bottom w:w="0" w:type="dxa"/>
          </w:tblCellMar>
        </w:tblPrEx>
        <w:tc>
          <w:tcPr>
            <w:tcW w:w="5749"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743C5D" w:rsidRDefault="003E49D8">
            <w:pPr>
              <w:rPr>
                <w:rFonts w:cs="Arial"/>
                <w:sz w:val="22"/>
                <w:szCs w:val="22"/>
              </w:rPr>
            </w:pPr>
            <w:r>
              <w:rPr>
                <w:rFonts w:cs="Arial"/>
                <w:sz w:val="22"/>
                <w:szCs w:val="22"/>
              </w:rPr>
              <w:t>Monitor c</w:t>
            </w:r>
            <w:r w:rsidR="009E1CFC" w:rsidRPr="00743C5D">
              <w:rPr>
                <w:rFonts w:cs="Arial"/>
                <w:sz w:val="22"/>
                <w:szCs w:val="22"/>
              </w:rPr>
              <w:t xml:space="preserve">omplaints to </w:t>
            </w:r>
            <w:r w:rsidR="009E1CFC" w:rsidRPr="00743C5D">
              <w:rPr>
                <w:sz w:val="22"/>
                <w:szCs w:val="22"/>
              </w:rPr>
              <w:t xml:space="preserve">identify any negative trends with regards to the </w:t>
            </w:r>
            <w:r w:rsidR="00FC19C8">
              <w:rPr>
                <w:sz w:val="22"/>
                <w:szCs w:val="22"/>
              </w:rPr>
              <w:t>Gas Safety and Servicing Policy.</w:t>
            </w:r>
          </w:p>
        </w:tc>
        <w:tc>
          <w:tcPr>
            <w:tcW w:w="133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06653" w:rsidRPr="00E36ED0" w:rsidRDefault="00743C5D" w:rsidP="00B06653">
            <w:pPr>
              <w:pStyle w:val="Header"/>
              <w:rPr>
                <w:sz w:val="20"/>
                <w:szCs w:val="22"/>
              </w:rPr>
            </w:pPr>
            <w:r w:rsidRPr="00E36ED0">
              <w:rPr>
                <w:rFonts w:cs="Arial"/>
                <w:sz w:val="20"/>
                <w:szCs w:val="22"/>
              </w:rPr>
              <w:t>Policy and Partnership manager</w:t>
            </w:r>
          </w:p>
          <w:p w:rsidR="004D4385" w:rsidRPr="00743C5D" w:rsidRDefault="004D4385" w:rsidP="00E36ED0">
            <w:pPr>
              <w:rPr>
                <w:rFonts w:cs="Arial"/>
                <w:sz w:val="22"/>
                <w:szCs w:val="22"/>
              </w:rPr>
            </w:pPr>
          </w:p>
        </w:tc>
        <w:tc>
          <w:tcPr>
            <w:tcW w:w="1335"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743C5D" w:rsidRDefault="00E36ED0">
            <w:pPr>
              <w:jc w:val="center"/>
              <w:rPr>
                <w:rFonts w:cs="Arial"/>
                <w:sz w:val="22"/>
                <w:szCs w:val="22"/>
              </w:rPr>
            </w:pPr>
            <w:r>
              <w:rPr>
                <w:rFonts w:cs="Arial"/>
                <w:sz w:val="22"/>
                <w:szCs w:val="22"/>
              </w:rPr>
              <w:t>Ongoing</w:t>
            </w:r>
          </w:p>
        </w:tc>
      </w:tr>
      <w:tr w:rsidR="004D4385" w:rsidTr="00FC19C8">
        <w:tblPrEx>
          <w:tblCellMar>
            <w:top w:w="0" w:type="dxa"/>
            <w:bottom w:w="0" w:type="dxa"/>
          </w:tblCellMar>
        </w:tblPrEx>
        <w:tc>
          <w:tcPr>
            <w:tcW w:w="5749"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rPr>
                <w:rFonts w:cs="Arial"/>
              </w:rPr>
            </w:pPr>
          </w:p>
        </w:tc>
        <w:tc>
          <w:tcPr>
            <w:tcW w:w="133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rPr>
            </w:pPr>
          </w:p>
        </w:tc>
        <w:tc>
          <w:tcPr>
            <w:tcW w:w="1335"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rPr>
            </w:pPr>
          </w:p>
        </w:tc>
      </w:tr>
      <w:tr w:rsidR="004D4385" w:rsidTr="00FC19C8">
        <w:tblPrEx>
          <w:tblCellMar>
            <w:top w:w="0" w:type="dxa"/>
            <w:bottom w:w="0" w:type="dxa"/>
          </w:tblCellMar>
        </w:tblPrEx>
        <w:tc>
          <w:tcPr>
            <w:tcW w:w="5749"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rPr>
                <w:rFonts w:cs="Arial"/>
              </w:rPr>
            </w:pPr>
          </w:p>
        </w:tc>
        <w:tc>
          <w:tcPr>
            <w:tcW w:w="133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rPr>
            </w:pPr>
          </w:p>
        </w:tc>
        <w:tc>
          <w:tcPr>
            <w:tcW w:w="1335"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rPr>
            </w:pPr>
          </w:p>
        </w:tc>
      </w:tr>
      <w:tr w:rsidR="004D4385" w:rsidTr="00FC19C8">
        <w:tblPrEx>
          <w:tblCellMar>
            <w:top w:w="0" w:type="dxa"/>
            <w:bottom w:w="0" w:type="dxa"/>
          </w:tblCellMar>
        </w:tblPrEx>
        <w:tc>
          <w:tcPr>
            <w:tcW w:w="8423"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EB6BCA">
            <w:pPr>
              <w:pStyle w:val="Heading2"/>
              <w:numPr>
                <w:ilvl w:val="0"/>
                <w:numId w:val="25"/>
              </w:numPr>
              <w:rPr>
                <w:sz w:val="24"/>
              </w:rPr>
            </w:pPr>
            <w:r>
              <w:rPr>
                <w:sz w:val="24"/>
              </w:rPr>
              <w:t>Recommendation</w:t>
            </w:r>
          </w:p>
          <w:p w:rsidR="004D4385" w:rsidRDefault="004D4385">
            <w:pPr>
              <w:pStyle w:val="Header"/>
              <w:tabs>
                <w:tab w:val="clear" w:pos="4153"/>
                <w:tab w:val="clear" w:pos="8306"/>
              </w:tabs>
              <w:rPr>
                <w:i/>
                <w:iCs/>
                <w:sz w:val="20"/>
              </w:rPr>
            </w:pPr>
            <w:r>
              <w:rPr>
                <w:i/>
                <w:iCs/>
                <w:sz w:val="20"/>
              </w:rPr>
              <w:t>The recommendation by the lead officer should be stated below. This  may be:</w:t>
            </w:r>
          </w:p>
          <w:p w:rsidR="004D4385" w:rsidRDefault="004D4385" w:rsidP="008F3510">
            <w:pPr>
              <w:pStyle w:val="Header"/>
              <w:numPr>
                <w:ilvl w:val="0"/>
                <w:numId w:val="12"/>
              </w:numPr>
              <w:tabs>
                <w:tab w:val="clear" w:pos="4153"/>
                <w:tab w:val="clear" w:pos="8306"/>
              </w:tabs>
              <w:rPr>
                <w:i/>
                <w:iCs/>
                <w:sz w:val="20"/>
              </w:rPr>
            </w:pPr>
            <w:r>
              <w:rPr>
                <w:i/>
                <w:iCs/>
                <w:sz w:val="20"/>
              </w:rPr>
              <w:t xml:space="preserve">to proceed with the change, implementing </w:t>
            </w:r>
            <w:r w:rsidR="00435E08">
              <w:rPr>
                <w:i/>
                <w:iCs/>
                <w:sz w:val="20"/>
              </w:rPr>
              <w:t>the A</w:t>
            </w:r>
            <w:r>
              <w:rPr>
                <w:i/>
                <w:iCs/>
                <w:sz w:val="20"/>
              </w:rPr>
              <w:t>ction</w:t>
            </w:r>
            <w:r w:rsidR="00435E08">
              <w:rPr>
                <w:i/>
                <w:iCs/>
                <w:sz w:val="20"/>
              </w:rPr>
              <w:t xml:space="preserve"> P</w:t>
            </w:r>
            <w:r>
              <w:rPr>
                <w:i/>
                <w:iCs/>
                <w:sz w:val="20"/>
              </w:rPr>
              <w:t>lan if appropriate</w:t>
            </w:r>
          </w:p>
          <w:p w:rsidR="004D4385" w:rsidRDefault="004D4385" w:rsidP="008F3510">
            <w:pPr>
              <w:pStyle w:val="Header"/>
              <w:numPr>
                <w:ilvl w:val="0"/>
                <w:numId w:val="12"/>
              </w:numPr>
              <w:tabs>
                <w:tab w:val="clear" w:pos="4153"/>
                <w:tab w:val="clear" w:pos="8306"/>
              </w:tabs>
              <w:rPr>
                <w:i/>
                <w:iCs/>
                <w:sz w:val="20"/>
              </w:rPr>
            </w:pPr>
            <w:r>
              <w:rPr>
                <w:i/>
                <w:iCs/>
                <w:sz w:val="20"/>
              </w:rPr>
              <w:t>consider alternatives</w:t>
            </w:r>
          </w:p>
          <w:p w:rsidR="004D4385" w:rsidRDefault="004D4385" w:rsidP="008F3510">
            <w:pPr>
              <w:pStyle w:val="Header"/>
              <w:numPr>
                <w:ilvl w:val="0"/>
                <w:numId w:val="12"/>
              </w:numPr>
              <w:tabs>
                <w:tab w:val="clear" w:pos="4153"/>
                <w:tab w:val="clear" w:pos="8306"/>
              </w:tabs>
              <w:rPr>
                <w:i/>
                <w:iCs/>
                <w:sz w:val="20"/>
              </w:rPr>
            </w:pPr>
            <w:r>
              <w:rPr>
                <w:i/>
                <w:iCs/>
                <w:sz w:val="20"/>
              </w:rPr>
              <w:t>gather further evidence</w:t>
            </w:r>
          </w:p>
          <w:p w:rsidR="004D4385" w:rsidRDefault="004D4385">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4D4385" w:rsidTr="00FC19C8">
        <w:tblPrEx>
          <w:tblCellMar>
            <w:top w:w="0" w:type="dxa"/>
            <w:bottom w:w="0" w:type="dxa"/>
          </w:tblCellMar>
        </w:tblPrEx>
        <w:trPr>
          <w:cantSplit/>
        </w:trPr>
        <w:tc>
          <w:tcPr>
            <w:tcW w:w="8423"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D4385" w:rsidRPr="00230054" w:rsidRDefault="00CE51D5" w:rsidP="00B06653">
            <w:pPr>
              <w:pStyle w:val="Header"/>
              <w:rPr>
                <w:sz w:val="22"/>
                <w:szCs w:val="22"/>
              </w:rPr>
            </w:pPr>
            <w:r w:rsidRPr="00230054">
              <w:rPr>
                <w:rFonts w:cs="Arial"/>
                <w:bCs/>
                <w:sz w:val="22"/>
                <w:szCs w:val="22"/>
              </w:rPr>
              <w:t xml:space="preserve">To </w:t>
            </w:r>
            <w:r w:rsidR="0010725A" w:rsidRPr="00230054">
              <w:rPr>
                <w:rFonts w:cs="Arial"/>
                <w:bCs/>
                <w:sz w:val="22"/>
                <w:szCs w:val="22"/>
              </w:rPr>
              <w:t>proceed</w:t>
            </w:r>
            <w:r w:rsidR="00B06653" w:rsidRPr="00230054">
              <w:rPr>
                <w:rFonts w:cs="Arial"/>
                <w:bCs/>
                <w:sz w:val="22"/>
                <w:szCs w:val="22"/>
              </w:rPr>
              <w:t xml:space="preserve"> with the </w:t>
            </w:r>
            <w:r w:rsidRPr="00230054">
              <w:rPr>
                <w:rFonts w:cs="Arial"/>
                <w:bCs/>
                <w:sz w:val="22"/>
                <w:szCs w:val="22"/>
              </w:rPr>
              <w:t>implementation of the revised policy</w:t>
            </w:r>
            <w:r w:rsidR="00D107EF" w:rsidRPr="00230054">
              <w:rPr>
                <w:rFonts w:cs="Arial"/>
                <w:bCs/>
                <w:sz w:val="22"/>
                <w:szCs w:val="22"/>
              </w:rPr>
              <w:t>.</w:t>
            </w:r>
          </w:p>
          <w:p w:rsidR="004D4385" w:rsidRDefault="004D4385"/>
        </w:tc>
      </w:tr>
      <w:tr w:rsidR="004D4385" w:rsidTr="00FC19C8">
        <w:tblPrEx>
          <w:tblCellMar>
            <w:top w:w="0" w:type="dxa"/>
            <w:bottom w:w="0" w:type="dxa"/>
          </w:tblCellMar>
        </w:tblPrEx>
        <w:tc>
          <w:tcPr>
            <w:tcW w:w="8423"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EB6BCA">
            <w:pPr>
              <w:pStyle w:val="Heading2"/>
              <w:numPr>
                <w:ilvl w:val="0"/>
                <w:numId w:val="25"/>
              </w:numPr>
              <w:rPr>
                <w:sz w:val="24"/>
              </w:rPr>
            </w:pPr>
            <w:r>
              <w:rPr>
                <w:sz w:val="24"/>
              </w:rPr>
              <w:t xml:space="preserve">Authorisation </w:t>
            </w:r>
          </w:p>
          <w:p w:rsidR="004D4385" w:rsidRDefault="004D4385">
            <w:pPr>
              <w:pStyle w:val="Header"/>
              <w:tabs>
                <w:tab w:val="clear" w:pos="4153"/>
                <w:tab w:val="clear" w:pos="8306"/>
              </w:tabs>
              <w:rPr>
                <w:i/>
                <w:iCs/>
                <w:sz w:val="20"/>
              </w:rPr>
            </w:pPr>
            <w:r>
              <w:rPr>
                <w:i/>
                <w:iCs/>
                <w:sz w:val="20"/>
              </w:rPr>
              <w:t>The authorising officer is consenting that:</w:t>
            </w:r>
          </w:p>
          <w:p w:rsidR="004D4385" w:rsidRDefault="004D4385" w:rsidP="008F3510">
            <w:pPr>
              <w:pStyle w:val="Header"/>
              <w:numPr>
                <w:ilvl w:val="0"/>
                <w:numId w:val="15"/>
              </w:numPr>
              <w:tabs>
                <w:tab w:val="clear" w:pos="4153"/>
                <w:tab w:val="clear" w:pos="8306"/>
              </w:tabs>
              <w:rPr>
                <w:i/>
                <w:iCs/>
                <w:sz w:val="20"/>
              </w:rPr>
            </w:pPr>
            <w:r>
              <w:rPr>
                <w:i/>
                <w:iCs/>
                <w:sz w:val="20"/>
              </w:rPr>
              <w:t>the recommendation can be implemented</w:t>
            </w:r>
          </w:p>
          <w:p w:rsidR="004D4385" w:rsidRDefault="004D4385" w:rsidP="008F3510">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rsidR="004D4385" w:rsidRDefault="004D4385" w:rsidP="008F3510">
            <w:pPr>
              <w:numPr>
                <w:ilvl w:val="0"/>
                <w:numId w:val="14"/>
              </w:numPr>
              <w:rPr>
                <w:rFonts w:cs="Arial"/>
                <w:b/>
                <w:bCs/>
                <w:sz w:val="20"/>
                <w:szCs w:val="20"/>
              </w:rPr>
            </w:pPr>
            <w:r>
              <w:rPr>
                <w:i/>
                <w:iCs/>
                <w:sz w:val="20"/>
              </w:rPr>
              <w:t xml:space="preserve">the Action Plan will be incorporated into </w:t>
            </w:r>
            <w:r w:rsidR="00435E08">
              <w:rPr>
                <w:i/>
                <w:iCs/>
                <w:sz w:val="20"/>
              </w:rPr>
              <w:t>the relevant S</w:t>
            </w:r>
            <w:r>
              <w:rPr>
                <w:i/>
                <w:iCs/>
                <w:sz w:val="20"/>
              </w:rPr>
              <w:t xml:space="preserve">ervice </w:t>
            </w:r>
            <w:r w:rsidR="00435E08">
              <w:rPr>
                <w:i/>
                <w:iCs/>
                <w:sz w:val="20"/>
              </w:rPr>
              <w:t>P</w:t>
            </w:r>
            <w:r>
              <w:rPr>
                <w:i/>
                <w:iCs/>
                <w:sz w:val="20"/>
              </w:rPr>
              <w:t xml:space="preserve">lan and monitored </w:t>
            </w:r>
          </w:p>
        </w:tc>
      </w:tr>
      <w:tr w:rsidR="004D4385" w:rsidTr="00FC19C8">
        <w:tblPrEx>
          <w:tblCellMar>
            <w:top w:w="0" w:type="dxa"/>
            <w:bottom w:w="0" w:type="dxa"/>
          </w:tblCellMar>
        </w:tblPrEx>
        <w:tc>
          <w:tcPr>
            <w:tcW w:w="2517"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321905">
            <w:pPr>
              <w:rPr>
                <w:rFonts w:cs="Arial"/>
                <w:b/>
                <w:bCs/>
              </w:rPr>
            </w:pPr>
            <w:r>
              <w:rPr>
                <w:rFonts w:cs="Arial"/>
                <w:b/>
                <w:bCs/>
              </w:rPr>
              <w:t>Service Manager</w:t>
            </w:r>
          </w:p>
          <w:p w:rsidR="004D4385" w:rsidRDefault="004D4385">
            <w:pPr>
              <w:rPr>
                <w:rFonts w:cs="Arial"/>
                <w:b/>
                <w:bCs/>
              </w:rPr>
            </w:pPr>
          </w:p>
        </w:tc>
        <w:tc>
          <w:tcPr>
            <w:tcW w:w="5906"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7B12D0" w:rsidRDefault="0007423D" w:rsidP="001279A5">
            <w:pPr>
              <w:pStyle w:val="CommentText"/>
              <w:rPr>
                <w:rFonts w:cs="Arial"/>
                <w:sz w:val="22"/>
                <w:szCs w:val="22"/>
              </w:rPr>
            </w:pPr>
            <w:r>
              <w:rPr>
                <w:rFonts w:cs="Arial"/>
                <w:sz w:val="22"/>
                <w:szCs w:val="22"/>
              </w:rPr>
              <w:t>Mark Breathwick</w:t>
            </w:r>
          </w:p>
          <w:p w:rsidR="00865498" w:rsidRPr="001279A5" w:rsidRDefault="0007423D" w:rsidP="007B12D0">
            <w:pPr>
              <w:pStyle w:val="CommentText"/>
              <w:rPr>
                <w:rFonts w:cs="Arial"/>
                <w:sz w:val="22"/>
                <w:szCs w:val="22"/>
              </w:rPr>
            </w:pPr>
            <w:r>
              <w:rPr>
                <w:rFonts w:cs="Arial"/>
                <w:sz w:val="22"/>
                <w:szCs w:val="22"/>
              </w:rPr>
              <w:t>Head of Housing</w:t>
            </w:r>
          </w:p>
        </w:tc>
      </w:tr>
      <w:tr w:rsidR="004D4385" w:rsidTr="00FC19C8">
        <w:tblPrEx>
          <w:tblCellMar>
            <w:top w:w="0" w:type="dxa"/>
            <w:bottom w:w="0" w:type="dxa"/>
          </w:tblCellMar>
        </w:tblPrEx>
        <w:tc>
          <w:tcPr>
            <w:tcW w:w="2517"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lastRenderedPageBreak/>
              <w:t xml:space="preserve">Date </w:t>
            </w:r>
          </w:p>
        </w:tc>
        <w:tc>
          <w:tcPr>
            <w:tcW w:w="5906"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D4385" w:rsidRPr="00865498" w:rsidRDefault="0007423D" w:rsidP="007B12D0">
            <w:pPr>
              <w:pStyle w:val="CommentText"/>
              <w:rPr>
                <w:rFonts w:cs="Arial"/>
                <w:b/>
                <w:bCs/>
              </w:rPr>
            </w:pPr>
            <w:r>
              <w:rPr>
                <w:rFonts w:cs="Arial"/>
                <w:b/>
                <w:bCs/>
              </w:rPr>
              <w:t>January 2020</w:t>
            </w:r>
          </w:p>
        </w:tc>
      </w:tr>
    </w:tbl>
    <w:p w:rsidR="004D4385" w:rsidRDefault="004D4385">
      <w:pPr>
        <w:rPr>
          <w:rFonts w:cs="Arial"/>
          <w:b/>
          <w:bCs/>
          <w:iCs/>
          <w:sz w:val="16"/>
          <w:szCs w:val="16"/>
        </w:rPr>
      </w:pPr>
    </w:p>
    <w:sectPr w:rsidR="004D4385">
      <w:headerReference w:type="default" r:id="rId8"/>
      <w:footerReference w:type="default" r:id="rId9"/>
      <w:type w:val="continuous"/>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FCB" w:rsidRDefault="001C2FCB">
      <w:r>
        <w:separator/>
      </w:r>
    </w:p>
  </w:endnote>
  <w:endnote w:type="continuationSeparator" w:id="0">
    <w:p w:rsidR="001C2FCB" w:rsidRDefault="001C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rsidR="00B02925" w:rsidRDefault="00B0292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B6BCA">
      <w:rPr>
        <w:rStyle w:val="PageNumber"/>
        <w:noProof/>
      </w:rPr>
      <w:t>3</w:t>
    </w:r>
    <w:r>
      <w:rPr>
        <w:rStyle w:val="PageNumber"/>
      </w:rPr>
      <w:fldChar w:fldCharType="end"/>
    </w:r>
  </w:p>
  <w:p w:rsidR="00B02925" w:rsidRDefault="00B02925" w:rsidP="00B02925">
    <w:pPr>
      <w:tabs>
        <w:tab w:val="left" w:pos="4678"/>
        <w:tab w:val="left" w:pos="538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FCB" w:rsidRDefault="001C2FCB">
      <w:r>
        <w:separator/>
      </w:r>
    </w:p>
  </w:footnote>
  <w:footnote w:type="continuationSeparator" w:id="0">
    <w:p w:rsidR="001C2FCB" w:rsidRDefault="001C2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25" w:rsidRDefault="00B02925">
    <w:pPr>
      <w:pStyle w:val="Header"/>
      <w:jc w:val="center"/>
      <w:rPr>
        <w:b/>
        <w:bCs/>
        <w:sz w:val="36"/>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3.85pt;margin-top:-35.4pt;width:2in;height:87.75pt;z-index:251657216">
          <v:imagedata r:id="rId1" o:title=""/>
          <w10:wrap type="square"/>
        </v:shape>
        <o:OLEObject Type="Embed" ProgID="Word.Picture.8" ShapeID="_x0000_s2049" DrawAspect="Content" ObjectID="_1656763028" r:id="rId2"/>
      </w:object>
    </w:r>
    <w:r>
      <w:rPr>
        <w:b/>
        <w:bCs/>
        <w:sz w:val="44"/>
      </w:rPr>
      <w:t xml:space="preserve">Diversity impact assessment </w:t>
    </w:r>
  </w:p>
  <w:p w:rsidR="00B02925" w:rsidRDefault="00B02925">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FB5221"/>
    <w:multiLevelType w:val="multilevel"/>
    <w:tmpl w:val="8A02F8B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EB05AB"/>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rPr>
        <w:i w:val="0"/>
        <w:color w:val="auto"/>
      </w:r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rPr>
        <w:i w:val="0"/>
        <w:color w:val="auto"/>
      </w:rPr>
    </w:lvl>
    <w:lvl w:ilvl="5">
      <w:start w:val="1"/>
      <w:numFmt w:val="decimal"/>
      <w:lvlText w:val="%1.%2.%3.%4.%5.%6."/>
      <w:lvlJc w:val="left"/>
      <w:pPr>
        <w:ind w:left="2736" w:hanging="936"/>
      </w:pPr>
      <w:rPr>
        <w:i w:val="0"/>
        <w:color w:val="auto"/>
      </w:rPr>
    </w:lvl>
    <w:lvl w:ilvl="6">
      <w:start w:val="1"/>
      <w:numFmt w:val="decimal"/>
      <w:lvlText w:val="%1.%2.%3.%4.%5.%6.%7."/>
      <w:lvlJc w:val="left"/>
      <w:pPr>
        <w:ind w:left="3240" w:hanging="1080"/>
      </w:pPr>
      <w:rPr>
        <w:i w:val="0"/>
        <w:color w:val="auto"/>
      </w:rPr>
    </w:lvl>
    <w:lvl w:ilvl="7">
      <w:start w:val="1"/>
      <w:numFmt w:val="decimal"/>
      <w:lvlText w:val="%1.%2.%3.%4.%5.%6.%7.%8."/>
      <w:lvlJc w:val="left"/>
      <w:pPr>
        <w:ind w:left="3744" w:hanging="1224"/>
      </w:pPr>
      <w:rPr>
        <w:i w:val="0"/>
        <w:color w:val="auto"/>
      </w:rPr>
    </w:lvl>
    <w:lvl w:ilvl="8">
      <w:start w:val="1"/>
      <w:numFmt w:val="decimal"/>
      <w:lvlText w:val="%1.%2.%3.%4.%5.%6.%7.%8.%9."/>
      <w:lvlJc w:val="left"/>
      <w:pPr>
        <w:ind w:left="4320" w:hanging="1440"/>
      </w:pPr>
      <w:rPr>
        <w:i w:val="0"/>
        <w:color w:val="auto"/>
      </w:rPr>
    </w:lvl>
  </w:abstractNum>
  <w:abstractNum w:abstractNumId="6"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4"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6D28CF"/>
    <w:multiLevelType w:val="hybridMultilevel"/>
    <w:tmpl w:val="8A4C31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F5688B"/>
    <w:multiLevelType w:val="hybridMultilevel"/>
    <w:tmpl w:val="79449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1"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2"/>
  </w:num>
  <w:num w:numId="3">
    <w:abstractNumId w:val="8"/>
  </w:num>
  <w:num w:numId="4">
    <w:abstractNumId w:val="1"/>
  </w:num>
  <w:num w:numId="5">
    <w:abstractNumId w:val="11"/>
  </w:num>
  <w:num w:numId="6">
    <w:abstractNumId w:val="10"/>
  </w:num>
  <w:num w:numId="7">
    <w:abstractNumId w:val="15"/>
  </w:num>
  <w:num w:numId="8">
    <w:abstractNumId w:val="9"/>
  </w:num>
  <w:num w:numId="9">
    <w:abstractNumId w:val="0"/>
  </w:num>
  <w:num w:numId="10">
    <w:abstractNumId w:val="6"/>
  </w:num>
  <w:num w:numId="11">
    <w:abstractNumId w:val="12"/>
  </w:num>
  <w:num w:numId="12">
    <w:abstractNumId w:val="3"/>
  </w:num>
  <w:num w:numId="13">
    <w:abstractNumId w:val="23"/>
  </w:num>
  <w:num w:numId="14">
    <w:abstractNumId w:val="2"/>
  </w:num>
  <w:num w:numId="15">
    <w:abstractNumId w:val="19"/>
  </w:num>
  <w:num w:numId="16">
    <w:abstractNumId w:val="17"/>
  </w:num>
  <w:num w:numId="17">
    <w:abstractNumId w:val="13"/>
  </w:num>
  <w:num w:numId="18">
    <w:abstractNumId w:val="21"/>
  </w:num>
  <w:num w:numId="19">
    <w:abstractNumId w:val="20"/>
  </w:num>
  <w:num w:numId="20">
    <w:abstractNumId w:val="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3074">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C"/>
    <w:rsid w:val="00052663"/>
    <w:rsid w:val="00072F1D"/>
    <w:rsid w:val="0007423D"/>
    <w:rsid w:val="000844E0"/>
    <w:rsid w:val="000B2138"/>
    <w:rsid w:val="000C56D7"/>
    <w:rsid w:val="000E3B7B"/>
    <w:rsid w:val="0010725A"/>
    <w:rsid w:val="00123985"/>
    <w:rsid w:val="001279A5"/>
    <w:rsid w:val="00164413"/>
    <w:rsid w:val="001C2FCB"/>
    <w:rsid w:val="00210A78"/>
    <w:rsid w:val="0021360A"/>
    <w:rsid w:val="00230054"/>
    <w:rsid w:val="00242047"/>
    <w:rsid w:val="00245C07"/>
    <w:rsid w:val="00280EBE"/>
    <w:rsid w:val="00286C29"/>
    <w:rsid w:val="00286ECE"/>
    <w:rsid w:val="002D7114"/>
    <w:rsid w:val="00321905"/>
    <w:rsid w:val="00357DE2"/>
    <w:rsid w:val="003779A8"/>
    <w:rsid w:val="003B74DB"/>
    <w:rsid w:val="003C0BF3"/>
    <w:rsid w:val="003E49D8"/>
    <w:rsid w:val="00410574"/>
    <w:rsid w:val="00435E08"/>
    <w:rsid w:val="00461B7F"/>
    <w:rsid w:val="00485E8C"/>
    <w:rsid w:val="004C5F24"/>
    <w:rsid w:val="004D4385"/>
    <w:rsid w:val="004F7FD2"/>
    <w:rsid w:val="0051771B"/>
    <w:rsid w:val="0054472E"/>
    <w:rsid w:val="005662DD"/>
    <w:rsid w:val="005C4AE2"/>
    <w:rsid w:val="005F0948"/>
    <w:rsid w:val="0063796F"/>
    <w:rsid w:val="006F59FB"/>
    <w:rsid w:val="00743C5D"/>
    <w:rsid w:val="00763B90"/>
    <w:rsid w:val="0076786A"/>
    <w:rsid w:val="0077036C"/>
    <w:rsid w:val="007875DE"/>
    <w:rsid w:val="007A1C5B"/>
    <w:rsid w:val="007B12D0"/>
    <w:rsid w:val="007D722A"/>
    <w:rsid w:val="007E543D"/>
    <w:rsid w:val="00865498"/>
    <w:rsid w:val="008B4848"/>
    <w:rsid w:val="008C1B2F"/>
    <w:rsid w:val="008F3364"/>
    <w:rsid w:val="008F3510"/>
    <w:rsid w:val="00911D4F"/>
    <w:rsid w:val="009A7E9F"/>
    <w:rsid w:val="009E1CFC"/>
    <w:rsid w:val="00A44A9C"/>
    <w:rsid w:val="00AF5728"/>
    <w:rsid w:val="00B02925"/>
    <w:rsid w:val="00B06653"/>
    <w:rsid w:val="00B072B1"/>
    <w:rsid w:val="00B95802"/>
    <w:rsid w:val="00C916F0"/>
    <w:rsid w:val="00C97824"/>
    <w:rsid w:val="00CE51D5"/>
    <w:rsid w:val="00D107EF"/>
    <w:rsid w:val="00D52CBA"/>
    <w:rsid w:val="00DC4DB4"/>
    <w:rsid w:val="00E02F5F"/>
    <w:rsid w:val="00E13A2E"/>
    <w:rsid w:val="00E34A78"/>
    <w:rsid w:val="00E36ED0"/>
    <w:rsid w:val="00E41C0E"/>
    <w:rsid w:val="00E46D2D"/>
    <w:rsid w:val="00E63F43"/>
    <w:rsid w:val="00E70C36"/>
    <w:rsid w:val="00EB6BCA"/>
    <w:rsid w:val="00EF2547"/>
    <w:rsid w:val="00EF4584"/>
    <w:rsid w:val="00F27E33"/>
    <w:rsid w:val="00FB6D0B"/>
    <w:rsid w:val="00FC19C8"/>
    <w:rsid w:val="00FE4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99cef3"/>
    </o:shapedefaults>
    <o:shapelayout v:ext="edit">
      <o:idmap v:ext="edit" data="1"/>
    </o:shapelayout>
  </w:shapeDefaults>
  <w:decimalSymbol w:val="."/>
  <w:listSeparator w:val=","/>
  <w14:docId w14:val="50908617"/>
  <w15:chartTrackingRefBased/>
  <w15:docId w15:val="{FD2BB2A9-E484-4974-89D5-D08F4B4B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rsid w:val="00B0665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81210">
      <w:bodyDiv w:val="1"/>
      <w:marLeft w:val="0"/>
      <w:marRight w:val="0"/>
      <w:marTop w:val="0"/>
      <w:marBottom w:val="0"/>
      <w:divBdr>
        <w:top w:val="none" w:sz="0" w:space="0" w:color="auto"/>
        <w:left w:val="none" w:sz="0" w:space="0" w:color="auto"/>
        <w:bottom w:val="none" w:sz="0" w:space="0" w:color="auto"/>
        <w:right w:val="none" w:sz="0" w:space="0" w:color="auto"/>
      </w:divBdr>
    </w:div>
    <w:div w:id="921792873">
      <w:bodyDiv w:val="1"/>
      <w:marLeft w:val="0"/>
      <w:marRight w:val="0"/>
      <w:marTop w:val="0"/>
      <w:marBottom w:val="0"/>
      <w:divBdr>
        <w:top w:val="none" w:sz="0" w:space="0" w:color="auto"/>
        <w:left w:val="none" w:sz="0" w:space="0" w:color="auto"/>
        <w:bottom w:val="none" w:sz="0" w:space="0" w:color="auto"/>
        <w:right w:val="none" w:sz="0" w:space="0" w:color="auto"/>
      </w:divBdr>
    </w:div>
    <w:div w:id="152378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83694-8E50-4972-9128-DD53E0CF6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Medway Council</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sims, aisling</cp:lastModifiedBy>
  <cp:revision>2</cp:revision>
  <cp:lastPrinted>2020-01-10T12:51:00Z</cp:lastPrinted>
  <dcterms:created xsi:type="dcterms:W3CDTF">2020-07-20T14:11:00Z</dcterms:created>
  <dcterms:modified xsi:type="dcterms:W3CDTF">2020-07-20T14:11:00Z</dcterms:modified>
</cp:coreProperties>
</file>