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8CA" w:rsidRDefault="00501F19">
      <w:pPr>
        <w:spacing w:line="200" w:lineRule="atLeast"/>
        <w:ind w:left="582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24841A50" wp14:editId="7AF24082">
            <wp:extent cx="1592034" cy="1115568"/>
            <wp:effectExtent l="0" t="0" r="8255" b="8890"/>
            <wp:docPr id="1" name="image1.jpeg"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2034" cy="1115568"/>
                    </a:xfrm>
                    <a:prstGeom prst="rect">
                      <a:avLst/>
                    </a:prstGeom>
                  </pic:spPr>
                </pic:pic>
              </a:graphicData>
            </a:graphic>
          </wp:inline>
        </w:drawing>
      </w:r>
    </w:p>
    <w:p w:rsidR="000828CA" w:rsidRDefault="000828CA">
      <w:pPr>
        <w:rPr>
          <w:rFonts w:ascii="Times New Roman" w:eastAsia="Times New Roman" w:hAnsi="Times New Roman" w:cs="Times New Roman"/>
          <w:sz w:val="20"/>
          <w:szCs w:val="20"/>
        </w:rPr>
      </w:pPr>
    </w:p>
    <w:p w:rsidR="000828CA" w:rsidRDefault="000828CA">
      <w:pPr>
        <w:spacing w:before="1"/>
        <w:rPr>
          <w:rFonts w:ascii="Times New Roman" w:eastAsia="Times New Roman" w:hAnsi="Times New Roman" w:cs="Times New Roman"/>
        </w:rPr>
      </w:pPr>
    </w:p>
    <w:p w:rsidR="000828CA" w:rsidRDefault="00501F19" w:rsidP="008B223E">
      <w:pPr>
        <w:pStyle w:val="Title"/>
        <w:jc w:val="center"/>
      </w:pPr>
      <w:r>
        <w:rPr>
          <w:spacing w:val="-1"/>
        </w:rPr>
        <w:t>Local</w:t>
      </w:r>
      <w:r>
        <w:rPr>
          <w:spacing w:val="1"/>
        </w:rPr>
        <w:t xml:space="preserve"> </w:t>
      </w:r>
      <w:r>
        <w:t>Lettings</w:t>
      </w:r>
      <w:r>
        <w:rPr>
          <w:spacing w:val="1"/>
        </w:rPr>
        <w:t xml:space="preserve"> </w:t>
      </w:r>
      <w:r>
        <w:t>Plan</w:t>
      </w:r>
    </w:p>
    <w:p w:rsidR="000828CA" w:rsidRDefault="00FA42A9" w:rsidP="008B223E">
      <w:pPr>
        <w:pStyle w:val="Title"/>
        <w:jc w:val="center"/>
        <w:rPr>
          <w:rFonts w:eastAsia="Arial" w:hAnsi="Arial" w:cs="Arial"/>
          <w:bCs/>
          <w:szCs w:val="28"/>
        </w:rPr>
      </w:pPr>
      <w:r>
        <w:t>Centenary Gardens</w:t>
      </w:r>
      <w:r w:rsidR="00FE3A7B">
        <w:t>- Beatty Avenue Gillingham</w:t>
      </w:r>
    </w:p>
    <w:p w:rsidR="004137DC" w:rsidRDefault="004137DC">
      <w:pPr>
        <w:rPr>
          <w:rFonts w:ascii="Arial" w:eastAsia="Arial" w:hAnsi="Arial" w:cs="Arial"/>
          <w:b/>
          <w:bCs/>
          <w:sz w:val="32"/>
          <w:szCs w:val="32"/>
        </w:rPr>
      </w:pPr>
    </w:p>
    <w:p w:rsidR="000828CA" w:rsidRDefault="000828CA">
      <w:pPr>
        <w:sectPr w:rsidR="000828CA">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1100" w:right="1320" w:bottom="920" w:left="1340" w:header="720" w:footer="736" w:gutter="0"/>
          <w:pgNumType w:start="1"/>
          <w:cols w:space="720"/>
        </w:sectPr>
      </w:pPr>
    </w:p>
    <w:p w:rsidR="000828CA" w:rsidRDefault="000828CA">
      <w:pPr>
        <w:rPr>
          <w:rFonts w:ascii="Arial" w:eastAsia="Arial" w:hAnsi="Arial" w:cs="Arial"/>
          <w:sz w:val="20"/>
          <w:szCs w:val="20"/>
        </w:rPr>
      </w:pPr>
    </w:p>
    <w:p w:rsidR="000828CA" w:rsidRDefault="000828CA">
      <w:pPr>
        <w:rPr>
          <w:rFonts w:ascii="Arial" w:eastAsia="Arial" w:hAnsi="Arial" w:cs="Arial"/>
          <w:sz w:val="20"/>
          <w:szCs w:val="20"/>
        </w:rPr>
      </w:pPr>
    </w:p>
    <w:p w:rsidR="000828CA" w:rsidRDefault="000828CA">
      <w:pPr>
        <w:spacing w:before="11"/>
        <w:rPr>
          <w:rFonts w:ascii="Arial" w:eastAsia="Arial" w:hAnsi="Arial" w:cs="Arial"/>
          <w:sz w:val="19"/>
          <w:szCs w:val="19"/>
        </w:rPr>
      </w:pPr>
    </w:p>
    <w:p w:rsidR="000828CA" w:rsidRPr="008B223E" w:rsidRDefault="00501F19" w:rsidP="008B223E">
      <w:pPr>
        <w:pStyle w:val="Heading1"/>
      </w:pPr>
      <w:r w:rsidRPr="008B223E">
        <w:t>Guidance</w:t>
      </w:r>
    </w:p>
    <w:p w:rsidR="000828CA" w:rsidRPr="004A1AC4" w:rsidRDefault="000828CA">
      <w:pPr>
        <w:rPr>
          <w:rFonts w:ascii="Arial" w:eastAsia="Arial" w:hAnsi="Arial" w:cs="Arial"/>
          <w:b/>
          <w:bCs/>
          <w:sz w:val="24"/>
          <w:szCs w:val="24"/>
          <w:u w:val="single"/>
        </w:rPr>
      </w:pPr>
    </w:p>
    <w:p w:rsidR="000828CA" w:rsidRDefault="00501F19">
      <w:pPr>
        <w:pStyle w:val="BodyText"/>
        <w:spacing w:before="139"/>
        <w:ind w:left="100" w:firstLine="0"/>
      </w:pPr>
      <w:r>
        <w:t xml:space="preserve">This </w:t>
      </w:r>
      <w:r>
        <w:rPr>
          <w:spacing w:val="-1"/>
        </w:rPr>
        <w:t>locally</w:t>
      </w:r>
      <w:r>
        <w:rPr>
          <w:spacing w:val="-3"/>
        </w:rPr>
        <w:t xml:space="preserve"> </w:t>
      </w:r>
      <w:r>
        <w:rPr>
          <w:spacing w:val="-1"/>
        </w:rPr>
        <w:t>developed</w:t>
      </w:r>
      <w:r>
        <w:rPr>
          <w:spacing w:val="-2"/>
        </w:rPr>
        <w:t xml:space="preserve"> </w:t>
      </w:r>
      <w:r>
        <w:rPr>
          <w:spacing w:val="-1"/>
        </w:rPr>
        <w:t>lettings</w:t>
      </w:r>
      <w:r>
        <w:t xml:space="preserve"> plan</w:t>
      </w:r>
      <w:r>
        <w:rPr>
          <w:spacing w:val="1"/>
        </w:rPr>
        <w:t xml:space="preserve"> </w:t>
      </w:r>
      <w:r>
        <w:t xml:space="preserve">is </w:t>
      </w:r>
      <w:r>
        <w:rPr>
          <w:spacing w:val="-1"/>
        </w:rPr>
        <w:t>guided</w:t>
      </w:r>
      <w:r>
        <w:rPr>
          <w:spacing w:val="-2"/>
        </w:rPr>
        <w:t xml:space="preserve"> </w:t>
      </w:r>
      <w:r>
        <w:t>by</w:t>
      </w:r>
      <w:r>
        <w:rPr>
          <w:spacing w:val="-3"/>
        </w:rPr>
        <w:t xml:space="preserve"> </w:t>
      </w:r>
      <w:r>
        <w:t>Medway</w:t>
      </w:r>
      <w:r>
        <w:rPr>
          <w:spacing w:val="-3"/>
        </w:rPr>
        <w:t xml:space="preserve"> </w:t>
      </w:r>
      <w:r>
        <w:rPr>
          <w:spacing w:val="-1"/>
        </w:rPr>
        <w:t>Councils</w:t>
      </w:r>
      <w:r>
        <w:t xml:space="preserve"> </w:t>
      </w:r>
      <w:r>
        <w:rPr>
          <w:spacing w:val="-1"/>
        </w:rPr>
        <w:t>priorities:</w:t>
      </w:r>
    </w:p>
    <w:p w:rsidR="008B223E" w:rsidRDefault="00875140">
      <w:pPr>
        <w:pStyle w:val="BodyText"/>
        <w:ind w:left="100" w:firstLine="0"/>
        <w:rPr>
          <w:color w:val="FF0000"/>
        </w:rPr>
      </w:pPr>
      <w:r>
        <w:rPr>
          <w:noProof/>
          <w:lang w:val="en-GB" w:eastAsia="en-GB"/>
        </w:rPr>
        <w:drawing>
          <wp:inline distT="0" distB="0" distL="0" distR="0">
            <wp:extent cx="7267575" cy="2754630"/>
            <wp:effectExtent l="0" t="0" r="9525" b="7620"/>
            <wp:docPr id="3" name="Picture 3" title="council prioriti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3000" t="49500" r="6401" b="4000"/>
                    <a:stretch/>
                  </pic:blipFill>
                  <pic:spPr bwMode="auto">
                    <a:xfrm>
                      <a:off x="0" y="0"/>
                      <a:ext cx="7267575" cy="2754630"/>
                    </a:xfrm>
                    <a:prstGeom prst="rect">
                      <a:avLst/>
                    </a:prstGeom>
                    <a:ln>
                      <a:noFill/>
                    </a:ln>
                    <a:extLst>
                      <a:ext uri="{53640926-AAD7-44D8-BBD7-CCE9431645EC}">
                        <a14:shadowObscured xmlns:a14="http://schemas.microsoft.com/office/drawing/2010/main"/>
                      </a:ext>
                    </a:extLst>
                  </pic:spPr>
                </pic:pic>
              </a:graphicData>
            </a:graphic>
          </wp:inline>
        </w:drawing>
      </w:r>
    </w:p>
    <w:p w:rsidR="008B223E" w:rsidRDefault="008B223E" w:rsidP="008B223E">
      <w:pPr>
        <w:pStyle w:val="BodyText"/>
        <w:ind w:left="0" w:firstLine="0"/>
        <w:rPr>
          <w:color w:val="FF0000"/>
        </w:rPr>
      </w:pPr>
    </w:p>
    <w:p w:rsidR="004A1AC4" w:rsidRDefault="00501F19">
      <w:pPr>
        <w:pStyle w:val="BodyText"/>
        <w:ind w:left="100" w:firstLine="0"/>
        <w:rPr>
          <w:spacing w:val="4"/>
        </w:rPr>
      </w:pPr>
      <w:r>
        <w:t>This</w:t>
      </w:r>
      <w:r>
        <w:rPr>
          <w:spacing w:val="-3"/>
        </w:rPr>
        <w:t xml:space="preserve"> </w:t>
      </w:r>
      <w:r>
        <w:t>plan</w:t>
      </w:r>
      <w:r>
        <w:rPr>
          <w:spacing w:val="1"/>
        </w:rPr>
        <w:t xml:space="preserve"> </w:t>
      </w:r>
      <w:r>
        <w:t xml:space="preserve">is </w:t>
      </w:r>
      <w:r>
        <w:rPr>
          <w:spacing w:val="-1"/>
        </w:rPr>
        <w:t>compliant</w:t>
      </w:r>
      <w:r>
        <w:rPr>
          <w:spacing w:val="-4"/>
        </w:rPr>
        <w:t xml:space="preserve"> </w:t>
      </w:r>
      <w:r>
        <w:rPr>
          <w:spacing w:val="-1"/>
        </w:rPr>
        <w:t>with</w:t>
      </w:r>
      <w:r>
        <w:t xml:space="preserve"> Medway</w:t>
      </w:r>
      <w:r>
        <w:rPr>
          <w:spacing w:val="-3"/>
        </w:rPr>
        <w:t xml:space="preserve"> </w:t>
      </w:r>
      <w:r>
        <w:rPr>
          <w:spacing w:val="-1"/>
        </w:rPr>
        <w:t>Councils</w:t>
      </w:r>
      <w:r>
        <w:rPr>
          <w:spacing w:val="4"/>
        </w:rPr>
        <w:t xml:space="preserve"> </w:t>
      </w:r>
    </w:p>
    <w:p w:rsidR="004A1AC4" w:rsidRPr="008B223E" w:rsidRDefault="004A1AC4">
      <w:pPr>
        <w:pStyle w:val="BodyText"/>
        <w:ind w:left="100" w:firstLine="0"/>
        <w:rPr>
          <w:spacing w:val="4"/>
        </w:rPr>
      </w:pPr>
    </w:p>
    <w:p w:rsidR="000828CA" w:rsidRDefault="00501F19">
      <w:pPr>
        <w:pStyle w:val="BodyText"/>
        <w:ind w:left="100" w:firstLine="0"/>
      </w:pPr>
      <w:r w:rsidRPr="008B223E">
        <w:rPr>
          <w:spacing w:val="-1"/>
        </w:rPr>
        <w:t>Allocations</w:t>
      </w:r>
      <w:r w:rsidRPr="008B223E">
        <w:rPr>
          <w:spacing w:val="-3"/>
        </w:rPr>
        <w:t xml:space="preserve"> </w:t>
      </w:r>
      <w:r w:rsidRPr="008B223E">
        <w:rPr>
          <w:spacing w:val="-1"/>
        </w:rPr>
        <w:t>Policy</w:t>
      </w:r>
      <w:r w:rsidR="008B223E" w:rsidRPr="008B223E">
        <w:rPr>
          <w:spacing w:val="-1"/>
        </w:rPr>
        <w:t xml:space="preserve"> </w:t>
      </w:r>
      <w:r w:rsidRPr="008B223E">
        <w:t>and</w:t>
      </w:r>
      <w:r w:rsidRPr="008B223E">
        <w:rPr>
          <w:spacing w:val="-1"/>
        </w:rPr>
        <w:t xml:space="preserve"> </w:t>
      </w:r>
      <w:r w:rsidRPr="008B223E">
        <w:rPr>
          <w:u w:color="0000FF"/>
        </w:rPr>
        <w:t xml:space="preserve">Rent </w:t>
      </w:r>
      <w:r w:rsidRPr="008B223E">
        <w:rPr>
          <w:spacing w:val="-1"/>
          <w:u w:color="0000FF"/>
        </w:rPr>
        <w:t>Setting Policy</w:t>
      </w:r>
      <w:r w:rsidRPr="008B223E">
        <w:rPr>
          <w:spacing w:val="-1"/>
        </w:rPr>
        <w:t>.</w:t>
      </w:r>
    </w:p>
    <w:p w:rsidR="000828CA" w:rsidRDefault="000828CA">
      <w:pPr>
        <w:rPr>
          <w:rFonts w:ascii="Arial" w:eastAsia="Arial" w:hAnsi="Arial" w:cs="Arial"/>
          <w:sz w:val="20"/>
          <w:szCs w:val="20"/>
        </w:rPr>
      </w:pPr>
    </w:p>
    <w:p w:rsidR="000828CA" w:rsidRPr="008B223E" w:rsidRDefault="00501F19" w:rsidP="008B223E">
      <w:pPr>
        <w:pStyle w:val="Heading1"/>
      </w:pPr>
      <w:r w:rsidRPr="008B223E">
        <w:t>Description of sites</w:t>
      </w:r>
    </w:p>
    <w:p w:rsidR="00FA42A9" w:rsidRPr="00D72A99" w:rsidRDefault="00D27467" w:rsidP="00036CA9">
      <w:pPr>
        <w:pStyle w:val="BodyText"/>
        <w:tabs>
          <w:tab w:val="left" w:pos="821"/>
        </w:tabs>
        <w:spacing w:before="139" w:line="359" w:lineRule="auto"/>
        <w:ind w:left="0" w:right="279" w:firstLine="0"/>
        <w:rPr>
          <w:rFonts w:cs="Arial"/>
        </w:rPr>
      </w:pPr>
      <w:r w:rsidRPr="00D72A99">
        <w:rPr>
          <w:rFonts w:cs="Arial"/>
        </w:rPr>
        <w:tab/>
      </w:r>
      <w:r w:rsidR="00FA42A9" w:rsidRPr="00D72A99">
        <w:rPr>
          <w:rFonts w:cs="Arial"/>
        </w:rPr>
        <w:t>Centenary Gardens</w:t>
      </w:r>
      <w:r w:rsidR="00FB4FC6" w:rsidRPr="00D72A99">
        <w:rPr>
          <w:rFonts w:cs="Arial"/>
        </w:rPr>
        <w:t xml:space="preserve"> is a development of 32 homes and the properties consist of:</w:t>
      </w:r>
    </w:p>
    <w:p w:rsidR="00FA42A9" w:rsidRPr="00D72A99" w:rsidRDefault="00FA42A9" w:rsidP="00036CA9">
      <w:pPr>
        <w:pStyle w:val="BodyText"/>
        <w:numPr>
          <w:ilvl w:val="0"/>
          <w:numId w:val="6"/>
        </w:numPr>
        <w:tabs>
          <w:tab w:val="left" w:pos="821"/>
        </w:tabs>
        <w:spacing w:before="139" w:line="359" w:lineRule="auto"/>
        <w:ind w:right="279"/>
        <w:rPr>
          <w:rFonts w:cs="Arial"/>
          <w:spacing w:val="-1"/>
        </w:rPr>
      </w:pPr>
      <w:r w:rsidRPr="00D72A99">
        <w:rPr>
          <w:rFonts w:cs="Arial"/>
          <w:spacing w:val="-1"/>
        </w:rPr>
        <w:t>18 x 1 bedroom Lifetime Homes bungalows</w:t>
      </w:r>
    </w:p>
    <w:p w:rsidR="00FA42A9" w:rsidRPr="00D72A99" w:rsidRDefault="00FA42A9" w:rsidP="00036CA9">
      <w:pPr>
        <w:pStyle w:val="BodyText"/>
        <w:numPr>
          <w:ilvl w:val="0"/>
          <w:numId w:val="6"/>
        </w:numPr>
        <w:tabs>
          <w:tab w:val="left" w:pos="821"/>
        </w:tabs>
        <w:spacing w:before="139" w:line="359" w:lineRule="auto"/>
        <w:ind w:right="279"/>
        <w:rPr>
          <w:rFonts w:cs="Arial"/>
          <w:spacing w:val="-1"/>
        </w:rPr>
      </w:pPr>
      <w:r w:rsidRPr="00D72A99">
        <w:rPr>
          <w:rFonts w:cs="Arial"/>
          <w:spacing w:val="-1"/>
        </w:rPr>
        <w:t>5 x 1 bed bungalows built to at least full wheelchair standard</w:t>
      </w:r>
      <w:r w:rsidR="00CD30E5" w:rsidRPr="00D72A99">
        <w:rPr>
          <w:rFonts w:cs="Arial"/>
          <w:spacing w:val="-1"/>
        </w:rPr>
        <w:t xml:space="preserve"> </w:t>
      </w:r>
    </w:p>
    <w:p w:rsidR="0055291B" w:rsidRPr="00D72A99" w:rsidRDefault="00FA42A9" w:rsidP="00FB4FC6">
      <w:pPr>
        <w:pStyle w:val="BodyText"/>
        <w:numPr>
          <w:ilvl w:val="0"/>
          <w:numId w:val="6"/>
        </w:numPr>
        <w:tabs>
          <w:tab w:val="left" w:pos="821"/>
        </w:tabs>
        <w:spacing w:before="139" w:line="359" w:lineRule="auto"/>
        <w:ind w:right="279"/>
        <w:rPr>
          <w:rFonts w:cs="Arial"/>
          <w:spacing w:val="-1"/>
        </w:rPr>
      </w:pPr>
      <w:r w:rsidRPr="00D72A99">
        <w:rPr>
          <w:rFonts w:cs="Arial"/>
          <w:spacing w:val="-1"/>
        </w:rPr>
        <w:t>9 x 2 bed bungalows built to at</w:t>
      </w:r>
      <w:r w:rsidR="00FB4FC6" w:rsidRPr="00D72A99">
        <w:rPr>
          <w:rFonts w:cs="Arial"/>
          <w:spacing w:val="-1"/>
        </w:rPr>
        <w:t xml:space="preserve"> least full wheelchair standard</w:t>
      </w:r>
    </w:p>
    <w:p w:rsidR="00BD3096" w:rsidRPr="00D72A99" w:rsidRDefault="00BD3096" w:rsidP="00BD3096">
      <w:pPr>
        <w:pStyle w:val="BodyText"/>
        <w:tabs>
          <w:tab w:val="left" w:pos="821"/>
        </w:tabs>
        <w:spacing w:before="139" w:line="359" w:lineRule="auto"/>
        <w:ind w:left="1180" w:right="279" w:firstLine="0"/>
        <w:rPr>
          <w:rFonts w:cs="Arial"/>
          <w:spacing w:val="-1"/>
          <w:sz w:val="16"/>
          <w:szCs w:val="16"/>
        </w:rPr>
      </w:pPr>
    </w:p>
    <w:p w:rsidR="00FB4FC6" w:rsidRPr="00D72A99" w:rsidRDefault="000C3CDD" w:rsidP="008B223E">
      <w:pPr>
        <w:pStyle w:val="Heading1"/>
      </w:pPr>
      <w:r w:rsidRPr="00D72A99">
        <w:t>Aim</w:t>
      </w:r>
    </w:p>
    <w:p w:rsidR="00EF6501" w:rsidRPr="00D72A99" w:rsidRDefault="00CF799D" w:rsidP="00BD3096">
      <w:pPr>
        <w:pStyle w:val="BodyText"/>
        <w:tabs>
          <w:tab w:val="left" w:pos="821"/>
        </w:tabs>
        <w:spacing w:before="139" w:line="360" w:lineRule="auto"/>
        <w:ind w:left="459" w:right="278" w:firstLine="0"/>
        <w:rPr>
          <w:rFonts w:cs="Arial"/>
          <w:spacing w:val="-1"/>
        </w:rPr>
      </w:pPr>
      <w:r w:rsidRPr="00D72A99">
        <w:rPr>
          <w:rFonts w:cs="Arial"/>
          <w:spacing w:val="-1"/>
        </w:rPr>
        <w:t>The</w:t>
      </w:r>
      <w:r w:rsidR="004E7148" w:rsidRPr="00D72A99">
        <w:rPr>
          <w:rFonts w:cs="Arial"/>
          <w:spacing w:val="-1"/>
        </w:rPr>
        <w:t xml:space="preserve"> aim of this local lettings plan is to</w:t>
      </w:r>
      <w:r w:rsidRPr="00D72A99">
        <w:rPr>
          <w:rFonts w:cs="Arial"/>
          <w:spacing w:val="-1"/>
        </w:rPr>
        <w:t xml:space="preserve"> allocate to those in housing need and to create a thriving and sustainable community.  It will also aim to</w:t>
      </w:r>
      <w:r w:rsidR="004E7148" w:rsidRPr="00D72A99">
        <w:rPr>
          <w:rFonts w:cs="Arial"/>
          <w:spacing w:val="-1"/>
        </w:rPr>
        <w:t xml:space="preserve"> assist those households who are under occupying social housing properties and facing financial challenges in terms of rent and tenancy sustainment and thereby moving will release much needed larger social housing stock in Medway for allocation to larger households.</w:t>
      </w:r>
    </w:p>
    <w:p w:rsidR="00EF6501" w:rsidRPr="00D72A99" w:rsidRDefault="00EF6501" w:rsidP="00FB4FC6">
      <w:pPr>
        <w:pStyle w:val="BodyText"/>
        <w:tabs>
          <w:tab w:val="left" w:pos="821"/>
        </w:tabs>
        <w:spacing w:before="139" w:line="359" w:lineRule="auto"/>
        <w:ind w:left="459" w:right="279"/>
        <w:rPr>
          <w:rFonts w:cs="Arial"/>
          <w:spacing w:val="-1"/>
          <w:sz w:val="16"/>
          <w:szCs w:val="16"/>
        </w:rPr>
      </w:pPr>
    </w:p>
    <w:p w:rsidR="00FB4FC6" w:rsidRPr="00D72A99" w:rsidRDefault="00FB4FC6" w:rsidP="008B223E">
      <w:pPr>
        <w:pStyle w:val="Heading1"/>
      </w:pPr>
      <w:r w:rsidRPr="00D72A99">
        <w:t>Age distribution and child density</w:t>
      </w:r>
    </w:p>
    <w:p w:rsidR="00D87A16" w:rsidRPr="00D72A99" w:rsidRDefault="00D87A16" w:rsidP="00BD3096">
      <w:pPr>
        <w:pStyle w:val="BodyText"/>
        <w:tabs>
          <w:tab w:val="left" w:pos="821"/>
        </w:tabs>
        <w:spacing w:before="139" w:line="359" w:lineRule="auto"/>
        <w:ind w:left="460" w:right="279" w:firstLine="0"/>
        <w:rPr>
          <w:rFonts w:cs="Arial"/>
          <w:bCs/>
          <w:spacing w:val="-1"/>
        </w:rPr>
      </w:pPr>
      <w:r w:rsidRPr="00D72A99">
        <w:rPr>
          <w:rFonts w:cs="Arial"/>
          <w:bCs/>
          <w:spacing w:val="-1"/>
        </w:rPr>
        <w:t>To ensure sustainable communities</w:t>
      </w:r>
      <w:r w:rsidR="00BD3096" w:rsidRPr="00D72A99">
        <w:rPr>
          <w:rFonts w:cs="Arial"/>
          <w:bCs/>
          <w:spacing w:val="-1"/>
        </w:rPr>
        <w:t>,</w:t>
      </w:r>
      <w:r w:rsidRPr="00D72A99">
        <w:rPr>
          <w:rFonts w:cs="Arial"/>
          <w:bCs/>
          <w:spacing w:val="-1"/>
        </w:rPr>
        <w:t xml:space="preserve"> where children are to share a bedroom, they should be of an appropriate age to ensure that a family does not seek to move from their home within five years</w:t>
      </w:r>
      <w:r w:rsidR="00B46550" w:rsidRPr="00D72A99">
        <w:rPr>
          <w:rFonts w:cs="Arial"/>
          <w:bCs/>
          <w:spacing w:val="-1"/>
        </w:rPr>
        <w:t xml:space="preserve"> due to overcrowding</w:t>
      </w:r>
      <w:r w:rsidRPr="00D72A99">
        <w:rPr>
          <w:rFonts w:cs="Arial"/>
          <w:bCs/>
          <w:spacing w:val="-1"/>
        </w:rPr>
        <w:t>.</w:t>
      </w:r>
      <w:r w:rsidR="00BD3096" w:rsidRPr="00D72A99">
        <w:rPr>
          <w:rFonts w:cs="Arial"/>
          <w:bCs/>
          <w:spacing w:val="-1"/>
        </w:rPr>
        <w:t xml:space="preserve">  This will be assessed using the bedroom criteria of the </w:t>
      </w:r>
      <w:hyperlink r:id="rId16" w:tooltip="Allocations policy" w:history="1">
        <w:r w:rsidR="00BD3096" w:rsidRPr="008B223E">
          <w:rPr>
            <w:rStyle w:val="Hyperlink"/>
            <w:rFonts w:cs="Arial"/>
            <w:bCs/>
            <w:spacing w:val="-1"/>
          </w:rPr>
          <w:t xml:space="preserve">Medway Allocations Policy. </w:t>
        </w:r>
      </w:hyperlink>
      <w:r w:rsidRPr="00D72A99">
        <w:rPr>
          <w:rFonts w:cs="Arial"/>
          <w:bCs/>
          <w:spacing w:val="-1"/>
        </w:rPr>
        <w:t xml:space="preserve"> </w:t>
      </w:r>
    </w:p>
    <w:p w:rsidR="00D87A16" w:rsidRPr="00D72A99" w:rsidRDefault="00D87A16" w:rsidP="00FB4FC6">
      <w:pPr>
        <w:pStyle w:val="BodyText"/>
        <w:tabs>
          <w:tab w:val="left" w:pos="821"/>
        </w:tabs>
        <w:spacing w:before="139"/>
        <w:ind w:left="459" w:right="279"/>
        <w:rPr>
          <w:rFonts w:cs="Arial"/>
          <w:spacing w:val="-1"/>
          <w:sz w:val="16"/>
          <w:szCs w:val="16"/>
        </w:rPr>
      </w:pPr>
    </w:p>
    <w:p w:rsidR="0055291B" w:rsidRPr="00D72A99" w:rsidRDefault="00EF2CC2" w:rsidP="008B223E">
      <w:pPr>
        <w:pStyle w:val="Heading1"/>
      </w:pPr>
      <w:r w:rsidRPr="00D72A99">
        <w:t>Allocation and lettings</w:t>
      </w:r>
    </w:p>
    <w:p w:rsidR="00813CDC" w:rsidRDefault="003E7EFD" w:rsidP="00813CDC">
      <w:pPr>
        <w:pStyle w:val="BodyText"/>
        <w:tabs>
          <w:tab w:val="left" w:pos="821"/>
        </w:tabs>
        <w:spacing w:before="139" w:line="359" w:lineRule="auto"/>
        <w:ind w:left="459" w:right="279" w:firstLine="0"/>
        <w:rPr>
          <w:rFonts w:cs="Arial"/>
          <w:spacing w:val="-1"/>
        </w:rPr>
      </w:pPr>
      <w:r w:rsidRPr="00D72A99">
        <w:rPr>
          <w:rFonts w:cs="Arial"/>
          <w:spacing w:val="-1"/>
        </w:rPr>
        <w:t>All applicants for the wheelchair accommodation will need to have a</w:t>
      </w:r>
      <w:r w:rsidR="00813CDC" w:rsidRPr="00D72A99">
        <w:rPr>
          <w:rFonts w:cs="Arial"/>
          <w:spacing w:val="-1"/>
        </w:rPr>
        <w:t>n</w:t>
      </w:r>
      <w:r w:rsidRPr="00D72A99">
        <w:rPr>
          <w:rFonts w:cs="Arial"/>
          <w:spacing w:val="-1"/>
        </w:rPr>
        <w:t xml:space="preserve"> identified requirement </w:t>
      </w:r>
      <w:r w:rsidR="00813CDC" w:rsidRPr="00D72A99">
        <w:rPr>
          <w:rFonts w:cs="Arial"/>
          <w:spacing w:val="-1"/>
        </w:rPr>
        <w:t>for this type of dwelling</w:t>
      </w:r>
      <w:r w:rsidR="003C14D7" w:rsidRPr="00D72A99">
        <w:rPr>
          <w:rFonts w:cs="Arial"/>
          <w:spacing w:val="-1"/>
        </w:rPr>
        <w:t>, which has been confirmed by supporting medical information.</w:t>
      </w:r>
      <w:r w:rsidR="00813CDC" w:rsidRPr="00D72A99">
        <w:rPr>
          <w:rFonts w:cs="Arial"/>
          <w:spacing w:val="-1"/>
        </w:rPr>
        <w:t>.  All other accommodation will be let to those with an identified need for either level access living</w:t>
      </w:r>
      <w:r w:rsidR="005B016F" w:rsidRPr="00D72A99">
        <w:rPr>
          <w:rFonts w:cs="Arial"/>
          <w:spacing w:val="-1"/>
        </w:rPr>
        <w:t>,</w:t>
      </w:r>
      <w:r w:rsidR="00813CDC" w:rsidRPr="00D72A99">
        <w:rPr>
          <w:rFonts w:cs="Arial"/>
          <w:spacing w:val="-1"/>
        </w:rPr>
        <w:t xml:space="preserve"> or a wet room.</w:t>
      </w:r>
    </w:p>
    <w:p w:rsidR="002F22A6" w:rsidRPr="00D72A99" w:rsidRDefault="00D15ED4" w:rsidP="00AD6912">
      <w:pPr>
        <w:pStyle w:val="BodyText"/>
        <w:tabs>
          <w:tab w:val="left" w:pos="821"/>
        </w:tabs>
        <w:spacing w:before="139" w:line="359" w:lineRule="auto"/>
        <w:ind w:left="459" w:right="279" w:firstLine="0"/>
        <w:rPr>
          <w:rFonts w:cs="Arial"/>
          <w:spacing w:val="-1"/>
        </w:rPr>
      </w:pPr>
      <w:r w:rsidRPr="00D72A99">
        <w:rPr>
          <w:rFonts w:cs="Arial"/>
          <w:spacing w:val="-1"/>
        </w:rPr>
        <w:t>To enable social housing tenants who are under occupying their current accommodation to move to smaller accommodation and free up larger social housing properties</w:t>
      </w:r>
      <w:r w:rsidR="003A7E10" w:rsidRPr="00D72A99">
        <w:rPr>
          <w:rFonts w:cs="Arial"/>
          <w:spacing w:val="-1"/>
        </w:rPr>
        <w:t xml:space="preserve"> </w:t>
      </w:r>
      <w:r w:rsidR="006E4F43" w:rsidRPr="00D72A99">
        <w:rPr>
          <w:rFonts w:cs="Arial"/>
          <w:spacing w:val="-1"/>
        </w:rPr>
        <w:t>50%</w:t>
      </w:r>
      <w:r w:rsidR="0055291B" w:rsidRPr="00D72A99">
        <w:rPr>
          <w:rFonts w:cs="Arial"/>
          <w:spacing w:val="77"/>
        </w:rPr>
        <w:t xml:space="preserve"> </w:t>
      </w:r>
      <w:r w:rsidR="006E4F43" w:rsidRPr="00D72A99">
        <w:rPr>
          <w:rFonts w:cs="Arial"/>
          <w:spacing w:val="-1"/>
        </w:rPr>
        <w:t>of</w:t>
      </w:r>
      <w:r w:rsidR="006E4F43" w:rsidRPr="00D72A99">
        <w:rPr>
          <w:rFonts w:cs="Arial"/>
          <w:spacing w:val="2"/>
        </w:rPr>
        <w:t xml:space="preserve"> </w:t>
      </w:r>
      <w:r w:rsidR="00B3442B" w:rsidRPr="00D72A99">
        <w:rPr>
          <w:rFonts w:cs="Arial"/>
          <w:spacing w:val="-1"/>
        </w:rPr>
        <w:t xml:space="preserve">the bungalows will be let to </w:t>
      </w:r>
      <w:r w:rsidR="006E4F43" w:rsidRPr="00D72A99">
        <w:rPr>
          <w:rFonts w:cs="Arial"/>
          <w:spacing w:val="-1"/>
        </w:rPr>
        <w:t>Medway Council transfer applicants</w:t>
      </w:r>
      <w:r w:rsidR="00D90E3A" w:rsidRPr="00D72A99">
        <w:rPr>
          <w:rFonts w:cs="Arial"/>
          <w:spacing w:val="-1"/>
        </w:rPr>
        <w:t xml:space="preserve"> and social housing transfer tenants</w:t>
      </w:r>
      <w:r w:rsidR="006E4F43" w:rsidRPr="00D72A99">
        <w:rPr>
          <w:rFonts w:cs="Arial"/>
          <w:spacing w:val="-1"/>
        </w:rPr>
        <w:t xml:space="preserve"> using the following criteria</w:t>
      </w:r>
      <w:r w:rsidR="00D90E3A" w:rsidRPr="00D72A99">
        <w:rPr>
          <w:rFonts w:cs="Arial"/>
          <w:spacing w:val="-1"/>
        </w:rPr>
        <w:t>:</w:t>
      </w:r>
    </w:p>
    <w:p w:rsidR="004952AA" w:rsidRPr="00D72A99" w:rsidRDefault="004952AA" w:rsidP="00AD6912">
      <w:pPr>
        <w:pStyle w:val="BodyText"/>
        <w:numPr>
          <w:ilvl w:val="0"/>
          <w:numId w:val="11"/>
        </w:numPr>
        <w:tabs>
          <w:tab w:val="left" w:pos="821"/>
        </w:tabs>
        <w:spacing w:before="139" w:line="359" w:lineRule="auto"/>
        <w:ind w:right="279"/>
        <w:rPr>
          <w:rFonts w:cs="Arial"/>
        </w:rPr>
      </w:pPr>
      <w:r w:rsidRPr="00D72A99">
        <w:rPr>
          <w:rFonts w:cs="Arial"/>
        </w:rPr>
        <w:t xml:space="preserve">Medway </w:t>
      </w:r>
      <w:r w:rsidR="002F22A6" w:rsidRPr="00D72A99">
        <w:rPr>
          <w:rFonts w:cs="Arial"/>
        </w:rPr>
        <w:t xml:space="preserve">Council transfer </w:t>
      </w:r>
      <w:r w:rsidRPr="00D72A99">
        <w:rPr>
          <w:rFonts w:cs="Arial"/>
        </w:rPr>
        <w:t>tenants who are under occupying</w:t>
      </w:r>
    </w:p>
    <w:p w:rsidR="00AD6912" w:rsidRPr="00D72A99" w:rsidRDefault="00AD6912" w:rsidP="00AD6912">
      <w:pPr>
        <w:pStyle w:val="BodyText"/>
        <w:numPr>
          <w:ilvl w:val="0"/>
          <w:numId w:val="11"/>
        </w:numPr>
        <w:tabs>
          <w:tab w:val="left" w:pos="821"/>
        </w:tabs>
        <w:spacing w:before="139" w:line="359" w:lineRule="auto"/>
        <w:ind w:right="279"/>
        <w:rPr>
          <w:rFonts w:cs="Arial"/>
        </w:rPr>
      </w:pPr>
      <w:r w:rsidRPr="00D72A99">
        <w:rPr>
          <w:rFonts w:cs="Arial"/>
        </w:rPr>
        <w:t>Medway Council transfer tenants</w:t>
      </w:r>
    </w:p>
    <w:p w:rsidR="00AD6912" w:rsidRPr="00D72A99" w:rsidRDefault="00AD6912" w:rsidP="00AD6912">
      <w:pPr>
        <w:pStyle w:val="BodyText"/>
        <w:numPr>
          <w:ilvl w:val="0"/>
          <w:numId w:val="11"/>
        </w:numPr>
        <w:tabs>
          <w:tab w:val="left" w:pos="821"/>
        </w:tabs>
        <w:spacing w:before="139" w:line="359" w:lineRule="auto"/>
        <w:ind w:right="279"/>
        <w:rPr>
          <w:rFonts w:cs="Arial"/>
        </w:rPr>
      </w:pPr>
      <w:r w:rsidRPr="00D72A99">
        <w:rPr>
          <w:rFonts w:cs="Arial"/>
        </w:rPr>
        <w:t>Social Housing transfer tenants within Medway who are under occupying</w:t>
      </w:r>
    </w:p>
    <w:p w:rsidR="00AD6912" w:rsidRPr="00D72A99" w:rsidRDefault="00AD6912" w:rsidP="00AD6912">
      <w:pPr>
        <w:pStyle w:val="BodyText"/>
        <w:numPr>
          <w:ilvl w:val="0"/>
          <w:numId w:val="11"/>
        </w:numPr>
        <w:tabs>
          <w:tab w:val="left" w:pos="821"/>
        </w:tabs>
        <w:spacing w:before="139" w:line="359" w:lineRule="auto"/>
        <w:ind w:right="279"/>
        <w:rPr>
          <w:rFonts w:cs="Arial"/>
        </w:rPr>
      </w:pPr>
      <w:r w:rsidRPr="00D72A99">
        <w:rPr>
          <w:rFonts w:cs="Arial"/>
        </w:rPr>
        <w:t>Social Housing transfer tenants within Medway</w:t>
      </w:r>
    </w:p>
    <w:p w:rsidR="00AD6912" w:rsidRPr="00D72A99" w:rsidRDefault="00AD6912" w:rsidP="00AD6912">
      <w:pPr>
        <w:pStyle w:val="BodyText"/>
        <w:numPr>
          <w:ilvl w:val="0"/>
          <w:numId w:val="11"/>
        </w:numPr>
        <w:tabs>
          <w:tab w:val="left" w:pos="821"/>
        </w:tabs>
        <w:spacing w:before="139" w:line="359" w:lineRule="auto"/>
        <w:ind w:right="279"/>
        <w:rPr>
          <w:rFonts w:cs="Arial"/>
        </w:rPr>
      </w:pPr>
      <w:r w:rsidRPr="00D72A99">
        <w:rPr>
          <w:rFonts w:cs="Arial"/>
        </w:rPr>
        <w:lastRenderedPageBreak/>
        <w:t xml:space="preserve">Other households </w:t>
      </w:r>
    </w:p>
    <w:p w:rsidR="00D90E3A" w:rsidRPr="00D72A99" w:rsidRDefault="00D90E3A" w:rsidP="00D90E3A">
      <w:pPr>
        <w:pStyle w:val="BodyText"/>
        <w:tabs>
          <w:tab w:val="left" w:pos="821"/>
        </w:tabs>
        <w:spacing w:before="139" w:line="359" w:lineRule="auto"/>
        <w:ind w:right="279"/>
        <w:rPr>
          <w:rFonts w:cs="Arial"/>
          <w:sz w:val="12"/>
          <w:szCs w:val="12"/>
        </w:rPr>
      </w:pPr>
    </w:p>
    <w:p w:rsidR="000828CA" w:rsidRPr="008B223E" w:rsidRDefault="003A7E10" w:rsidP="008B223E">
      <w:pPr>
        <w:pStyle w:val="Heading1"/>
      </w:pPr>
      <w:r w:rsidRPr="008B223E">
        <w:t>Other criteria</w:t>
      </w:r>
    </w:p>
    <w:p w:rsidR="000828CA" w:rsidRPr="00D72A99" w:rsidRDefault="000828CA" w:rsidP="00D72A99">
      <w:pPr>
        <w:pStyle w:val="BodyText"/>
        <w:tabs>
          <w:tab w:val="left" w:pos="821"/>
        </w:tabs>
        <w:spacing w:before="139" w:line="359" w:lineRule="auto"/>
        <w:ind w:right="279"/>
        <w:rPr>
          <w:rFonts w:cs="Arial"/>
          <w:b/>
          <w:bCs/>
          <w:sz w:val="16"/>
          <w:szCs w:val="16"/>
        </w:rPr>
      </w:pPr>
    </w:p>
    <w:p w:rsidR="000828CA" w:rsidRPr="00D72A99" w:rsidRDefault="00501F19" w:rsidP="001E5E55">
      <w:pPr>
        <w:pStyle w:val="BodyText"/>
        <w:numPr>
          <w:ilvl w:val="0"/>
          <w:numId w:val="2"/>
        </w:numPr>
        <w:tabs>
          <w:tab w:val="left" w:pos="821"/>
        </w:tabs>
        <w:spacing w:line="360" w:lineRule="auto"/>
        <w:ind w:hanging="356"/>
        <w:rPr>
          <w:rFonts w:cs="Arial"/>
        </w:rPr>
      </w:pPr>
      <w:r w:rsidRPr="00D72A99">
        <w:rPr>
          <w:rFonts w:cs="Arial"/>
        </w:rPr>
        <w:t>Nominations</w:t>
      </w:r>
      <w:r w:rsidR="00CF667B" w:rsidRPr="00D72A99">
        <w:rPr>
          <w:rFonts w:cs="Arial"/>
        </w:rPr>
        <w:t xml:space="preserve"> for transfer tenants</w:t>
      </w:r>
      <w:r w:rsidRPr="00D72A99">
        <w:rPr>
          <w:rFonts w:cs="Arial"/>
        </w:rPr>
        <w:t xml:space="preserve"> </w:t>
      </w:r>
      <w:r w:rsidRPr="00D72A99">
        <w:rPr>
          <w:rFonts w:cs="Arial"/>
          <w:spacing w:val="-1"/>
        </w:rPr>
        <w:t>will</w:t>
      </w:r>
      <w:r w:rsidRPr="00D72A99">
        <w:rPr>
          <w:rFonts w:cs="Arial"/>
        </w:rPr>
        <w:t xml:space="preserve"> be </w:t>
      </w:r>
      <w:r w:rsidRPr="00D72A99">
        <w:rPr>
          <w:rFonts w:cs="Arial"/>
          <w:spacing w:val="-1"/>
        </w:rPr>
        <w:t>visited</w:t>
      </w:r>
      <w:r w:rsidRPr="00D72A99">
        <w:rPr>
          <w:rFonts w:cs="Arial"/>
        </w:rPr>
        <w:t xml:space="preserve"> by</w:t>
      </w:r>
      <w:r w:rsidRPr="00D72A99">
        <w:rPr>
          <w:rFonts w:cs="Arial"/>
          <w:spacing w:val="-3"/>
        </w:rPr>
        <w:t xml:space="preserve"> </w:t>
      </w:r>
      <w:r w:rsidRPr="00D72A99">
        <w:rPr>
          <w:rFonts w:cs="Arial"/>
        </w:rPr>
        <w:t>a</w:t>
      </w:r>
      <w:r w:rsidRPr="00D72A99">
        <w:rPr>
          <w:rFonts w:cs="Arial"/>
          <w:spacing w:val="1"/>
        </w:rPr>
        <w:t xml:space="preserve"> </w:t>
      </w:r>
      <w:r w:rsidRPr="00D72A99">
        <w:rPr>
          <w:rFonts w:cs="Arial"/>
          <w:spacing w:val="-1"/>
        </w:rPr>
        <w:t>Housing Officer</w:t>
      </w:r>
      <w:r w:rsidRPr="00D72A99">
        <w:rPr>
          <w:rFonts w:cs="Arial"/>
        </w:rPr>
        <w:t xml:space="preserve"> prior to</w:t>
      </w:r>
      <w:r w:rsidRPr="00D72A99">
        <w:rPr>
          <w:rFonts w:cs="Arial"/>
          <w:spacing w:val="-2"/>
        </w:rPr>
        <w:t xml:space="preserve"> </w:t>
      </w:r>
      <w:r w:rsidRPr="00D72A99">
        <w:rPr>
          <w:rFonts w:cs="Arial"/>
        </w:rPr>
        <w:t>a</w:t>
      </w:r>
      <w:r w:rsidRPr="00D72A99">
        <w:rPr>
          <w:rFonts w:cs="Arial"/>
          <w:spacing w:val="-2"/>
        </w:rPr>
        <w:t xml:space="preserve"> </w:t>
      </w:r>
      <w:r w:rsidRPr="00D72A99">
        <w:rPr>
          <w:rFonts w:cs="Arial"/>
          <w:spacing w:val="-1"/>
        </w:rPr>
        <w:t>formal</w:t>
      </w:r>
      <w:r w:rsidRPr="00D72A99">
        <w:rPr>
          <w:rFonts w:cs="Arial"/>
          <w:spacing w:val="-3"/>
        </w:rPr>
        <w:t xml:space="preserve"> </w:t>
      </w:r>
      <w:r w:rsidRPr="00D72A99">
        <w:rPr>
          <w:rFonts w:cs="Arial"/>
        </w:rPr>
        <w:t>offer</w:t>
      </w:r>
    </w:p>
    <w:p w:rsidR="002F22A6" w:rsidRPr="00D72A99" w:rsidRDefault="002F22A6" w:rsidP="001E5E55">
      <w:pPr>
        <w:pStyle w:val="BodyText"/>
        <w:tabs>
          <w:tab w:val="left" w:pos="821"/>
        </w:tabs>
        <w:spacing w:line="360" w:lineRule="auto"/>
        <w:ind w:left="813" w:firstLine="0"/>
        <w:rPr>
          <w:rFonts w:cs="Arial"/>
          <w:sz w:val="16"/>
          <w:szCs w:val="16"/>
        </w:rPr>
      </w:pPr>
    </w:p>
    <w:p w:rsidR="00C11557" w:rsidRPr="00D72A99" w:rsidRDefault="00501F19" w:rsidP="001E5E55">
      <w:pPr>
        <w:pStyle w:val="BodyText"/>
        <w:numPr>
          <w:ilvl w:val="0"/>
          <w:numId w:val="2"/>
        </w:numPr>
        <w:tabs>
          <w:tab w:val="left" w:pos="821"/>
        </w:tabs>
        <w:spacing w:before="14" w:line="360" w:lineRule="auto"/>
        <w:ind w:right="214" w:hanging="356"/>
        <w:rPr>
          <w:rFonts w:cs="Arial"/>
        </w:rPr>
      </w:pPr>
      <w:r w:rsidRPr="00D72A99">
        <w:rPr>
          <w:rFonts w:cs="Arial"/>
        </w:rPr>
        <w:t>Where</w:t>
      </w:r>
      <w:r w:rsidRPr="00D72A99">
        <w:rPr>
          <w:rFonts w:cs="Arial"/>
          <w:spacing w:val="-3"/>
        </w:rPr>
        <w:t xml:space="preserve"> </w:t>
      </w:r>
      <w:r w:rsidRPr="00D72A99">
        <w:rPr>
          <w:rFonts w:cs="Arial"/>
          <w:spacing w:val="-1"/>
        </w:rPr>
        <w:t>the</w:t>
      </w:r>
      <w:r w:rsidRPr="00D72A99">
        <w:rPr>
          <w:rFonts w:cs="Arial"/>
        </w:rPr>
        <w:t xml:space="preserve"> </w:t>
      </w:r>
      <w:r w:rsidRPr="00D72A99">
        <w:rPr>
          <w:rFonts w:cs="Arial"/>
          <w:spacing w:val="-1"/>
        </w:rPr>
        <w:t>transfer</w:t>
      </w:r>
      <w:r w:rsidRPr="00D72A99">
        <w:rPr>
          <w:rFonts w:cs="Arial"/>
        </w:rPr>
        <w:t xml:space="preserve"> </w:t>
      </w:r>
      <w:r w:rsidRPr="00D72A99">
        <w:rPr>
          <w:rFonts w:cs="Arial"/>
          <w:spacing w:val="-1"/>
        </w:rPr>
        <w:t>applicants</w:t>
      </w:r>
      <w:r w:rsidRPr="00D72A99">
        <w:rPr>
          <w:rFonts w:cs="Arial"/>
        </w:rPr>
        <w:t xml:space="preserve"> </w:t>
      </w:r>
      <w:r w:rsidRPr="00D72A99">
        <w:rPr>
          <w:rFonts w:cs="Arial"/>
          <w:spacing w:val="-1"/>
        </w:rPr>
        <w:t>property</w:t>
      </w:r>
      <w:r w:rsidRPr="00D72A99">
        <w:rPr>
          <w:rFonts w:cs="Arial"/>
          <w:spacing w:val="-3"/>
        </w:rPr>
        <w:t xml:space="preserve"> </w:t>
      </w:r>
      <w:r w:rsidRPr="00D72A99">
        <w:rPr>
          <w:rFonts w:cs="Arial"/>
        </w:rPr>
        <w:t xml:space="preserve">has </w:t>
      </w:r>
      <w:r w:rsidRPr="00D72A99">
        <w:rPr>
          <w:rFonts w:cs="Arial"/>
          <w:spacing w:val="-1"/>
        </w:rPr>
        <w:t>not</w:t>
      </w:r>
      <w:r w:rsidRPr="00D72A99">
        <w:rPr>
          <w:rFonts w:cs="Arial"/>
        </w:rPr>
        <w:t xml:space="preserve"> </w:t>
      </w:r>
      <w:r w:rsidRPr="00D72A99">
        <w:rPr>
          <w:rFonts w:cs="Arial"/>
          <w:spacing w:val="-1"/>
        </w:rPr>
        <w:t>been</w:t>
      </w:r>
      <w:r w:rsidRPr="00D72A99">
        <w:rPr>
          <w:rFonts w:cs="Arial"/>
          <w:spacing w:val="-2"/>
        </w:rPr>
        <w:t xml:space="preserve"> </w:t>
      </w:r>
      <w:r w:rsidRPr="00D72A99">
        <w:rPr>
          <w:rFonts w:cs="Arial"/>
          <w:spacing w:val="-1"/>
        </w:rPr>
        <w:t>maintained</w:t>
      </w:r>
      <w:r w:rsidRPr="00D72A99">
        <w:rPr>
          <w:rFonts w:cs="Arial"/>
        </w:rPr>
        <w:t xml:space="preserve"> in</w:t>
      </w:r>
      <w:r w:rsidRPr="00D72A99">
        <w:rPr>
          <w:rFonts w:cs="Arial"/>
          <w:spacing w:val="-2"/>
        </w:rPr>
        <w:t xml:space="preserve"> </w:t>
      </w:r>
      <w:r w:rsidRPr="00D72A99">
        <w:rPr>
          <w:rFonts w:cs="Arial"/>
          <w:spacing w:val="-1"/>
        </w:rPr>
        <w:t xml:space="preserve"> accordance</w:t>
      </w:r>
      <w:r w:rsidRPr="00D72A99">
        <w:rPr>
          <w:rFonts w:cs="Arial"/>
        </w:rPr>
        <w:t xml:space="preserve"> </w:t>
      </w:r>
      <w:r w:rsidRPr="00D72A99">
        <w:rPr>
          <w:rFonts w:cs="Arial"/>
          <w:spacing w:val="-1"/>
        </w:rPr>
        <w:t>with</w:t>
      </w:r>
      <w:r w:rsidRPr="00D72A99">
        <w:rPr>
          <w:rFonts w:cs="Arial"/>
        </w:rPr>
        <w:t xml:space="preserve"> </w:t>
      </w:r>
      <w:r w:rsidRPr="00D72A99">
        <w:rPr>
          <w:rFonts w:cs="Arial"/>
          <w:spacing w:val="-1"/>
        </w:rPr>
        <w:t>the</w:t>
      </w:r>
      <w:r w:rsidRPr="00D72A99">
        <w:rPr>
          <w:rFonts w:cs="Arial"/>
        </w:rPr>
        <w:t xml:space="preserve"> conditions</w:t>
      </w:r>
      <w:r w:rsidRPr="00D72A99">
        <w:rPr>
          <w:rFonts w:cs="Arial"/>
          <w:spacing w:val="-3"/>
        </w:rPr>
        <w:t xml:space="preserve"> </w:t>
      </w:r>
      <w:r w:rsidRPr="00D72A99">
        <w:rPr>
          <w:rFonts w:cs="Arial"/>
          <w:spacing w:val="-1"/>
        </w:rPr>
        <w:t>of</w:t>
      </w:r>
      <w:r w:rsidRPr="00D72A99">
        <w:rPr>
          <w:rFonts w:cs="Arial"/>
        </w:rPr>
        <w:t xml:space="preserve"> the</w:t>
      </w:r>
      <w:r w:rsidRPr="00D72A99">
        <w:rPr>
          <w:rFonts w:cs="Arial"/>
          <w:spacing w:val="-2"/>
        </w:rPr>
        <w:t xml:space="preserve"> </w:t>
      </w:r>
      <w:r w:rsidRPr="00D72A99">
        <w:rPr>
          <w:rFonts w:cs="Arial"/>
          <w:spacing w:val="-1"/>
        </w:rPr>
        <w:t>tenancy,</w:t>
      </w:r>
      <w:r w:rsidRPr="00D72A99">
        <w:rPr>
          <w:rFonts w:cs="Arial"/>
        </w:rPr>
        <w:t xml:space="preserve"> the</w:t>
      </w:r>
      <w:r w:rsidRPr="00D72A99">
        <w:rPr>
          <w:rFonts w:cs="Arial"/>
          <w:spacing w:val="89"/>
        </w:rPr>
        <w:t xml:space="preserve"> </w:t>
      </w:r>
      <w:r w:rsidRPr="00D72A99">
        <w:rPr>
          <w:rFonts w:cs="Arial"/>
        </w:rPr>
        <w:t>council</w:t>
      </w:r>
      <w:r w:rsidRPr="00D72A99">
        <w:rPr>
          <w:rFonts w:cs="Arial"/>
          <w:spacing w:val="-1"/>
        </w:rPr>
        <w:t xml:space="preserve"> reserves</w:t>
      </w:r>
      <w:r w:rsidRPr="00D72A99">
        <w:rPr>
          <w:rFonts w:cs="Arial"/>
        </w:rPr>
        <w:t xml:space="preserve"> </w:t>
      </w:r>
      <w:r w:rsidR="00742D8C" w:rsidRPr="00D72A99">
        <w:rPr>
          <w:rFonts w:cs="Arial"/>
          <w:spacing w:val="-1"/>
        </w:rPr>
        <w:t>the</w:t>
      </w:r>
      <w:r w:rsidRPr="00D72A99">
        <w:rPr>
          <w:rFonts w:cs="Arial"/>
        </w:rPr>
        <w:t xml:space="preserve"> </w:t>
      </w:r>
      <w:r w:rsidRPr="00D72A99">
        <w:rPr>
          <w:rFonts w:cs="Arial"/>
          <w:spacing w:val="-1"/>
        </w:rPr>
        <w:t>right</w:t>
      </w:r>
      <w:r w:rsidRPr="00D72A99">
        <w:rPr>
          <w:rFonts w:cs="Arial"/>
        </w:rPr>
        <w:t xml:space="preserve"> to</w:t>
      </w:r>
      <w:r w:rsidRPr="00D72A99">
        <w:rPr>
          <w:rFonts w:cs="Arial"/>
          <w:spacing w:val="4"/>
        </w:rPr>
        <w:t xml:space="preserve"> </w:t>
      </w:r>
      <w:r w:rsidRPr="00D72A99">
        <w:rPr>
          <w:rFonts w:cs="Arial"/>
          <w:spacing w:val="-1"/>
        </w:rPr>
        <w:t>withdraw</w:t>
      </w:r>
      <w:r w:rsidRPr="00D72A99">
        <w:rPr>
          <w:rFonts w:cs="Arial"/>
          <w:spacing w:val="-3"/>
        </w:rPr>
        <w:t xml:space="preserve"> </w:t>
      </w:r>
      <w:r w:rsidRPr="00D72A99">
        <w:rPr>
          <w:rFonts w:cs="Arial"/>
        </w:rPr>
        <w:t xml:space="preserve">an </w:t>
      </w:r>
      <w:r w:rsidRPr="00D72A99">
        <w:rPr>
          <w:rFonts w:cs="Arial"/>
          <w:spacing w:val="-1"/>
        </w:rPr>
        <w:t>offer</w:t>
      </w:r>
    </w:p>
    <w:p w:rsidR="00742D8C" w:rsidRPr="00D72A99" w:rsidRDefault="00742D8C" w:rsidP="00742D8C">
      <w:pPr>
        <w:pStyle w:val="ListParagraph"/>
        <w:rPr>
          <w:rFonts w:ascii="Arial" w:hAnsi="Arial" w:cs="Arial"/>
          <w:sz w:val="16"/>
          <w:szCs w:val="16"/>
          <w:vertAlign w:val="subscript"/>
        </w:rPr>
      </w:pPr>
    </w:p>
    <w:p w:rsidR="00742D8C" w:rsidRPr="00D72A99" w:rsidRDefault="00742D8C" w:rsidP="001E5E55">
      <w:pPr>
        <w:pStyle w:val="BodyText"/>
        <w:numPr>
          <w:ilvl w:val="0"/>
          <w:numId w:val="2"/>
        </w:numPr>
        <w:tabs>
          <w:tab w:val="left" w:pos="821"/>
        </w:tabs>
        <w:spacing w:before="14" w:line="360" w:lineRule="auto"/>
        <w:ind w:right="214" w:hanging="356"/>
        <w:rPr>
          <w:rFonts w:cs="Arial"/>
        </w:rPr>
      </w:pPr>
      <w:r w:rsidRPr="00D72A99">
        <w:rPr>
          <w:rFonts w:cs="Arial"/>
        </w:rPr>
        <w:t>Applicants and member of the household will not be the perpetrators of serious and/or ongoing nuisance or anti-social behavior at their current home, or had any legal action taken against them including a Notice Seeking Possession</w:t>
      </w:r>
    </w:p>
    <w:p w:rsidR="00742D8C" w:rsidRPr="00D72A99" w:rsidRDefault="00742D8C" w:rsidP="00742D8C">
      <w:pPr>
        <w:pStyle w:val="ListParagraph"/>
        <w:rPr>
          <w:rFonts w:ascii="Arial" w:hAnsi="Arial" w:cs="Arial"/>
          <w:sz w:val="16"/>
          <w:szCs w:val="16"/>
          <w:vertAlign w:val="subscript"/>
        </w:rPr>
      </w:pPr>
    </w:p>
    <w:p w:rsidR="00742D8C" w:rsidRPr="00D72A99" w:rsidRDefault="00742D8C" w:rsidP="001E5E55">
      <w:pPr>
        <w:pStyle w:val="BodyText"/>
        <w:numPr>
          <w:ilvl w:val="0"/>
          <w:numId w:val="2"/>
        </w:numPr>
        <w:tabs>
          <w:tab w:val="left" w:pos="821"/>
        </w:tabs>
        <w:spacing w:before="14" w:line="360" w:lineRule="auto"/>
        <w:ind w:right="214" w:hanging="356"/>
        <w:rPr>
          <w:rFonts w:cs="Arial"/>
        </w:rPr>
      </w:pPr>
      <w:r w:rsidRPr="00D72A99">
        <w:rPr>
          <w:rFonts w:cs="Arial"/>
        </w:rPr>
        <w:t xml:space="preserve">Applicants will not have been evicted for nuisance or anti social behavior from any previous addresses.  Discretion may be used if an applicant can show that they have over a period of not less than three years rectified their </w:t>
      </w:r>
      <w:r w:rsidR="004729AE" w:rsidRPr="00D72A99">
        <w:rPr>
          <w:rFonts w:cs="Arial"/>
        </w:rPr>
        <w:t>behavior</w:t>
      </w:r>
    </w:p>
    <w:p w:rsidR="004729AE" w:rsidRPr="00D72A99" w:rsidRDefault="004729AE" w:rsidP="004729AE">
      <w:pPr>
        <w:pStyle w:val="ListParagraph"/>
        <w:rPr>
          <w:rFonts w:ascii="Arial" w:hAnsi="Arial" w:cs="Arial"/>
          <w:sz w:val="16"/>
          <w:szCs w:val="16"/>
        </w:rPr>
      </w:pPr>
    </w:p>
    <w:p w:rsidR="004729AE" w:rsidRPr="00D72A99" w:rsidRDefault="004729AE" w:rsidP="001E5E55">
      <w:pPr>
        <w:pStyle w:val="BodyText"/>
        <w:numPr>
          <w:ilvl w:val="0"/>
          <w:numId w:val="2"/>
        </w:numPr>
        <w:tabs>
          <w:tab w:val="left" w:pos="821"/>
        </w:tabs>
        <w:spacing w:before="14" w:line="360" w:lineRule="auto"/>
        <w:ind w:right="214" w:hanging="356"/>
        <w:rPr>
          <w:rFonts w:cs="Arial"/>
        </w:rPr>
      </w:pPr>
      <w:r w:rsidRPr="00D72A99">
        <w:rPr>
          <w:rFonts w:cs="Arial"/>
        </w:rPr>
        <w:t xml:space="preserve">Applicants will not be in rent arrears for their current home where a Notice of Seeking Possession has been served because of the arrears.  </w:t>
      </w:r>
      <w:r w:rsidR="005F25C5" w:rsidRPr="00D72A99">
        <w:rPr>
          <w:rFonts w:cs="Arial"/>
        </w:rPr>
        <w:t>Discretion</w:t>
      </w:r>
      <w:r w:rsidRPr="00D72A99">
        <w:rPr>
          <w:rFonts w:cs="Arial"/>
        </w:rPr>
        <w:t xml:space="preserve"> will be used if the arrears relate to a delay in Housing Benefit payment</w:t>
      </w:r>
      <w:r w:rsidR="007A01AB" w:rsidRPr="00D72A99">
        <w:rPr>
          <w:rFonts w:cs="Arial"/>
        </w:rPr>
        <w:t>,</w:t>
      </w:r>
      <w:r w:rsidRPr="00D72A99">
        <w:rPr>
          <w:rFonts w:cs="Arial"/>
        </w:rPr>
        <w:t xml:space="preserve"> where the arrears will be paid in full, once the claim has been processed (evidence will be required</w:t>
      </w:r>
      <w:r w:rsidR="001858E0" w:rsidRPr="00D72A99">
        <w:rPr>
          <w:rFonts w:cs="Arial"/>
        </w:rPr>
        <w:t>)</w:t>
      </w:r>
    </w:p>
    <w:p w:rsidR="000828CA" w:rsidRPr="00D72A99" w:rsidRDefault="000B3D11" w:rsidP="001E5E55">
      <w:pPr>
        <w:pStyle w:val="BodyText"/>
        <w:numPr>
          <w:ilvl w:val="0"/>
          <w:numId w:val="2"/>
        </w:numPr>
        <w:spacing w:line="360" w:lineRule="auto"/>
        <w:rPr>
          <w:rFonts w:cs="Arial"/>
        </w:rPr>
      </w:pPr>
      <w:r w:rsidRPr="00D72A99">
        <w:rPr>
          <w:rFonts w:cs="Arial"/>
        </w:rPr>
        <w:t xml:space="preserve">Any debts that are owed to the Council </w:t>
      </w:r>
      <w:r w:rsidR="0045587F" w:rsidRPr="00D72A99">
        <w:rPr>
          <w:rFonts w:cs="Arial"/>
        </w:rPr>
        <w:t xml:space="preserve">must be paid prior to an offer of accommodation, </w:t>
      </w:r>
      <w:r w:rsidRPr="00D72A99">
        <w:rPr>
          <w:rFonts w:cs="Arial"/>
        </w:rPr>
        <w:t>unless the monies owed can be cleared as a result of any incentive payments that may be applicable as a result of mov</w:t>
      </w:r>
      <w:r w:rsidR="008B223E">
        <w:rPr>
          <w:rFonts w:cs="Arial"/>
        </w:rPr>
        <w:t>ing to smaller accommodation.</w:t>
      </w:r>
    </w:p>
    <w:p w:rsidR="007A01AB" w:rsidRPr="00DC164E" w:rsidRDefault="007A01AB" w:rsidP="007A01AB">
      <w:pPr>
        <w:pStyle w:val="ListParagraph"/>
        <w:rPr>
          <w:rFonts w:ascii="Arial" w:hAnsi="Arial" w:cs="Arial"/>
          <w:sz w:val="12"/>
          <w:szCs w:val="12"/>
        </w:rPr>
      </w:pPr>
    </w:p>
    <w:p w:rsidR="007A01AB" w:rsidRPr="00D72A99" w:rsidRDefault="007A01AB" w:rsidP="007A01AB">
      <w:pPr>
        <w:pStyle w:val="BodyText"/>
        <w:numPr>
          <w:ilvl w:val="0"/>
          <w:numId w:val="2"/>
        </w:numPr>
        <w:rPr>
          <w:rFonts w:cs="Arial"/>
        </w:rPr>
      </w:pPr>
      <w:r w:rsidRPr="00D72A99">
        <w:rPr>
          <w:rFonts w:cs="Arial"/>
        </w:rPr>
        <w:t>Consideration may be given to allocation of property where arrears are evident and tenants can evidence that the arrears are only caused by changes to Housing Benefit as a result of recent Welfare Reform changes due to the bedroom size criteria due to under occupation of the existing tenancy.   Any decision will be based on an agreement for a payment plan to be signed by the tenant to clear the former tenancy arrears if rehousing takes place where this situation arises.</w:t>
      </w:r>
    </w:p>
    <w:p w:rsidR="009C2EA8" w:rsidRPr="00DC164E" w:rsidRDefault="009C2EA8" w:rsidP="001E5E55">
      <w:pPr>
        <w:pStyle w:val="ListParagraph"/>
        <w:spacing w:line="360" w:lineRule="auto"/>
        <w:rPr>
          <w:rFonts w:ascii="Arial" w:hAnsi="Arial" w:cs="Arial"/>
          <w:sz w:val="12"/>
          <w:szCs w:val="12"/>
        </w:rPr>
      </w:pPr>
    </w:p>
    <w:p w:rsidR="009C2EA8" w:rsidRPr="00D72A99" w:rsidRDefault="009C2EA8" w:rsidP="001E5E55">
      <w:pPr>
        <w:pStyle w:val="BodyText"/>
        <w:numPr>
          <w:ilvl w:val="0"/>
          <w:numId w:val="2"/>
        </w:numPr>
        <w:spacing w:line="360" w:lineRule="auto"/>
        <w:rPr>
          <w:rFonts w:cs="Arial"/>
        </w:rPr>
      </w:pPr>
      <w:r w:rsidRPr="00D72A99">
        <w:rPr>
          <w:rFonts w:cs="Arial"/>
        </w:rPr>
        <w:t>Applicants and members of the household will not be connected to any activity in the use or supply of drugs</w:t>
      </w:r>
      <w:r w:rsidR="000A0FE6" w:rsidRPr="00D72A99">
        <w:rPr>
          <w:rFonts w:cs="Arial"/>
        </w:rPr>
        <w:t>,</w:t>
      </w:r>
      <w:r w:rsidRPr="00D72A99">
        <w:rPr>
          <w:rFonts w:cs="Arial"/>
        </w:rPr>
        <w:t xml:space="preserve"> or any alcohol or substance misuse</w:t>
      </w:r>
    </w:p>
    <w:p w:rsidR="009C2EA8" w:rsidRPr="00D72A99" w:rsidRDefault="009C2EA8" w:rsidP="001E5E55">
      <w:pPr>
        <w:pStyle w:val="ListParagraph"/>
        <w:spacing w:line="360" w:lineRule="auto"/>
        <w:rPr>
          <w:rFonts w:ascii="Arial" w:hAnsi="Arial" w:cs="Arial"/>
          <w:sz w:val="16"/>
          <w:szCs w:val="16"/>
        </w:rPr>
      </w:pPr>
    </w:p>
    <w:p w:rsidR="009C2EA8" w:rsidRPr="00D72A99" w:rsidRDefault="009C2EA8" w:rsidP="001E5E55">
      <w:pPr>
        <w:pStyle w:val="BodyText"/>
        <w:numPr>
          <w:ilvl w:val="0"/>
          <w:numId w:val="2"/>
        </w:numPr>
        <w:spacing w:line="360" w:lineRule="auto"/>
        <w:rPr>
          <w:rFonts w:cs="Arial"/>
        </w:rPr>
      </w:pPr>
      <w:r w:rsidRPr="00D72A99">
        <w:rPr>
          <w:rFonts w:cs="Arial"/>
        </w:rPr>
        <w:lastRenderedPageBreak/>
        <w:t xml:space="preserve">Applicants and members of the household will not have any outstanding criminal convictions or recent criminal convictions that would impact </w:t>
      </w:r>
      <w:r w:rsidR="00404A40" w:rsidRPr="00D72A99">
        <w:rPr>
          <w:rFonts w:cs="Arial"/>
        </w:rPr>
        <w:t xml:space="preserve">upon the management of the tenancy or </w:t>
      </w:r>
      <w:r w:rsidR="007A01AB" w:rsidRPr="00D72A99">
        <w:rPr>
          <w:rFonts w:cs="Arial"/>
        </w:rPr>
        <w:t xml:space="preserve">the </w:t>
      </w:r>
      <w:r w:rsidR="00404A40" w:rsidRPr="00D72A99">
        <w:rPr>
          <w:rFonts w:cs="Arial"/>
        </w:rPr>
        <w:t xml:space="preserve">local community </w:t>
      </w:r>
    </w:p>
    <w:p w:rsidR="000A0FE6" w:rsidRPr="00D72A99" w:rsidRDefault="000A0FE6" w:rsidP="001E5E55">
      <w:pPr>
        <w:pStyle w:val="ListParagraph"/>
        <w:spacing w:line="360" w:lineRule="auto"/>
        <w:rPr>
          <w:rFonts w:ascii="Arial" w:hAnsi="Arial" w:cs="Arial"/>
          <w:sz w:val="16"/>
          <w:szCs w:val="16"/>
        </w:rPr>
      </w:pPr>
    </w:p>
    <w:p w:rsidR="000A0FE6" w:rsidRPr="00D72A99" w:rsidRDefault="000A0FE6" w:rsidP="001E5E55">
      <w:pPr>
        <w:pStyle w:val="BodyText"/>
        <w:numPr>
          <w:ilvl w:val="0"/>
          <w:numId w:val="2"/>
        </w:numPr>
        <w:spacing w:line="360" w:lineRule="auto"/>
        <w:rPr>
          <w:rFonts w:cs="Arial"/>
        </w:rPr>
      </w:pPr>
      <w:r w:rsidRPr="00D72A99">
        <w:rPr>
          <w:rFonts w:cs="Arial"/>
        </w:rPr>
        <w:t>Applicants will not have any outstanding or current tenancy notice for any breaches of tenancy</w:t>
      </w:r>
    </w:p>
    <w:p w:rsidR="001956B1" w:rsidRPr="00D72A99" w:rsidRDefault="001956B1" w:rsidP="001E5E55">
      <w:pPr>
        <w:pStyle w:val="ListParagraph"/>
        <w:spacing w:line="360" w:lineRule="auto"/>
        <w:rPr>
          <w:rFonts w:ascii="Arial" w:hAnsi="Arial" w:cs="Arial"/>
          <w:sz w:val="16"/>
          <w:szCs w:val="16"/>
        </w:rPr>
      </w:pPr>
    </w:p>
    <w:p w:rsidR="001956B1" w:rsidRPr="00D72A99" w:rsidRDefault="001956B1" w:rsidP="001E5E55">
      <w:pPr>
        <w:pStyle w:val="BodyText"/>
        <w:numPr>
          <w:ilvl w:val="0"/>
          <w:numId w:val="2"/>
        </w:numPr>
        <w:tabs>
          <w:tab w:val="left" w:pos="481"/>
        </w:tabs>
        <w:spacing w:line="360" w:lineRule="auto"/>
        <w:ind w:right="925"/>
        <w:rPr>
          <w:rFonts w:cs="Arial"/>
        </w:rPr>
      </w:pPr>
      <w:r w:rsidRPr="00D72A99">
        <w:rPr>
          <w:rFonts w:cs="Arial"/>
        </w:rPr>
        <w:t>Any</w:t>
      </w:r>
      <w:r w:rsidRPr="00D72A99">
        <w:rPr>
          <w:rFonts w:cs="Arial"/>
          <w:spacing w:val="-3"/>
        </w:rPr>
        <w:t xml:space="preserve"> </w:t>
      </w:r>
      <w:r w:rsidRPr="00D72A99">
        <w:rPr>
          <w:rFonts w:cs="Arial"/>
        </w:rPr>
        <w:t xml:space="preserve">person </w:t>
      </w:r>
      <w:r w:rsidRPr="00D72A99">
        <w:rPr>
          <w:rFonts w:cs="Arial"/>
          <w:spacing w:val="-1"/>
        </w:rPr>
        <w:t>considered</w:t>
      </w:r>
      <w:r w:rsidRPr="00D72A99">
        <w:rPr>
          <w:rFonts w:cs="Arial"/>
          <w:spacing w:val="-2"/>
        </w:rPr>
        <w:t xml:space="preserve"> </w:t>
      </w:r>
      <w:r w:rsidRPr="00D72A99">
        <w:rPr>
          <w:rFonts w:cs="Arial"/>
        </w:rPr>
        <w:t xml:space="preserve">to </w:t>
      </w:r>
      <w:r w:rsidRPr="00D72A99">
        <w:rPr>
          <w:rFonts w:cs="Arial"/>
          <w:spacing w:val="-1"/>
        </w:rPr>
        <w:t>be</w:t>
      </w:r>
      <w:r w:rsidRPr="00D72A99">
        <w:rPr>
          <w:rFonts w:cs="Arial"/>
        </w:rPr>
        <w:t xml:space="preserve"> in</w:t>
      </w:r>
      <w:r w:rsidRPr="00D72A99">
        <w:rPr>
          <w:rFonts w:cs="Arial"/>
          <w:spacing w:val="-2"/>
        </w:rPr>
        <w:t xml:space="preserve"> </w:t>
      </w:r>
      <w:r w:rsidRPr="00D72A99">
        <w:rPr>
          <w:rFonts w:cs="Arial"/>
          <w:spacing w:val="-1"/>
        </w:rPr>
        <w:t>need</w:t>
      </w:r>
      <w:r w:rsidRPr="00D72A99">
        <w:rPr>
          <w:rFonts w:cs="Arial"/>
        </w:rPr>
        <w:t xml:space="preserve"> </w:t>
      </w:r>
      <w:r w:rsidRPr="00D72A99">
        <w:rPr>
          <w:rFonts w:cs="Arial"/>
          <w:spacing w:val="-1"/>
        </w:rPr>
        <w:t>of</w:t>
      </w:r>
      <w:r w:rsidRPr="00D72A99">
        <w:rPr>
          <w:rFonts w:cs="Arial"/>
        </w:rPr>
        <w:t xml:space="preserve"> </w:t>
      </w:r>
      <w:r w:rsidRPr="00D72A99">
        <w:rPr>
          <w:rFonts w:cs="Arial"/>
          <w:spacing w:val="-1"/>
        </w:rPr>
        <w:t>support</w:t>
      </w:r>
      <w:r w:rsidRPr="00D72A99">
        <w:rPr>
          <w:rFonts w:cs="Arial"/>
        </w:rPr>
        <w:t xml:space="preserve"> to</w:t>
      </w:r>
      <w:r w:rsidRPr="00D72A99">
        <w:rPr>
          <w:rFonts w:cs="Arial"/>
          <w:spacing w:val="-1"/>
        </w:rPr>
        <w:t xml:space="preserve"> </w:t>
      </w:r>
      <w:r w:rsidRPr="00D72A99">
        <w:rPr>
          <w:rFonts w:cs="Arial"/>
        </w:rPr>
        <w:t xml:space="preserve">maintain </w:t>
      </w:r>
      <w:r w:rsidRPr="00D72A99">
        <w:rPr>
          <w:rFonts w:cs="Arial"/>
          <w:spacing w:val="-1"/>
        </w:rPr>
        <w:t>their</w:t>
      </w:r>
      <w:r w:rsidRPr="00D72A99">
        <w:rPr>
          <w:rFonts w:cs="Arial"/>
          <w:spacing w:val="-2"/>
        </w:rPr>
        <w:t xml:space="preserve"> </w:t>
      </w:r>
      <w:r w:rsidRPr="00D72A99">
        <w:rPr>
          <w:rFonts w:cs="Arial"/>
          <w:spacing w:val="-1"/>
        </w:rPr>
        <w:t>tenancy</w:t>
      </w:r>
      <w:r w:rsidRPr="00D72A99">
        <w:rPr>
          <w:rFonts w:cs="Arial"/>
        </w:rPr>
        <w:t xml:space="preserve"> </w:t>
      </w:r>
      <w:r w:rsidRPr="00D72A99">
        <w:rPr>
          <w:rFonts w:cs="Arial"/>
          <w:spacing w:val="-1"/>
        </w:rPr>
        <w:t>will</w:t>
      </w:r>
      <w:r w:rsidRPr="00D72A99">
        <w:rPr>
          <w:rFonts w:cs="Arial"/>
        </w:rPr>
        <w:t xml:space="preserve"> not be</w:t>
      </w:r>
      <w:r w:rsidRPr="00D72A99">
        <w:rPr>
          <w:rFonts w:cs="Arial"/>
          <w:spacing w:val="-2"/>
        </w:rPr>
        <w:t xml:space="preserve"> </w:t>
      </w:r>
      <w:r w:rsidRPr="00D72A99">
        <w:rPr>
          <w:rFonts w:cs="Arial"/>
          <w:spacing w:val="-1"/>
        </w:rPr>
        <w:t>made</w:t>
      </w:r>
      <w:r w:rsidRPr="00D72A99">
        <w:rPr>
          <w:rFonts w:cs="Arial"/>
          <w:spacing w:val="-2"/>
        </w:rPr>
        <w:t xml:space="preserve"> </w:t>
      </w:r>
      <w:r w:rsidRPr="00D72A99">
        <w:rPr>
          <w:rFonts w:cs="Arial"/>
          <w:spacing w:val="-1"/>
        </w:rPr>
        <w:t>an</w:t>
      </w:r>
      <w:r w:rsidRPr="00D72A99">
        <w:rPr>
          <w:rFonts w:cs="Arial"/>
        </w:rPr>
        <w:t xml:space="preserve"> </w:t>
      </w:r>
      <w:r w:rsidRPr="00D72A99">
        <w:rPr>
          <w:rFonts w:cs="Arial"/>
          <w:spacing w:val="-1"/>
        </w:rPr>
        <w:t>offer</w:t>
      </w:r>
      <w:r w:rsidRPr="00D72A99">
        <w:rPr>
          <w:rFonts w:cs="Arial"/>
        </w:rPr>
        <w:t xml:space="preserve"> </w:t>
      </w:r>
      <w:r w:rsidRPr="00D72A99">
        <w:rPr>
          <w:rFonts w:cs="Arial"/>
          <w:spacing w:val="-1"/>
        </w:rPr>
        <w:t>of</w:t>
      </w:r>
      <w:r w:rsidRPr="00D72A99">
        <w:rPr>
          <w:rFonts w:cs="Arial"/>
        </w:rPr>
        <w:t xml:space="preserve"> </w:t>
      </w:r>
      <w:r w:rsidRPr="00D72A99">
        <w:rPr>
          <w:rFonts w:cs="Arial"/>
          <w:spacing w:val="-1"/>
        </w:rPr>
        <w:t>accommodation</w:t>
      </w:r>
      <w:r w:rsidRPr="00D72A99">
        <w:rPr>
          <w:rFonts w:cs="Arial"/>
          <w:spacing w:val="75"/>
        </w:rPr>
        <w:t xml:space="preserve"> </w:t>
      </w:r>
      <w:r w:rsidRPr="00D72A99">
        <w:rPr>
          <w:rFonts w:cs="Arial"/>
          <w:spacing w:val="-1"/>
        </w:rPr>
        <w:t>without</w:t>
      </w:r>
      <w:r w:rsidRPr="00D72A99">
        <w:rPr>
          <w:rFonts w:cs="Arial"/>
        </w:rPr>
        <w:t xml:space="preserve"> </w:t>
      </w:r>
      <w:r w:rsidRPr="00D72A99">
        <w:rPr>
          <w:rFonts w:cs="Arial"/>
          <w:spacing w:val="-1"/>
        </w:rPr>
        <w:t>evidence that support</w:t>
      </w:r>
      <w:r w:rsidRPr="00D72A99">
        <w:rPr>
          <w:rFonts w:cs="Arial"/>
          <w:spacing w:val="-3"/>
        </w:rPr>
        <w:t xml:space="preserve">  is </w:t>
      </w:r>
      <w:r w:rsidRPr="00D72A99">
        <w:rPr>
          <w:rFonts w:cs="Arial"/>
        </w:rPr>
        <w:t>in place</w:t>
      </w:r>
    </w:p>
    <w:p w:rsidR="000828CA" w:rsidRPr="00D72A99" w:rsidRDefault="000828CA">
      <w:pPr>
        <w:spacing w:line="355" w:lineRule="auto"/>
        <w:rPr>
          <w:rFonts w:ascii="Arial" w:hAnsi="Arial" w:cs="Arial"/>
          <w:sz w:val="16"/>
          <w:szCs w:val="16"/>
        </w:rPr>
      </w:pPr>
    </w:p>
    <w:p w:rsidR="00873631" w:rsidRPr="00D72A99" w:rsidRDefault="00873631" w:rsidP="00600767">
      <w:pPr>
        <w:pStyle w:val="Heading1"/>
        <w:ind w:left="0"/>
        <w:rPr>
          <w:lang w:val="en-GB"/>
        </w:rPr>
      </w:pPr>
      <w:r w:rsidRPr="00D72A99">
        <w:rPr>
          <w:lang w:val="en-GB"/>
        </w:rPr>
        <w:t>Monitoring</w:t>
      </w:r>
    </w:p>
    <w:p w:rsidR="00873631" w:rsidRPr="00D72A99" w:rsidRDefault="00873631" w:rsidP="00873631">
      <w:pPr>
        <w:spacing w:line="355" w:lineRule="auto"/>
        <w:rPr>
          <w:rFonts w:ascii="Arial" w:hAnsi="Arial" w:cs="Arial"/>
          <w:sz w:val="24"/>
          <w:szCs w:val="24"/>
          <w:lang w:val="en-GB"/>
        </w:rPr>
      </w:pPr>
      <w:r w:rsidRPr="00D72A99">
        <w:rPr>
          <w:rFonts w:ascii="Arial" w:hAnsi="Arial" w:cs="Arial"/>
          <w:sz w:val="24"/>
          <w:szCs w:val="24"/>
          <w:lang w:val="en-GB"/>
        </w:rPr>
        <w:t>Local Lettings Plans will be monitored on an annual basis and will include:-</w:t>
      </w:r>
    </w:p>
    <w:p w:rsidR="00873631" w:rsidRPr="00D72A99" w:rsidRDefault="00873631" w:rsidP="00873631">
      <w:pPr>
        <w:spacing w:line="355" w:lineRule="auto"/>
        <w:rPr>
          <w:rFonts w:ascii="Arial" w:hAnsi="Arial" w:cs="Arial"/>
          <w:sz w:val="16"/>
          <w:szCs w:val="16"/>
          <w:lang w:val="en-GB"/>
        </w:rPr>
      </w:pPr>
    </w:p>
    <w:p w:rsidR="00873631" w:rsidRPr="00D72A99" w:rsidRDefault="00873631" w:rsidP="00873631">
      <w:pPr>
        <w:spacing w:line="355" w:lineRule="auto"/>
        <w:rPr>
          <w:rFonts w:ascii="Arial" w:hAnsi="Arial" w:cs="Arial"/>
          <w:sz w:val="24"/>
          <w:szCs w:val="24"/>
        </w:rPr>
      </w:pPr>
      <w:r w:rsidRPr="00D72A99">
        <w:rPr>
          <w:rFonts w:ascii="Arial" w:hAnsi="Arial" w:cs="Arial"/>
          <w:sz w:val="24"/>
          <w:szCs w:val="24"/>
          <w:lang w:val="en-GB"/>
        </w:rPr>
        <w:t xml:space="preserve">Whether the estate of bungalows is now more popular, i.e. monitor it against the original housing management indicators of the defined problems, such as void levels, number of transfer-out requests, turnover rate, refusal rates, occurrences of vandalism and graffiti </w:t>
      </w:r>
    </w:p>
    <w:p w:rsidR="00873631" w:rsidRPr="00D72A99" w:rsidRDefault="00873631" w:rsidP="00D72A99">
      <w:pPr>
        <w:pStyle w:val="TemplateBullet"/>
        <w:numPr>
          <w:ilvl w:val="0"/>
          <w:numId w:val="12"/>
        </w:numPr>
        <w:spacing w:before="100" w:after="100"/>
        <w:rPr>
          <w:rFonts w:ascii="Arial" w:hAnsi="Arial" w:cs="Arial"/>
          <w:color w:val="000000"/>
        </w:rPr>
      </w:pPr>
      <w:r w:rsidRPr="00D72A99">
        <w:rPr>
          <w:rFonts w:ascii="Arial" w:hAnsi="Arial" w:cs="Arial"/>
          <w:color w:val="000000"/>
        </w:rPr>
        <w:t xml:space="preserve">resident satisfaction </w:t>
      </w:r>
    </w:p>
    <w:p w:rsidR="004E29F8" w:rsidRPr="00D72A99" w:rsidRDefault="00873631" w:rsidP="00D72A99">
      <w:pPr>
        <w:pStyle w:val="TemplateBullet"/>
        <w:numPr>
          <w:ilvl w:val="0"/>
          <w:numId w:val="12"/>
        </w:numPr>
        <w:spacing w:before="100" w:after="100"/>
        <w:rPr>
          <w:rFonts w:ascii="Arial" w:hAnsi="Arial" w:cs="Arial"/>
          <w:color w:val="000000"/>
        </w:rPr>
      </w:pPr>
      <w:r w:rsidRPr="00D72A99">
        <w:rPr>
          <w:rFonts w:ascii="Arial" w:hAnsi="Arial" w:cs="Arial"/>
          <w:color w:val="000000"/>
        </w:rPr>
        <w:t>economic status of households against targets and local registered social landlord (RSL) averages, using CORE returns</w:t>
      </w:r>
    </w:p>
    <w:p w:rsidR="004E29F8" w:rsidRPr="00D72A99" w:rsidRDefault="004E29F8" w:rsidP="00D72A99">
      <w:pPr>
        <w:pStyle w:val="TemplateBullet"/>
        <w:numPr>
          <w:ilvl w:val="0"/>
          <w:numId w:val="12"/>
        </w:numPr>
        <w:spacing w:before="100" w:after="100"/>
        <w:rPr>
          <w:rFonts w:ascii="Arial" w:hAnsi="Arial" w:cs="Arial"/>
          <w:color w:val="000000"/>
        </w:rPr>
      </w:pPr>
      <w:r w:rsidRPr="00D72A99">
        <w:rPr>
          <w:rFonts w:ascii="Arial" w:hAnsi="Arial" w:cs="Arial"/>
          <w:color w:val="000000"/>
        </w:rPr>
        <w:t>Reduction in number of Medway tenants impacted by Welfare Reform benefit changes due to size criteria</w:t>
      </w:r>
    </w:p>
    <w:p w:rsidR="00873631" w:rsidRPr="00DC164E" w:rsidRDefault="004E29F8" w:rsidP="00DC164E">
      <w:pPr>
        <w:pStyle w:val="TemplateBullet"/>
        <w:numPr>
          <w:ilvl w:val="0"/>
          <w:numId w:val="12"/>
        </w:numPr>
        <w:spacing w:before="100" w:after="100"/>
        <w:rPr>
          <w:rFonts w:ascii="Arial" w:hAnsi="Arial" w:cs="Arial"/>
          <w:color w:val="000000"/>
        </w:rPr>
      </w:pPr>
      <w:r w:rsidRPr="00D72A99">
        <w:rPr>
          <w:rFonts w:ascii="Arial" w:hAnsi="Arial" w:cs="Arial"/>
          <w:color w:val="000000"/>
        </w:rPr>
        <w:t>Reduction in number of Social Housing stock properties under occupied.</w:t>
      </w:r>
    </w:p>
    <w:p w:rsidR="00873631" w:rsidRPr="00D72A99" w:rsidRDefault="00873631" w:rsidP="008B223E">
      <w:pPr>
        <w:pStyle w:val="Heading1"/>
      </w:pPr>
      <w:r w:rsidRPr="00D72A99">
        <w:t>Responsible Officer</w:t>
      </w:r>
    </w:p>
    <w:p w:rsidR="00873631" w:rsidRPr="00D72A99" w:rsidRDefault="00873631">
      <w:pPr>
        <w:spacing w:line="355" w:lineRule="auto"/>
        <w:rPr>
          <w:rFonts w:ascii="Arial" w:hAnsi="Arial" w:cs="Arial"/>
          <w:sz w:val="24"/>
          <w:szCs w:val="24"/>
        </w:rPr>
      </w:pPr>
    </w:p>
    <w:p w:rsidR="00873631" w:rsidRPr="00D72A99" w:rsidRDefault="00873631" w:rsidP="001B2214">
      <w:pPr>
        <w:spacing w:line="355" w:lineRule="auto"/>
        <w:rPr>
          <w:rFonts w:ascii="Arial" w:hAnsi="Arial" w:cs="Arial"/>
          <w:sz w:val="24"/>
          <w:szCs w:val="24"/>
        </w:rPr>
      </w:pPr>
      <w:r w:rsidRPr="00D72A99">
        <w:rPr>
          <w:rFonts w:ascii="Arial" w:hAnsi="Arial" w:cs="Arial"/>
          <w:sz w:val="24"/>
          <w:szCs w:val="24"/>
        </w:rPr>
        <w:t xml:space="preserve">Overall responsible for effective delivery and </w:t>
      </w:r>
      <w:r w:rsidR="001B2214" w:rsidRPr="00D72A99">
        <w:rPr>
          <w:rFonts w:ascii="Arial" w:hAnsi="Arial" w:cs="Arial"/>
          <w:sz w:val="24"/>
          <w:szCs w:val="24"/>
        </w:rPr>
        <w:t>monitoring of this plan</w:t>
      </w:r>
      <w:r w:rsidR="008B223E">
        <w:rPr>
          <w:rFonts w:ascii="Arial" w:hAnsi="Arial" w:cs="Arial"/>
          <w:sz w:val="24"/>
          <w:szCs w:val="24"/>
        </w:rPr>
        <w:t xml:space="preserve"> is that of the Head of Housing.</w:t>
      </w:r>
    </w:p>
    <w:p w:rsidR="001B2214" w:rsidRPr="00D72A99" w:rsidRDefault="001B2214" w:rsidP="001B2214">
      <w:pPr>
        <w:spacing w:line="355" w:lineRule="auto"/>
        <w:rPr>
          <w:rFonts w:ascii="Arial" w:hAnsi="Arial" w:cs="Arial"/>
          <w:sz w:val="24"/>
          <w:szCs w:val="24"/>
        </w:rPr>
      </w:pPr>
    </w:p>
    <w:p w:rsidR="00600767" w:rsidRDefault="001B2214" w:rsidP="00600767">
      <w:pPr>
        <w:spacing w:line="355" w:lineRule="auto"/>
        <w:rPr>
          <w:rFonts w:ascii="Arial" w:hAnsi="Arial" w:cs="Arial"/>
          <w:sz w:val="24"/>
          <w:szCs w:val="24"/>
        </w:rPr>
      </w:pPr>
      <w:r w:rsidRPr="00D72A99">
        <w:rPr>
          <w:rFonts w:ascii="Arial" w:hAnsi="Arial" w:cs="Arial"/>
          <w:sz w:val="24"/>
          <w:szCs w:val="24"/>
        </w:rPr>
        <w:t>Signed   ……………………………………………………………….   Dated ………………………………………………….</w:t>
      </w:r>
    </w:p>
    <w:p w:rsidR="001B2214" w:rsidRPr="00D72A99" w:rsidRDefault="001B2214" w:rsidP="00600767">
      <w:pPr>
        <w:spacing w:line="355" w:lineRule="auto"/>
        <w:rPr>
          <w:rFonts w:ascii="Arial" w:hAnsi="Arial" w:cs="Arial"/>
          <w:sz w:val="24"/>
          <w:szCs w:val="24"/>
        </w:rPr>
      </w:pPr>
      <w:r w:rsidRPr="00D72A99">
        <w:rPr>
          <w:rFonts w:ascii="Arial" w:hAnsi="Arial" w:cs="Arial"/>
          <w:sz w:val="24"/>
          <w:szCs w:val="24"/>
        </w:rPr>
        <w:t>Housing and Community Services Portfolio Member</w:t>
      </w:r>
    </w:p>
    <w:p w:rsidR="001B2214" w:rsidRPr="00D72A99" w:rsidRDefault="001B2214" w:rsidP="001B2214">
      <w:pPr>
        <w:spacing w:line="355" w:lineRule="auto"/>
        <w:rPr>
          <w:rFonts w:ascii="Arial" w:hAnsi="Arial" w:cs="Arial"/>
          <w:sz w:val="24"/>
          <w:szCs w:val="24"/>
        </w:rPr>
      </w:pPr>
      <w:r w:rsidRPr="00D72A99">
        <w:rPr>
          <w:rFonts w:ascii="Arial" w:hAnsi="Arial" w:cs="Arial"/>
          <w:sz w:val="24"/>
          <w:szCs w:val="24"/>
        </w:rPr>
        <w:t>Signed……………………………………………………………….   Dated…………………………………………………….</w:t>
      </w:r>
    </w:p>
    <w:p w:rsidR="001B2214" w:rsidRPr="00D72A99" w:rsidRDefault="001B2214" w:rsidP="001B2214">
      <w:pPr>
        <w:spacing w:line="355" w:lineRule="auto"/>
        <w:rPr>
          <w:rFonts w:ascii="Arial" w:hAnsi="Arial" w:cs="Arial"/>
          <w:sz w:val="24"/>
          <w:szCs w:val="24"/>
        </w:rPr>
      </w:pPr>
      <w:r w:rsidRPr="00D72A99">
        <w:rPr>
          <w:rFonts w:ascii="Arial" w:hAnsi="Arial" w:cs="Arial"/>
          <w:sz w:val="24"/>
          <w:szCs w:val="24"/>
        </w:rPr>
        <w:t>Head of Housing Management</w:t>
      </w:r>
    </w:p>
    <w:p w:rsidR="000828CA" w:rsidRPr="00D72A99" w:rsidRDefault="001B2214" w:rsidP="00600767">
      <w:pPr>
        <w:spacing w:line="355" w:lineRule="auto"/>
        <w:rPr>
          <w:rFonts w:ascii="Arial" w:eastAsia="Times New Roman" w:hAnsi="Arial" w:cs="Arial"/>
          <w:sz w:val="24"/>
          <w:szCs w:val="24"/>
        </w:rPr>
      </w:pPr>
      <w:r w:rsidRPr="00D72A99">
        <w:rPr>
          <w:rFonts w:ascii="Arial" w:hAnsi="Arial" w:cs="Arial"/>
          <w:sz w:val="24"/>
          <w:szCs w:val="24"/>
        </w:rPr>
        <w:t>Dated April 201</w:t>
      </w:r>
      <w:r w:rsidR="00DC164E">
        <w:rPr>
          <w:rFonts w:ascii="Arial" w:hAnsi="Arial" w:cs="Arial"/>
          <w:sz w:val="24"/>
          <w:szCs w:val="24"/>
        </w:rPr>
        <w:t>6</w:t>
      </w:r>
      <w:bookmarkStart w:id="0" w:name="_GoBack"/>
      <w:bookmarkEnd w:id="0"/>
    </w:p>
    <w:p w:rsidR="000828CA" w:rsidRPr="00D72A99" w:rsidRDefault="000828CA">
      <w:pPr>
        <w:rPr>
          <w:rFonts w:ascii="Arial" w:eastAsia="Times New Roman" w:hAnsi="Arial" w:cs="Arial"/>
          <w:sz w:val="24"/>
          <w:szCs w:val="24"/>
        </w:rPr>
      </w:pPr>
    </w:p>
    <w:sectPr w:rsidR="000828CA" w:rsidRPr="00D72A99" w:rsidSect="00DC164E">
      <w:pgSz w:w="16840" w:h="11910" w:orient="landscape"/>
      <w:pgMar w:top="899" w:right="1240" w:bottom="719" w:left="12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28" w:rsidRDefault="00E62428">
      <w:r>
        <w:separator/>
      </w:r>
    </w:p>
  </w:endnote>
  <w:endnote w:type="continuationSeparator" w:id="0">
    <w:p w:rsidR="00E62428" w:rsidRDefault="00E6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28" w:rsidRDefault="00E62428">
      <w:r>
        <w:separator/>
      </w:r>
    </w:p>
  </w:footnote>
  <w:footnote w:type="continuationSeparator" w:id="0">
    <w:p w:rsidR="00E62428" w:rsidRDefault="00E6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67" w:rsidRDefault="00600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B95"/>
    <w:multiLevelType w:val="hybridMultilevel"/>
    <w:tmpl w:val="B546F1D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1C8D0295"/>
    <w:multiLevelType w:val="hybridMultilevel"/>
    <w:tmpl w:val="56067CF2"/>
    <w:lvl w:ilvl="0" w:tplc="F67ED07E">
      <w:start w:val="1"/>
      <w:numFmt w:val="bullet"/>
      <w:lvlText w:val=""/>
      <w:lvlJc w:val="left"/>
      <w:pPr>
        <w:ind w:left="473" w:hanging="363"/>
      </w:pPr>
      <w:rPr>
        <w:rFonts w:ascii="Symbol" w:eastAsia="Symbol" w:hAnsi="Symbol" w:hint="default"/>
        <w:sz w:val="24"/>
        <w:szCs w:val="24"/>
      </w:rPr>
    </w:lvl>
    <w:lvl w:ilvl="1" w:tplc="EE6E8E2A">
      <w:start w:val="1"/>
      <w:numFmt w:val="bullet"/>
      <w:lvlText w:val="•"/>
      <w:lvlJc w:val="left"/>
      <w:pPr>
        <w:ind w:left="1809" w:hanging="363"/>
      </w:pPr>
      <w:rPr>
        <w:rFonts w:hint="default"/>
      </w:rPr>
    </w:lvl>
    <w:lvl w:ilvl="2" w:tplc="6BEC9D3C">
      <w:start w:val="1"/>
      <w:numFmt w:val="bullet"/>
      <w:lvlText w:val="•"/>
      <w:lvlJc w:val="left"/>
      <w:pPr>
        <w:ind w:left="3146" w:hanging="363"/>
      </w:pPr>
      <w:rPr>
        <w:rFonts w:hint="default"/>
      </w:rPr>
    </w:lvl>
    <w:lvl w:ilvl="3" w:tplc="AEE032F8">
      <w:start w:val="1"/>
      <w:numFmt w:val="bullet"/>
      <w:lvlText w:val="•"/>
      <w:lvlJc w:val="left"/>
      <w:pPr>
        <w:ind w:left="4482" w:hanging="363"/>
      </w:pPr>
      <w:rPr>
        <w:rFonts w:hint="default"/>
      </w:rPr>
    </w:lvl>
    <w:lvl w:ilvl="4" w:tplc="B94884F0">
      <w:start w:val="1"/>
      <w:numFmt w:val="bullet"/>
      <w:lvlText w:val="•"/>
      <w:lvlJc w:val="left"/>
      <w:pPr>
        <w:ind w:left="5819" w:hanging="363"/>
      </w:pPr>
      <w:rPr>
        <w:rFonts w:hint="default"/>
      </w:rPr>
    </w:lvl>
    <w:lvl w:ilvl="5" w:tplc="5A90CAE8">
      <w:start w:val="1"/>
      <w:numFmt w:val="bullet"/>
      <w:lvlText w:val="•"/>
      <w:lvlJc w:val="left"/>
      <w:pPr>
        <w:ind w:left="7155" w:hanging="363"/>
      </w:pPr>
      <w:rPr>
        <w:rFonts w:hint="default"/>
      </w:rPr>
    </w:lvl>
    <w:lvl w:ilvl="6" w:tplc="9BB4CA50">
      <w:start w:val="1"/>
      <w:numFmt w:val="bullet"/>
      <w:lvlText w:val="•"/>
      <w:lvlJc w:val="left"/>
      <w:pPr>
        <w:ind w:left="8492" w:hanging="363"/>
      </w:pPr>
      <w:rPr>
        <w:rFonts w:hint="default"/>
      </w:rPr>
    </w:lvl>
    <w:lvl w:ilvl="7" w:tplc="18BE8CF8">
      <w:start w:val="1"/>
      <w:numFmt w:val="bullet"/>
      <w:lvlText w:val="•"/>
      <w:lvlJc w:val="left"/>
      <w:pPr>
        <w:ind w:left="9828" w:hanging="363"/>
      </w:pPr>
      <w:rPr>
        <w:rFonts w:hint="default"/>
      </w:rPr>
    </w:lvl>
    <w:lvl w:ilvl="8" w:tplc="9FCCD9E8">
      <w:start w:val="1"/>
      <w:numFmt w:val="bullet"/>
      <w:lvlText w:val="•"/>
      <w:lvlJc w:val="left"/>
      <w:pPr>
        <w:ind w:left="11165" w:hanging="363"/>
      </w:pPr>
      <w:rPr>
        <w:rFonts w:hint="default"/>
      </w:rPr>
    </w:lvl>
  </w:abstractNum>
  <w:abstractNum w:abstractNumId="2" w15:restartNumberingAfterBreak="0">
    <w:nsid w:val="262519F9"/>
    <w:multiLevelType w:val="hybridMultilevel"/>
    <w:tmpl w:val="4AF29770"/>
    <w:lvl w:ilvl="0" w:tplc="5144FA86">
      <w:start w:val="1"/>
      <w:numFmt w:val="bullet"/>
      <w:lvlText w:val=""/>
      <w:lvlJc w:val="left"/>
      <w:pPr>
        <w:ind w:left="813" w:hanging="363"/>
      </w:pPr>
      <w:rPr>
        <w:rFonts w:ascii="Symbol" w:eastAsia="Symbol" w:hAnsi="Symbol" w:hint="default"/>
        <w:sz w:val="24"/>
        <w:szCs w:val="24"/>
      </w:rPr>
    </w:lvl>
    <w:lvl w:ilvl="1" w:tplc="7A68556A">
      <w:start w:val="1"/>
      <w:numFmt w:val="bullet"/>
      <w:lvlText w:val="•"/>
      <w:lvlJc w:val="left"/>
      <w:pPr>
        <w:ind w:left="2149" w:hanging="363"/>
      </w:pPr>
      <w:rPr>
        <w:rFonts w:hint="default"/>
      </w:rPr>
    </w:lvl>
    <w:lvl w:ilvl="2" w:tplc="3F7A948A">
      <w:start w:val="1"/>
      <w:numFmt w:val="bullet"/>
      <w:lvlText w:val="•"/>
      <w:lvlJc w:val="left"/>
      <w:pPr>
        <w:ind w:left="3486" w:hanging="363"/>
      </w:pPr>
      <w:rPr>
        <w:rFonts w:hint="default"/>
      </w:rPr>
    </w:lvl>
    <w:lvl w:ilvl="3" w:tplc="1C36A52C">
      <w:start w:val="1"/>
      <w:numFmt w:val="bullet"/>
      <w:lvlText w:val="•"/>
      <w:lvlJc w:val="left"/>
      <w:pPr>
        <w:ind w:left="4822" w:hanging="363"/>
      </w:pPr>
      <w:rPr>
        <w:rFonts w:hint="default"/>
      </w:rPr>
    </w:lvl>
    <w:lvl w:ilvl="4" w:tplc="3A96DD56">
      <w:start w:val="1"/>
      <w:numFmt w:val="bullet"/>
      <w:lvlText w:val="•"/>
      <w:lvlJc w:val="left"/>
      <w:pPr>
        <w:ind w:left="6159" w:hanging="363"/>
      </w:pPr>
      <w:rPr>
        <w:rFonts w:hint="default"/>
      </w:rPr>
    </w:lvl>
    <w:lvl w:ilvl="5" w:tplc="DD42B100">
      <w:start w:val="1"/>
      <w:numFmt w:val="bullet"/>
      <w:lvlText w:val="•"/>
      <w:lvlJc w:val="left"/>
      <w:pPr>
        <w:ind w:left="7495" w:hanging="363"/>
      </w:pPr>
      <w:rPr>
        <w:rFonts w:hint="default"/>
      </w:rPr>
    </w:lvl>
    <w:lvl w:ilvl="6" w:tplc="01BAA766">
      <w:start w:val="1"/>
      <w:numFmt w:val="bullet"/>
      <w:lvlText w:val="•"/>
      <w:lvlJc w:val="left"/>
      <w:pPr>
        <w:ind w:left="8832" w:hanging="363"/>
      </w:pPr>
      <w:rPr>
        <w:rFonts w:hint="default"/>
      </w:rPr>
    </w:lvl>
    <w:lvl w:ilvl="7" w:tplc="7674D85C">
      <w:start w:val="1"/>
      <w:numFmt w:val="bullet"/>
      <w:lvlText w:val="•"/>
      <w:lvlJc w:val="left"/>
      <w:pPr>
        <w:ind w:left="10168" w:hanging="363"/>
      </w:pPr>
      <w:rPr>
        <w:rFonts w:hint="default"/>
      </w:rPr>
    </w:lvl>
    <w:lvl w:ilvl="8" w:tplc="F4924348">
      <w:start w:val="1"/>
      <w:numFmt w:val="bullet"/>
      <w:lvlText w:val="•"/>
      <w:lvlJc w:val="left"/>
      <w:pPr>
        <w:ind w:left="11505" w:hanging="363"/>
      </w:pPr>
      <w:rPr>
        <w:rFonts w:hint="default"/>
      </w:rPr>
    </w:lvl>
  </w:abstractNum>
  <w:abstractNum w:abstractNumId="3" w15:restartNumberingAfterBreak="0">
    <w:nsid w:val="28AB5240"/>
    <w:multiLevelType w:val="hybridMultilevel"/>
    <w:tmpl w:val="5ADAD17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36DD7D0D"/>
    <w:multiLevelType w:val="hybridMultilevel"/>
    <w:tmpl w:val="5E82045C"/>
    <w:lvl w:ilvl="0" w:tplc="7804977A">
      <w:start w:val="1"/>
      <w:numFmt w:val="bullet"/>
      <w:lvlText w:val=""/>
      <w:lvlJc w:val="left"/>
      <w:pPr>
        <w:ind w:left="820" w:hanging="361"/>
      </w:pPr>
      <w:rPr>
        <w:rFonts w:ascii="Symbol" w:eastAsia="Symbol" w:hAnsi="Symbol" w:hint="default"/>
        <w:w w:val="99"/>
        <w:sz w:val="19"/>
        <w:szCs w:val="19"/>
      </w:rPr>
    </w:lvl>
    <w:lvl w:ilvl="1" w:tplc="C99C08FE">
      <w:start w:val="1"/>
      <w:numFmt w:val="bullet"/>
      <w:lvlText w:val="•"/>
      <w:lvlJc w:val="left"/>
      <w:pPr>
        <w:ind w:left="2156" w:hanging="361"/>
      </w:pPr>
      <w:rPr>
        <w:rFonts w:hint="default"/>
      </w:rPr>
    </w:lvl>
    <w:lvl w:ilvl="2" w:tplc="5D6A0920">
      <w:start w:val="1"/>
      <w:numFmt w:val="bullet"/>
      <w:lvlText w:val="•"/>
      <w:lvlJc w:val="left"/>
      <w:pPr>
        <w:ind w:left="3492" w:hanging="361"/>
      </w:pPr>
      <w:rPr>
        <w:rFonts w:hint="default"/>
      </w:rPr>
    </w:lvl>
    <w:lvl w:ilvl="3" w:tplc="93E8A7C0">
      <w:start w:val="1"/>
      <w:numFmt w:val="bullet"/>
      <w:lvlText w:val="•"/>
      <w:lvlJc w:val="left"/>
      <w:pPr>
        <w:ind w:left="4827" w:hanging="361"/>
      </w:pPr>
      <w:rPr>
        <w:rFonts w:hint="default"/>
      </w:rPr>
    </w:lvl>
    <w:lvl w:ilvl="4" w:tplc="00C602A6">
      <w:start w:val="1"/>
      <w:numFmt w:val="bullet"/>
      <w:lvlText w:val="•"/>
      <w:lvlJc w:val="left"/>
      <w:pPr>
        <w:ind w:left="6163" w:hanging="361"/>
      </w:pPr>
      <w:rPr>
        <w:rFonts w:hint="default"/>
      </w:rPr>
    </w:lvl>
    <w:lvl w:ilvl="5" w:tplc="040A2D42">
      <w:start w:val="1"/>
      <w:numFmt w:val="bullet"/>
      <w:lvlText w:val="•"/>
      <w:lvlJc w:val="left"/>
      <w:pPr>
        <w:ind w:left="7499" w:hanging="361"/>
      </w:pPr>
      <w:rPr>
        <w:rFonts w:hint="default"/>
      </w:rPr>
    </w:lvl>
    <w:lvl w:ilvl="6" w:tplc="853CB7A2">
      <w:start w:val="1"/>
      <w:numFmt w:val="bullet"/>
      <w:lvlText w:val="•"/>
      <w:lvlJc w:val="left"/>
      <w:pPr>
        <w:ind w:left="8835" w:hanging="361"/>
      </w:pPr>
      <w:rPr>
        <w:rFonts w:hint="default"/>
      </w:rPr>
    </w:lvl>
    <w:lvl w:ilvl="7" w:tplc="390833E4">
      <w:start w:val="1"/>
      <w:numFmt w:val="bullet"/>
      <w:lvlText w:val="•"/>
      <w:lvlJc w:val="left"/>
      <w:pPr>
        <w:ind w:left="10171" w:hanging="361"/>
      </w:pPr>
      <w:rPr>
        <w:rFonts w:hint="default"/>
      </w:rPr>
    </w:lvl>
    <w:lvl w:ilvl="8" w:tplc="31284AB8">
      <w:start w:val="1"/>
      <w:numFmt w:val="bullet"/>
      <w:lvlText w:val="•"/>
      <w:lvlJc w:val="left"/>
      <w:pPr>
        <w:ind w:left="11506" w:hanging="361"/>
      </w:pPr>
      <w:rPr>
        <w:rFonts w:hint="default"/>
      </w:rPr>
    </w:lvl>
  </w:abstractNum>
  <w:abstractNum w:abstractNumId="5" w15:restartNumberingAfterBreak="0">
    <w:nsid w:val="3DF76B17"/>
    <w:multiLevelType w:val="hybridMultilevel"/>
    <w:tmpl w:val="3FC02D86"/>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6" w15:restartNumberingAfterBreak="0">
    <w:nsid w:val="4457779B"/>
    <w:multiLevelType w:val="hybridMultilevel"/>
    <w:tmpl w:val="9976EA06"/>
    <w:lvl w:ilvl="0" w:tplc="97DA169C">
      <w:start w:val="1"/>
      <w:numFmt w:val="bullet"/>
      <w:lvlText w:val=""/>
      <w:lvlJc w:val="left"/>
      <w:pPr>
        <w:ind w:left="820" w:hanging="361"/>
      </w:pPr>
      <w:rPr>
        <w:rFonts w:ascii="Symbol" w:eastAsia="Symbol" w:hAnsi="Symbol" w:hint="default"/>
        <w:w w:val="99"/>
        <w:sz w:val="20"/>
        <w:szCs w:val="20"/>
      </w:rPr>
    </w:lvl>
    <w:lvl w:ilvl="1" w:tplc="A76C4512">
      <w:start w:val="1"/>
      <w:numFmt w:val="bullet"/>
      <w:lvlText w:val="•"/>
      <w:lvlJc w:val="left"/>
      <w:pPr>
        <w:ind w:left="2156" w:hanging="361"/>
      </w:pPr>
      <w:rPr>
        <w:rFonts w:hint="default"/>
      </w:rPr>
    </w:lvl>
    <w:lvl w:ilvl="2" w:tplc="4E14D7B0">
      <w:start w:val="1"/>
      <w:numFmt w:val="bullet"/>
      <w:lvlText w:val="•"/>
      <w:lvlJc w:val="left"/>
      <w:pPr>
        <w:ind w:left="3492" w:hanging="361"/>
      </w:pPr>
      <w:rPr>
        <w:rFonts w:hint="default"/>
      </w:rPr>
    </w:lvl>
    <w:lvl w:ilvl="3" w:tplc="347E417E">
      <w:start w:val="1"/>
      <w:numFmt w:val="bullet"/>
      <w:lvlText w:val="•"/>
      <w:lvlJc w:val="left"/>
      <w:pPr>
        <w:ind w:left="4827" w:hanging="361"/>
      </w:pPr>
      <w:rPr>
        <w:rFonts w:hint="default"/>
      </w:rPr>
    </w:lvl>
    <w:lvl w:ilvl="4" w:tplc="E0F24F2C">
      <w:start w:val="1"/>
      <w:numFmt w:val="bullet"/>
      <w:lvlText w:val="•"/>
      <w:lvlJc w:val="left"/>
      <w:pPr>
        <w:ind w:left="6163" w:hanging="361"/>
      </w:pPr>
      <w:rPr>
        <w:rFonts w:hint="default"/>
      </w:rPr>
    </w:lvl>
    <w:lvl w:ilvl="5" w:tplc="A86CA338">
      <w:start w:val="1"/>
      <w:numFmt w:val="bullet"/>
      <w:lvlText w:val="•"/>
      <w:lvlJc w:val="left"/>
      <w:pPr>
        <w:ind w:left="7499" w:hanging="361"/>
      </w:pPr>
      <w:rPr>
        <w:rFonts w:hint="default"/>
      </w:rPr>
    </w:lvl>
    <w:lvl w:ilvl="6" w:tplc="459CEF7E">
      <w:start w:val="1"/>
      <w:numFmt w:val="bullet"/>
      <w:lvlText w:val="•"/>
      <w:lvlJc w:val="left"/>
      <w:pPr>
        <w:ind w:left="8835" w:hanging="361"/>
      </w:pPr>
      <w:rPr>
        <w:rFonts w:hint="default"/>
      </w:rPr>
    </w:lvl>
    <w:lvl w:ilvl="7" w:tplc="58341706">
      <w:start w:val="1"/>
      <w:numFmt w:val="bullet"/>
      <w:lvlText w:val="•"/>
      <w:lvlJc w:val="left"/>
      <w:pPr>
        <w:ind w:left="10171" w:hanging="361"/>
      </w:pPr>
      <w:rPr>
        <w:rFonts w:hint="default"/>
      </w:rPr>
    </w:lvl>
    <w:lvl w:ilvl="8" w:tplc="92D43FF8">
      <w:start w:val="1"/>
      <w:numFmt w:val="bullet"/>
      <w:lvlText w:val="•"/>
      <w:lvlJc w:val="left"/>
      <w:pPr>
        <w:ind w:left="11506" w:hanging="361"/>
      </w:pPr>
      <w:rPr>
        <w:rFonts w:hint="default"/>
      </w:rPr>
    </w:lvl>
  </w:abstractNum>
  <w:abstractNum w:abstractNumId="7" w15:restartNumberingAfterBreak="0">
    <w:nsid w:val="47572A2E"/>
    <w:multiLevelType w:val="hybridMultilevel"/>
    <w:tmpl w:val="E5929A8A"/>
    <w:lvl w:ilvl="0" w:tplc="62E67F2A">
      <w:start w:val="1"/>
      <w:numFmt w:val="decimal"/>
      <w:lvlText w:val="%1."/>
      <w:lvlJc w:val="left"/>
      <w:pPr>
        <w:ind w:left="460" w:hanging="360"/>
      </w:pPr>
      <w:rPr>
        <w:rFonts w:cstheme="minorBidi"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5D961A7C"/>
    <w:multiLevelType w:val="multilevel"/>
    <w:tmpl w:val="674C66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27F7A33"/>
    <w:multiLevelType w:val="hybridMultilevel"/>
    <w:tmpl w:val="84ECDBA8"/>
    <w:lvl w:ilvl="0" w:tplc="51C8E908">
      <w:start w:val="1"/>
      <w:numFmt w:val="bullet"/>
      <w:lvlText w:val=""/>
      <w:lvlJc w:val="left"/>
      <w:pPr>
        <w:ind w:left="820" w:hanging="361"/>
      </w:pPr>
      <w:rPr>
        <w:rFonts w:ascii="Symbol" w:eastAsia="Symbol" w:hAnsi="Symbol" w:hint="default"/>
        <w:sz w:val="24"/>
        <w:szCs w:val="24"/>
      </w:rPr>
    </w:lvl>
    <w:lvl w:ilvl="1" w:tplc="9EE8AFAC">
      <w:start w:val="1"/>
      <w:numFmt w:val="bullet"/>
      <w:lvlText w:val="•"/>
      <w:lvlJc w:val="left"/>
      <w:pPr>
        <w:ind w:left="2156" w:hanging="361"/>
      </w:pPr>
      <w:rPr>
        <w:rFonts w:hint="default"/>
      </w:rPr>
    </w:lvl>
    <w:lvl w:ilvl="2" w:tplc="D6169858">
      <w:start w:val="1"/>
      <w:numFmt w:val="bullet"/>
      <w:lvlText w:val="•"/>
      <w:lvlJc w:val="left"/>
      <w:pPr>
        <w:ind w:left="3492" w:hanging="361"/>
      </w:pPr>
      <w:rPr>
        <w:rFonts w:hint="default"/>
      </w:rPr>
    </w:lvl>
    <w:lvl w:ilvl="3" w:tplc="F40C334E">
      <w:start w:val="1"/>
      <w:numFmt w:val="bullet"/>
      <w:lvlText w:val="•"/>
      <w:lvlJc w:val="left"/>
      <w:pPr>
        <w:ind w:left="4827" w:hanging="361"/>
      </w:pPr>
      <w:rPr>
        <w:rFonts w:hint="default"/>
      </w:rPr>
    </w:lvl>
    <w:lvl w:ilvl="4" w:tplc="8984053C">
      <w:start w:val="1"/>
      <w:numFmt w:val="bullet"/>
      <w:lvlText w:val="•"/>
      <w:lvlJc w:val="left"/>
      <w:pPr>
        <w:ind w:left="6163" w:hanging="361"/>
      </w:pPr>
      <w:rPr>
        <w:rFonts w:hint="default"/>
      </w:rPr>
    </w:lvl>
    <w:lvl w:ilvl="5" w:tplc="102CB73C">
      <w:start w:val="1"/>
      <w:numFmt w:val="bullet"/>
      <w:lvlText w:val="•"/>
      <w:lvlJc w:val="left"/>
      <w:pPr>
        <w:ind w:left="7499" w:hanging="361"/>
      </w:pPr>
      <w:rPr>
        <w:rFonts w:hint="default"/>
      </w:rPr>
    </w:lvl>
    <w:lvl w:ilvl="6" w:tplc="1D0CCE44">
      <w:start w:val="1"/>
      <w:numFmt w:val="bullet"/>
      <w:lvlText w:val="•"/>
      <w:lvlJc w:val="left"/>
      <w:pPr>
        <w:ind w:left="8835" w:hanging="361"/>
      </w:pPr>
      <w:rPr>
        <w:rFonts w:hint="default"/>
      </w:rPr>
    </w:lvl>
    <w:lvl w:ilvl="7" w:tplc="A1E0AC4A">
      <w:start w:val="1"/>
      <w:numFmt w:val="bullet"/>
      <w:lvlText w:val="•"/>
      <w:lvlJc w:val="left"/>
      <w:pPr>
        <w:ind w:left="10171" w:hanging="361"/>
      </w:pPr>
      <w:rPr>
        <w:rFonts w:hint="default"/>
      </w:rPr>
    </w:lvl>
    <w:lvl w:ilvl="8" w:tplc="FEC431C8">
      <w:start w:val="1"/>
      <w:numFmt w:val="bullet"/>
      <w:lvlText w:val="•"/>
      <w:lvlJc w:val="left"/>
      <w:pPr>
        <w:ind w:left="11506" w:hanging="361"/>
      </w:pPr>
      <w:rPr>
        <w:rFonts w:hint="default"/>
      </w:rPr>
    </w:lvl>
  </w:abstractNum>
  <w:abstractNum w:abstractNumId="10" w15:restartNumberingAfterBreak="0">
    <w:nsid w:val="65082EB7"/>
    <w:multiLevelType w:val="hybridMultilevel"/>
    <w:tmpl w:val="E268532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7DD65DFD"/>
    <w:multiLevelType w:val="hybridMultilevel"/>
    <w:tmpl w:val="E7240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9"/>
  </w:num>
  <w:num w:numId="6">
    <w:abstractNumId w:val="10"/>
  </w:num>
  <w:num w:numId="7">
    <w:abstractNumId w:val="8"/>
  </w:num>
  <w:num w:numId="8">
    <w:abstractNumId w:val="7"/>
  </w:num>
  <w:num w:numId="9">
    <w:abstractNumId w:val="3"/>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CA"/>
    <w:rsid w:val="00005EDE"/>
    <w:rsid w:val="00036CA9"/>
    <w:rsid w:val="00075E9D"/>
    <w:rsid w:val="000828CA"/>
    <w:rsid w:val="000A0FE6"/>
    <w:rsid w:val="000B3D11"/>
    <w:rsid w:val="000C3CDD"/>
    <w:rsid w:val="00126D17"/>
    <w:rsid w:val="001858E0"/>
    <w:rsid w:val="00186996"/>
    <w:rsid w:val="001956B1"/>
    <w:rsid w:val="001B17AE"/>
    <w:rsid w:val="001B2214"/>
    <w:rsid w:val="001D0093"/>
    <w:rsid w:val="001E5E55"/>
    <w:rsid w:val="002A5384"/>
    <w:rsid w:val="002F22A6"/>
    <w:rsid w:val="003273F6"/>
    <w:rsid w:val="00376CB2"/>
    <w:rsid w:val="003A7E10"/>
    <w:rsid w:val="003C14D7"/>
    <w:rsid w:val="003C6AD2"/>
    <w:rsid w:val="003E7EFD"/>
    <w:rsid w:val="00404A40"/>
    <w:rsid w:val="004137DC"/>
    <w:rsid w:val="0045587F"/>
    <w:rsid w:val="004729AE"/>
    <w:rsid w:val="004952AA"/>
    <w:rsid w:val="004A1AC4"/>
    <w:rsid w:val="004B524F"/>
    <w:rsid w:val="004E29F8"/>
    <w:rsid w:val="004E7148"/>
    <w:rsid w:val="00501F19"/>
    <w:rsid w:val="0055291B"/>
    <w:rsid w:val="005B016F"/>
    <w:rsid w:val="005C35B3"/>
    <w:rsid w:val="005D1B7B"/>
    <w:rsid w:val="005F25C5"/>
    <w:rsid w:val="00600767"/>
    <w:rsid w:val="00636B1A"/>
    <w:rsid w:val="00697B8E"/>
    <w:rsid w:val="006E4F43"/>
    <w:rsid w:val="00714763"/>
    <w:rsid w:val="00742D8C"/>
    <w:rsid w:val="0079344C"/>
    <w:rsid w:val="007A01AB"/>
    <w:rsid w:val="00813CDC"/>
    <w:rsid w:val="00873631"/>
    <w:rsid w:val="00875140"/>
    <w:rsid w:val="00892BDF"/>
    <w:rsid w:val="008B1121"/>
    <w:rsid w:val="008B223E"/>
    <w:rsid w:val="00980DF9"/>
    <w:rsid w:val="00997B05"/>
    <w:rsid w:val="009C2EA8"/>
    <w:rsid w:val="00AB2CFF"/>
    <w:rsid w:val="00AD6912"/>
    <w:rsid w:val="00B3442B"/>
    <w:rsid w:val="00B46550"/>
    <w:rsid w:val="00B73F52"/>
    <w:rsid w:val="00BD3096"/>
    <w:rsid w:val="00BE4244"/>
    <w:rsid w:val="00C11557"/>
    <w:rsid w:val="00C61753"/>
    <w:rsid w:val="00C841C4"/>
    <w:rsid w:val="00C96A2D"/>
    <w:rsid w:val="00CD30E5"/>
    <w:rsid w:val="00CF42B3"/>
    <w:rsid w:val="00CF667B"/>
    <w:rsid w:val="00CF799D"/>
    <w:rsid w:val="00D15ED4"/>
    <w:rsid w:val="00D2616E"/>
    <w:rsid w:val="00D27467"/>
    <w:rsid w:val="00D667C5"/>
    <w:rsid w:val="00D72A99"/>
    <w:rsid w:val="00D75143"/>
    <w:rsid w:val="00D87A16"/>
    <w:rsid w:val="00D90E3A"/>
    <w:rsid w:val="00DC164E"/>
    <w:rsid w:val="00DD0BEF"/>
    <w:rsid w:val="00DF5FF0"/>
    <w:rsid w:val="00DF6B39"/>
    <w:rsid w:val="00E248E7"/>
    <w:rsid w:val="00E62428"/>
    <w:rsid w:val="00EF2CC2"/>
    <w:rsid w:val="00EF6501"/>
    <w:rsid w:val="00F4416B"/>
    <w:rsid w:val="00FA42A9"/>
    <w:rsid w:val="00FB4FC6"/>
    <w:rsid w:val="00FE3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00D9E"/>
  <w15:docId w15:val="{4A9C34E3-8EA0-4D61-AA92-E59D6122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6996"/>
    <w:rPr>
      <w:rFonts w:ascii="Tahoma" w:hAnsi="Tahoma" w:cs="Tahoma"/>
      <w:sz w:val="16"/>
      <w:szCs w:val="16"/>
    </w:rPr>
  </w:style>
  <w:style w:type="character" w:customStyle="1" w:styleId="BalloonTextChar">
    <w:name w:val="Balloon Text Char"/>
    <w:basedOn w:val="DefaultParagraphFont"/>
    <w:link w:val="BalloonText"/>
    <w:uiPriority w:val="99"/>
    <w:semiHidden/>
    <w:rsid w:val="00186996"/>
    <w:rPr>
      <w:rFonts w:ascii="Tahoma" w:hAnsi="Tahoma" w:cs="Tahoma"/>
      <w:sz w:val="16"/>
      <w:szCs w:val="16"/>
    </w:rPr>
  </w:style>
  <w:style w:type="paragraph" w:customStyle="1" w:styleId="Default">
    <w:name w:val="Default"/>
    <w:rsid w:val="00873631"/>
    <w:pPr>
      <w:widowControl/>
      <w:autoSpaceDE w:val="0"/>
      <w:autoSpaceDN w:val="0"/>
      <w:adjustRightInd w:val="0"/>
    </w:pPr>
    <w:rPr>
      <w:rFonts w:ascii="Wingdings" w:hAnsi="Wingdings" w:cs="Wingdings"/>
      <w:color w:val="000000"/>
      <w:sz w:val="24"/>
      <w:szCs w:val="24"/>
      <w:lang w:val="en-GB"/>
    </w:rPr>
  </w:style>
  <w:style w:type="paragraph" w:customStyle="1" w:styleId="TemplateBullet">
    <w:name w:val="Template Bullet"/>
    <w:basedOn w:val="Default"/>
    <w:next w:val="Default"/>
    <w:uiPriority w:val="99"/>
    <w:rsid w:val="00873631"/>
    <w:rPr>
      <w:rFonts w:cstheme="minorBidi"/>
      <w:color w:val="auto"/>
    </w:rPr>
  </w:style>
  <w:style w:type="character" w:styleId="Hyperlink">
    <w:name w:val="Hyperlink"/>
    <w:basedOn w:val="DefaultParagraphFont"/>
    <w:uiPriority w:val="99"/>
    <w:unhideWhenUsed/>
    <w:rsid w:val="00BD3096"/>
    <w:rPr>
      <w:color w:val="0000FF" w:themeColor="hyperlink"/>
      <w:u w:val="single"/>
    </w:rPr>
  </w:style>
  <w:style w:type="character" w:styleId="FollowedHyperlink">
    <w:name w:val="FollowedHyperlink"/>
    <w:basedOn w:val="DefaultParagraphFont"/>
    <w:uiPriority w:val="99"/>
    <w:semiHidden/>
    <w:unhideWhenUsed/>
    <w:rsid w:val="00BD3096"/>
    <w:rPr>
      <w:color w:val="800080" w:themeColor="followedHyperlink"/>
      <w:u w:val="single"/>
    </w:rPr>
  </w:style>
  <w:style w:type="paragraph" w:styleId="Title">
    <w:name w:val="Title"/>
    <w:basedOn w:val="Normal"/>
    <w:next w:val="Normal"/>
    <w:link w:val="TitleChar"/>
    <w:uiPriority w:val="10"/>
    <w:qFormat/>
    <w:rsid w:val="008B22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23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B223E"/>
    <w:pPr>
      <w:tabs>
        <w:tab w:val="center" w:pos="4513"/>
        <w:tab w:val="right" w:pos="9026"/>
      </w:tabs>
    </w:pPr>
  </w:style>
  <w:style w:type="character" w:customStyle="1" w:styleId="HeaderChar">
    <w:name w:val="Header Char"/>
    <w:basedOn w:val="DefaultParagraphFont"/>
    <w:link w:val="Header"/>
    <w:uiPriority w:val="99"/>
    <w:rsid w:val="008B223E"/>
  </w:style>
  <w:style w:type="paragraph" w:styleId="Footer">
    <w:name w:val="footer"/>
    <w:basedOn w:val="Normal"/>
    <w:link w:val="FooterChar"/>
    <w:uiPriority w:val="99"/>
    <w:unhideWhenUsed/>
    <w:rsid w:val="008B223E"/>
    <w:pPr>
      <w:tabs>
        <w:tab w:val="center" w:pos="4513"/>
        <w:tab w:val="right" w:pos="9026"/>
      </w:tabs>
    </w:pPr>
  </w:style>
  <w:style w:type="character" w:customStyle="1" w:styleId="FooterChar">
    <w:name w:val="Footer Char"/>
    <w:basedOn w:val="DefaultParagraphFont"/>
    <w:link w:val="Footer"/>
    <w:uiPriority w:val="99"/>
    <w:rsid w:val="008B2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way.gov.uk/downloads/download/180/housing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2201-4099-4113-9DE1-EE036E82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aisling sims</cp:lastModifiedBy>
  <cp:revision>2</cp:revision>
  <cp:lastPrinted>2016-04-13T07:49:00Z</cp:lastPrinted>
  <dcterms:created xsi:type="dcterms:W3CDTF">2020-08-03T12:30:00Z</dcterms:created>
  <dcterms:modified xsi:type="dcterms:W3CDTF">2020-08-03T12:30:00Z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2016-03-31T00:00:00Z</vt:filetime>
  </property>
</Properties>
</file>