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547"/>
        <w:gridCol w:w="782"/>
        <w:gridCol w:w="946"/>
        <w:gridCol w:w="393"/>
        <w:gridCol w:w="1335"/>
      </w:tblGrid>
      <w:tr w:rsidR="004D4385">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B06653">
            <w:pPr>
              <w:pStyle w:val="Header"/>
              <w:tabs>
                <w:tab w:val="clear" w:pos="4153"/>
                <w:tab w:val="clear" w:pos="8306"/>
              </w:tabs>
              <w:rPr>
                <w:b/>
                <w:bCs/>
              </w:rPr>
            </w:pPr>
            <w:r>
              <w:rPr>
                <w:b/>
                <w:bCs/>
              </w:rPr>
              <w:t>TIT</w:t>
            </w:r>
            <w:r w:rsidR="004D4385">
              <w:rPr>
                <w:b/>
                <w:bCs/>
              </w:rPr>
              <w: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357DE2" w:rsidRDefault="002665F6" w:rsidP="00357DE2">
            <w:pPr>
              <w:pStyle w:val="Heading1"/>
              <w:ind w:left="0"/>
              <w:rPr>
                <w:sz w:val="28"/>
              </w:rPr>
            </w:pPr>
            <w:r>
              <w:rPr>
                <w:b w:val="0"/>
                <w:bCs w:val="0"/>
                <w:sz w:val="28"/>
              </w:rPr>
              <w:t>Community Involvement and Engagement Strategy 2019-2022</w:t>
            </w:r>
          </w:p>
          <w:p w:rsidR="004D4385" w:rsidRDefault="004D4385">
            <w:pPr>
              <w:pStyle w:val="Header"/>
              <w:tabs>
                <w:tab w:val="clear" w:pos="4153"/>
                <w:tab w:val="clear" w:pos="8306"/>
              </w:tabs>
            </w:pPr>
          </w:p>
        </w:tc>
      </w:tr>
      <w:tr w:rsidR="004D4385">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2C24E8">
            <w:pPr>
              <w:pStyle w:val="Header"/>
              <w:tabs>
                <w:tab w:val="clear" w:pos="4153"/>
                <w:tab w:val="clear" w:pos="8306"/>
              </w:tabs>
            </w:pPr>
            <w:r>
              <w:t>7</w:t>
            </w:r>
            <w:r w:rsidRPr="002C24E8">
              <w:rPr>
                <w:vertAlign w:val="superscript"/>
              </w:rPr>
              <w:t>th</w:t>
            </w:r>
            <w:r>
              <w:t xml:space="preserve"> October</w:t>
            </w:r>
            <w:r w:rsidR="00C739AF">
              <w:t xml:space="preserve"> 2019</w:t>
            </w:r>
          </w:p>
        </w:tc>
      </w:tr>
      <w:tr w:rsidR="004D4385">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C739AF">
            <w:pPr>
              <w:pStyle w:val="Header"/>
              <w:tabs>
                <w:tab w:val="clear" w:pos="4153"/>
                <w:tab w:val="clear" w:pos="8306"/>
              </w:tabs>
            </w:pPr>
            <w:r>
              <w:t>Aisling Sims – Policy and Partnerships Manager</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C0DAC">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CE51D5" w:rsidRDefault="000173F4" w:rsidP="00C739AF">
            <w:pPr>
              <w:pStyle w:val="Header"/>
              <w:tabs>
                <w:tab w:val="clear" w:pos="4153"/>
                <w:tab w:val="clear" w:pos="8306"/>
              </w:tabs>
              <w:rPr>
                <w:bCs/>
              </w:rPr>
            </w:pPr>
            <w:r>
              <w:rPr>
                <w:bCs/>
              </w:rPr>
              <w:t xml:space="preserve">Medway Council Housing Services proposes to introduce a new Resident Engagement Strategy for 2019-2022. </w:t>
            </w:r>
          </w:p>
          <w:p w:rsidR="000173F4" w:rsidRDefault="000173F4" w:rsidP="00C739AF">
            <w:pPr>
              <w:pStyle w:val="Header"/>
              <w:tabs>
                <w:tab w:val="clear" w:pos="4153"/>
                <w:tab w:val="clear" w:pos="8306"/>
              </w:tabs>
              <w:rPr>
                <w:bCs/>
              </w:rPr>
            </w:pPr>
          </w:p>
          <w:p w:rsidR="00192313" w:rsidRPr="00192313" w:rsidRDefault="000173F4" w:rsidP="00C739AF">
            <w:pPr>
              <w:pStyle w:val="Header"/>
              <w:tabs>
                <w:tab w:val="clear" w:pos="4153"/>
                <w:tab w:val="clear" w:pos="8306"/>
              </w:tabs>
              <w:rPr>
                <w:bCs/>
              </w:rPr>
            </w:pPr>
            <w:r>
              <w:rPr>
                <w:bCs/>
              </w:rPr>
              <w:t xml:space="preserve">Following on from the previous 2015 – 2017 Resident Engagement Strategy the new updated version </w:t>
            </w:r>
            <w:r>
              <w:t>has been developed in consultation with residents and</w:t>
            </w:r>
            <w:r w:rsidRPr="002A51E7">
              <w:t xml:space="preserve"> provides a framework for us to meet the regulatory requirements as </w:t>
            </w:r>
            <w:r>
              <w:t xml:space="preserve">proposed </w:t>
            </w:r>
            <w:r w:rsidRPr="002A51E7">
              <w:t xml:space="preserve">in the </w:t>
            </w:r>
            <w:r>
              <w:t xml:space="preserve">five principles of the 2018 </w:t>
            </w:r>
            <w:r w:rsidRPr="002A51E7">
              <w:t>green paper, A New Deal for Social Housing</w:t>
            </w:r>
            <w:r>
              <w:t>.</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C0DAC">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8C543D" w:rsidRDefault="008C543D">
            <w:pPr>
              <w:pStyle w:val="Header"/>
              <w:tabs>
                <w:tab w:val="clear" w:pos="4153"/>
                <w:tab w:val="clear" w:pos="8306"/>
              </w:tabs>
            </w:pPr>
            <w:r>
              <w:t xml:space="preserve">As of 07/10/2019 we have a total of 2,974 households in our properties. However, the number of residents that we have regular engagement with remains low. The demographics of those involved is also not representative of our tenant base overall. </w:t>
            </w:r>
          </w:p>
          <w:p w:rsidR="008C543D" w:rsidRDefault="008C543D">
            <w:pPr>
              <w:pStyle w:val="Header"/>
              <w:tabs>
                <w:tab w:val="clear" w:pos="4153"/>
                <w:tab w:val="clear" w:pos="8306"/>
              </w:tabs>
            </w:pPr>
          </w:p>
          <w:p w:rsidR="008C543D" w:rsidRDefault="008C543D">
            <w:pPr>
              <w:pStyle w:val="Header"/>
              <w:tabs>
                <w:tab w:val="clear" w:pos="4153"/>
                <w:tab w:val="clear" w:pos="8306"/>
              </w:tabs>
            </w:pPr>
            <w:r>
              <w:t>The strategy and associated action plan will look for new ways to increase mea</w:t>
            </w:r>
            <w:r w:rsidR="00F30638">
              <w:t xml:space="preserve">ningful engagement and support the communities in which our customers live. </w:t>
            </w:r>
          </w:p>
          <w:p w:rsidR="00FD368C" w:rsidRDefault="00FD368C">
            <w:pPr>
              <w:pStyle w:val="Header"/>
              <w:tabs>
                <w:tab w:val="clear" w:pos="4153"/>
                <w:tab w:val="clear" w:pos="8306"/>
              </w:tabs>
            </w:pPr>
          </w:p>
          <w:p w:rsidR="00F30638" w:rsidRDefault="00F30638">
            <w:pPr>
              <w:pStyle w:val="Header"/>
              <w:tabs>
                <w:tab w:val="clear" w:pos="4153"/>
                <w:tab w:val="clear" w:pos="8306"/>
              </w:tabs>
            </w:pPr>
            <w:r>
              <w:t xml:space="preserve">The action plan will set out areas that we can further develop the ways in which customers can be involved with the service for example online and via social media. Potentially, this will also diversify the groups that we engage with. </w:t>
            </w:r>
          </w:p>
          <w:p w:rsidR="008C543D" w:rsidRDefault="008C543D">
            <w:pPr>
              <w:pStyle w:val="Header"/>
              <w:tabs>
                <w:tab w:val="clear" w:pos="4153"/>
                <w:tab w:val="clear" w:pos="8306"/>
              </w:tabs>
            </w:pPr>
          </w:p>
          <w:p w:rsidR="00763B90" w:rsidRPr="003C0DAC" w:rsidRDefault="00192313">
            <w:pPr>
              <w:pStyle w:val="Header"/>
              <w:tabs>
                <w:tab w:val="clear" w:pos="4153"/>
                <w:tab w:val="clear" w:pos="8306"/>
              </w:tabs>
            </w:pPr>
            <w:r>
              <w:t xml:space="preserve">The </w:t>
            </w:r>
            <w:r w:rsidR="00D86ED6">
              <w:t>draft s</w:t>
            </w:r>
            <w:r>
              <w:t xml:space="preserve">trategy has been to our Estate Champion </w:t>
            </w:r>
            <w:r w:rsidR="00FD368C">
              <w:t>group meeting</w:t>
            </w:r>
            <w:r w:rsidR="00DA3D89">
              <w:t xml:space="preserve"> in July</w:t>
            </w:r>
            <w:r>
              <w:t xml:space="preserve"> for consultation</w:t>
            </w:r>
            <w:r w:rsidR="008C543D">
              <w:t>.</w:t>
            </w:r>
          </w:p>
        </w:tc>
      </w:tr>
      <w:tr w:rsidR="004D4385">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3C0DAC">
            <w:pPr>
              <w:pStyle w:val="Heading2"/>
              <w:numPr>
                <w:ilvl w:val="0"/>
                <w:numId w:val="23"/>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Pr="003C0DAC" w:rsidRDefault="004D4385" w:rsidP="003C0DAC">
            <w:pPr>
              <w:pStyle w:val="Header"/>
              <w:numPr>
                <w:ilvl w:val="0"/>
                <w:numId w:val="8"/>
              </w:numPr>
              <w:tabs>
                <w:tab w:val="clear" w:pos="4153"/>
                <w:tab w:val="clear" w:pos="8306"/>
              </w:tabs>
              <w:rPr>
                <w:i/>
                <w:iCs/>
                <w:sz w:val="20"/>
              </w:rPr>
            </w:pPr>
            <w:r>
              <w:rPr>
                <w:i/>
                <w:iCs/>
                <w:sz w:val="20"/>
              </w:rPr>
              <w:t>Foster good relations between people who share a protected cha</w:t>
            </w:r>
            <w:r w:rsidR="003C0DAC">
              <w:rPr>
                <w:i/>
                <w:iCs/>
                <w:sz w:val="20"/>
              </w:rPr>
              <w:t xml:space="preserve">racteristic and those who don’t </w:t>
            </w:r>
            <w:r w:rsidRPr="003C0DAC">
              <w:rPr>
                <w:i/>
                <w:iCs/>
                <w:sz w:val="16"/>
              </w:rPr>
              <w:t xml:space="preserve"> </w:t>
            </w:r>
            <w:r w:rsidRPr="003C0DAC">
              <w:rPr>
                <w:b/>
                <w:bCs/>
                <w:i/>
                <w:iCs/>
                <w:sz w:val="16"/>
              </w:rPr>
              <w:t xml:space="preserve">(insert </w:t>
            </w:r>
            <w:r>
              <w:rPr>
                <w:b/>
                <w:bCs/>
              </w:rPr>
              <w:sym w:font="Wingdings" w:char="F0FC"/>
            </w:r>
            <w:r w:rsidRPr="003C0DAC">
              <w:rPr>
                <w:b/>
                <w:bCs/>
                <w:i/>
                <w:iCs/>
                <w:sz w:val="16"/>
              </w:rPr>
              <w:t xml:space="preserve"> in one or more boxes)</w:t>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 xml:space="preserve">Age </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Disabilty</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Pr>
                <w:rFonts w:cs="Arial"/>
                <w:b/>
                <w:bCs/>
                <w:noProof/>
                <w:sz w:val="22"/>
                <w:lang w:val="en-US"/>
              </w:rPr>
              <w:t xml:space="preserve"> </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Pregnancy/maternity</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Race</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ing6"/>
              <w:rPr>
                <w:rFonts w:cs="Arial"/>
              </w:rPr>
            </w:pPr>
            <w:r>
              <w:rPr>
                <w:rFonts w:cs="Arial"/>
              </w:rPr>
              <w:t>Religion/belief</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Sex</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Sexual orientation</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192313">
            <w:pPr>
              <w:jc w:val="center"/>
              <w:rPr>
                <w:rFonts w:cs="Arial"/>
                <w:b/>
                <w:bCs/>
                <w:noProof/>
                <w:lang w:val="en-US"/>
              </w:rPr>
            </w:pPr>
            <w:r>
              <w:rPr>
                <w:b/>
                <w:bCs/>
                <w:i/>
                <w:iCs/>
                <w:sz w:val="16"/>
              </w:rPr>
              <w:sym w:font="Wingdings" w:char="F0FC"/>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Other (eg low income groups)</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rsidP="0079694E">
            <w:pP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C0DAC">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EB5ADC" w:rsidRDefault="00F851C2" w:rsidP="00EB5ADC">
            <w:r>
              <w:t xml:space="preserve">It is proposed that the new Community Involvement and Engagement Strategy will advance equality by widening methods of consultation, making it easier for different groups to get involved. </w:t>
            </w:r>
          </w:p>
          <w:p w:rsidR="00F851C2" w:rsidRDefault="00F851C2" w:rsidP="00EB5ADC"/>
          <w:p w:rsidR="00B95802" w:rsidRPr="00B06653" w:rsidRDefault="00F851C2" w:rsidP="003C0DAC">
            <w:r>
              <w:t xml:space="preserve">By knowing and understanding the makeup of our residents will can ensure that services are provided in a universally accessible way. </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C0DAC">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F851C2" w:rsidRDefault="00F851C2" w:rsidP="00EB5ADC">
            <w:pPr>
              <w:pStyle w:val="Header"/>
            </w:pPr>
          </w:p>
          <w:p w:rsidR="004D4385" w:rsidRPr="003C0DAC" w:rsidRDefault="00EB5ADC" w:rsidP="003C0DAC">
            <w:pPr>
              <w:pStyle w:val="Header"/>
            </w:pPr>
            <w:r w:rsidRPr="0069549E">
              <w:t>Medway Council hold profiling information of tenants and leaseholders, and will ensure that documentation produced will be in the appropriate format for the resident. Medway Council can offer information translated, Braille or taped versions of the document. In some instances an interpretation service or other person can give the pertinen</w:t>
            </w:r>
            <w:r w:rsidR="001956A0">
              <w:t>t information in verbal format.</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C0DAC">
            <w:pPr>
              <w:pStyle w:val="Heading2"/>
              <w:numPr>
                <w:ilvl w:val="0"/>
                <w:numId w:val="23"/>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B06653">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33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B06653">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EB5ADC">
            <w:pPr>
              <w:rPr>
                <w:rFonts w:cs="Arial"/>
              </w:rPr>
            </w:pPr>
            <w:r>
              <w:rPr>
                <w:rFonts w:cs="Arial"/>
              </w:rPr>
              <w:t>Monitor the outcome of the green paper, A new deal for social housing</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06653" w:rsidRPr="00EB5ADC" w:rsidRDefault="002C24E8" w:rsidP="002C24E8">
            <w:pPr>
              <w:pStyle w:val="Header"/>
              <w:tabs>
                <w:tab w:val="clear" w:pos="4153"/>
                <w:tab w:val="clear" w:pos="8306"/>
              </w:tabs>
              <w:jc w:val="center"/>
              <w:rPr>
                <w:sz w:val="20"/>
              </w:rPr>
            </w:pPr>
            <w:r>
              <w:rPr>
                <w:rFonts w:cs="Arial"/>
                <w:sz w:val="20"/>
                <w:szCs w:val="23"/>
                <w:lang w:val="en-US"/>
              </w:rPr>
              <w:t>Policy and Partnerships Manager</w:t>
            </w:r>
          </w:p>
          <w:p w:rsidR="004D4385" w:rsidRPr="00EB5ADC" w:rsidRDefault="004D4385" w:rsidP="002C24E8">
            <w:pPr>
              <w:jc w:val="center"/>
              <w:rPr>
                <w:rFonts w:cs="Arial"/>
                <w:sz w:val="20"/>
              </w:rPr>
            </w:pP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EB5ADC">
            <w:pPr>
              <w:jc w:val="center"/>
              <w:rPr>
                <w:rFonts w:cs="Arial"/>
              </w:rPr>
            </w:pPr>
            <w:r>
              <w:rPr>
                <w:rFonts w:cs="Arial"/>
              </w:rPr>
              <w:t>On going</w:t>
            </w:r>
          </w:p>
        </w:tc>
      </w:tr>
      <w:tr w:rsidR="004D4385" w:rsidTr="00B06653">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2C24E8">
            <w:pPr>
              <w:rPr>
                <w:rFonts w:cs="Arial"/>
              </w:rPr>
            </w:pPr>
            <w:r>
              <w:rPr>
                <w:rFonts w:cs="Arial"/>
              </w:rPr>
              <w:t>Update strategy should a white paper be issued</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2C24E8">
            <w:pPr>
              <w:jc w:val="center"/>
              <w:rPr>
                <w:rFonts w:cs="Arial"/>
              </w:rPr>
            </w:pPr>
            <w:r w:rsidRPr="002C24E8">
              <w:rPr>
                <w:rFonts w:cs="Arial"/>
                <w:sz w:val="20"/>
              </w:rPr>
              <w:t>Policy and Partnerships Manager</w:t>
            </w: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2C24E8">
            <w:pPr>
              <w:jc w:val="center"/>
              <w:rPr>
                <w:rFonts w:cs="Arial"/>
              </w:rPr>
            </w:pPr>
            <w:r>
              <w:rPr>
                <w:rFonts w:cs="Arial"/>
              </w:rPr>
              <w:t>On going</w:t>
            </w:r>
          </w:p>
        </w:tc>
      </w:tr>
      <w:tr w:rsidR="001956A0" w:rsidTr="00B06653">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1956A0" w:rsidRDefault="001956A0" w:rsidP="001956A0">
            <w:pPr>
              <w:rPr>
                <w:rFonts w:cs="Arial"/>
              </w:rPr>
            </w:pPr>
            <w:r>
              <w:rPr>
                <w:rFonts w:cs="Arial"/>
              </w:rPr>
              <w:t>Monitor the implementation of the action plan</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1956A0" w:rsidRDefault="001956A0" w:rsidP="001956A0">
            <w:pPr>
              <w:jc w:val="center"/>
              <w:rPr>
                <w:rFonts w:cs="Arial"/>
              </w:rPr>
            </w:pPr>
            <w:r w:rsidRPr="002C24E8">
              <w:rPr>
                <w:rFonts w:cs="Arial"/>
                <w:sz w:val="20"/>
              </w:rPr>
              <w:t>Policy and Partnerships Manager</w:t>
            </w: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1956A0" w:rsidRDefault="001956A0" w:rsidP="001956A0">
            <w:pPr>
              <w:jc w:val="center"/>
              <w:rPr>
                <w:rFonts w:cs="Arial"/>
              </w:rPr>
            </w:pPr>
            <w:r>
              <w:rPr>
                <w:rFonts w:cs="Arial"/>
              </w:rPr>
              <w:t>On going</w:t>
            </w:r>
          </w:p>
        </w:tc>
      </w:tr>
      <w:tr w:rsidR="001956A0">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1956A0" w:rsidRDefault="001956A0" w:rsidP="00DA25D0">
            <w:pPr>
              <w:pStyle w:val="Heading2"/>
              <w:numPr>
                <w:ilvl w:val="0"/>
                <w:numId w:val="23"/>
              </w:numPr>
              <w:rPr>
                <w:sz w:val="24"/>
              </w:rPr>
            </w:pPr>
            <w:r>
              <w:rPr>
                <w:sz w:val="24"/>
              </w:rPr>
              <w:t>Recommendation</w:t>
            </w:r>
          </w:p>
          <w:p w:rsidR="001956A0" w:rsidRDefault="001956A0" w:rsidP="001956A0">
            <w:pPr>
              <w:pStyle w:val="Header"/>
              <w:tabs>
                <w:tab w:val="clear" w:pos="4153"/>
                <w:tab w:val="clear" w:pos="8306"/>
              </w:tabs>
              <w:rPr>
                <w:i/>
                <w:iCs/>
                <w:sz w:val="20"/>
              </w:rPr>
            </w:pPr>
            <w:r>
              <w:rPr>
                <w:i/>
                <w:iCs/>
                <w:sz w:val="20"/>
              </w:rPr>
              <w:t>The recommendation by the lead officer should be stated below. This  may be:</w:t>
            </w:r>
          </w:p>
          <w:p w:rsidR="001956A0" w:rsidRDefault="001956A0" w:rsidP="001956A0">
            <w:pPr>
              <w:pStyle w:val="Header"/>
              <w:numPr>
                <w:ilvl w:val="0"/>
                <w:numId w:val="12"/>
              </w:numPr>
              <w:tabs>
                <w:tab w:val="clear" w:pos="4153"/>
                <w:tab w:val="clear" w:pos="8306"/>
              </w:tabs>
              <w:rPr>
                <w:i/>
                <w:iCs/>
                <w:sz w:val="20"/>
              </w:rPr>
            </w:pPr>
            <w:r>
              <w:rPr>
                <w:i/>
                <w:iCs/>
                <w:sz w:val="20"/>
              </w:rPr>
              <w:t>to proceed with the change, implementing the Action Plan if appropriate</w:t>
            </w:r>
          </w:p>
          <w:p w:rsidR="001956A0" w:rsidRDefault="001956A0" w:rsidP="001956A0">
            <w:pPr>
              <w:pStyle w:val="Header"/>
              <w:numPr>
                <w:ilvl w:val="0"/>
                <w:numId w:val="12"/>
              </w:numPr>
              <w:tabs>
                <w:tab w:val="clear" w:pos="4153"/>
                <w:tab w:val="clear" w:pos="8306"/>
              </w:tabs>
              <w:rPr>
                <w:i/>
                <w:iCs/>
                <w:sz w:val="20"/>
              </w:rPr>
            </w:pPr>
            <w:r>
              <w:rPr>
                <w:i/>
                <w:iCs/>
                <w:sz w:val="20"/>
              </w:rPr>
              <w:t>consider alternatives</w:t>
            </w:r>
          </w:p>
          <w:p w:rsidR="001956A0" w:rsidRDefault="001956A0" w:rsidP="001956A0">
            <w:pPr>
              <w:pStyle w:val="Header"/>
              <w:numPr>
                <w:ilvl w:val="0"/>
                <w:numId w:val="12"/>
              </w:numPr>
              <w:tabs>
                <w:tab w:val="clear" w:pos="4153"/>
                <w:tab w:val="clear" w:pos="8306"/>
              </w:tabs>
              <w:rPr>
                <w:i/>
                <w:iCs/>
                <w:sz w:val="20"/>
              </w:rPr>
            </w:pPr>
            <w:r>
              <w:rPr>
                <w:i/>
                <w:iCs/>
                <w:sz w:val="20"/>
              </w:rPr>
              <w:t>gather further evidence</w:t>
            </w:r>
          </w:p>
          <w:p w:rsidR="001956A0" w:rsidRDefault="001956A0" w:rsidP="001956A0">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1956A0">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1956A0" w:rsidRDefault="001956A0" w:rsidP="001956A0">
            <w:pPr>
              <w:pStyle w:val="Header"/>
            </w:pPr>
            <w:r w:rsidRPr="00B06653">
              <w:rPr>
                <w:rFonts w:cs="Arial"/>
                <w:bCs/>
              </w:rPr>
              <w:t xml:space="preserve">To proceed with the implementation of the </w:t>
            </w:r>
            <w:r>
              <w:rPr>
                <w:rFonts w:cs="Arial"/>
                <w:bCs/>
              </w:rPr>
              <w:t>strategy.</w:t>
            </w:r>
          </w:p>
        </w:tc>
      </w:tr>
      <w:tr w:rsidR="001956A0">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1956A0" w:rsidRDefault="001956A0" w:rsidP="00DA25D0">
            <w:pPr>
              <w:pStyle w:val="Heading2"/>
              <w:numPr>
                <w:ilvl w:val="0"/>
                <w:numId w:val="23"/>
              </w:numPr>
              <w:rPr>
                <w:sz w:val="24"/>
              </w:rPr>
            </w:pPr>
            <w:bookmarkStart w:id="0" w:name="_GoBack"/>
            <w:bookmarkEnd w:id="0"/>
            <w:r>
              <w:rPr>
                <w:sz w:val="24"/>
              </w:rPr>
              <w:t xml:space="preserve">Authorisation </w:t>
            </w:r>
          </w:p>
          <w:p w:rsidR="001956A0" w:rsidRDefault="001956A0" w:rsidP="001956A0">
            <w:pPr>
              <w:pStyle w:val="Header"/>
              <w:tabs>
                <w:tab w:val="clear" w:pos="4153"/>
                <w:tab w:val="clear" w:pos="8306"/>
              </w:tabs>
              <w:rPr>
                <w:i/>
                <w:iCs/>
                <w:sz w:val="20"/>
              </w:rPr>
            </w:pPr>
            <w:r>
              <w:rPr>
                <w:i/>
                <w:iCs/>
                <w:sz w:val="20"/>
              </w:rPr>
              <w:t>The authorising officer is consenting that:</w:t>
            </w:r>
          </w:p>
          <w:p w:rsidR="001956A0" w:rsidRDefault="001956A0" w:rsidP="001956A0">
            <w:pPr>
              <w:pStyle w:val="Header"/>
              <w:numPr>
                <w:ilvl w:val="0"/>
                <w:numId w:val="15"/>
              </w:numPr>
              <w:tabs>
                <w:tab w:val="clear" w:pos="4153"/>
                <w:tab w:val="clear" w:pos="8306"/>
              </w:tabs>
              <w:rPr>
                <w:i/>
                <w:iCs/>
                <w:sz w:val="20"/>
              </w:rPr>
            </w:pPr>
            <w:r>
              <w:rPr>
                <w:i/>
                <w:iCs/>
                <w:sz w:val="20"/>
              </w:rPr>
              <w:t>the recommendation can be implemented</w:t>
            </w:r>
          </w:p>
          <w:p w:rsidR="001956A0" w:rsidRDefault="001956A0" w:rsidP="001956A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1956A0" w:rsidRDefault="001956A0" w:rsidP="001956A0">
            <w:pPr>
              <w:numPr>
                <w:ilvl w:val="0"/>
                <w:numId w:val="14"/>
              </w:numPr>
              <w:rPr>
                <w:rFonts w:cs="Arial"/>
                <w:b/>
                <w:bCs/>
                <w:sz w:val="20"/>
                <w:szCs w:val="20"/>
              </w:rPr>
            </w:pPr>
            <w:r>
              <w:rPr>
                <w:i/>
                <w:iCs/>
                <w:sz w:val="20"/>
              </w:rPr>
              <w:t xml:space="preserve">the Action Plan will be incorporated into the relevant Service Plan and monitored </w:t>
            </w:r>
          </w:p>
        </w:tc>
      </w:tr>
      <w:tr w:rsidR="001956A0">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1956A0" w:rsidRDefault="001956A0" w:rsidP="001956A0">
            <w:pPr>
              <w:rPr>
                <w:rFonts w:cs="Arial"/>
                <w:b/>
                <w:bCs/>
              </w:rPr>
            </w:pPr>
            <w:r>
              <w:rPr>
                <w:rFonts w:cs="Arial"/>
                <w:b/>
                <w:bCs/>
              </w:rPr>
              <w:t>Service Manager</w:t>
            </w:r>
          </w:p>
          <w:p w:rsidR="001956A0" w:rsidRDefault="001956A0" w:rsidP="001956A0">
            <w:pPr>
              <w:rPr>
                <w:rFonts w:cs="Arial"/>
                <w:b/>
                <w:bCs/>
              </w:rPr>
            </w:pPr>
          </w:p>
        </w:tc>
        <w:tc>
          <w:tcPr>
            <w:tcW w:w="5906"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1956A0" w:rsidRDefault="001956A0" w:rsidP="001956A0">
            <w:pPr>
              <w:pStyle w:val="CommentText"/>
              <w:rPr>
                <w:rFonts w:cs="Arial"/>
                <w:sz w:val="24"/>
                <w:szCs w:val="24"/>
              </w:rPr>
            </w:pPr>
            <w:r>
              <w:rPr>
                <w:rFonts w:cs="Arial"/>
                <w:sz w:val="24"/>
                <w:szCs w:val="24"/>
              </w:rPr>
              <w:t>Mark Breathwick</w:t>
            </w:r>
          </w:p>
          <w:p w:rsidR="001956A0" w:rsidRPr="00865498" w:rsidRDefault="001956A0" w:rsidP="001956A0">
            <w:pPr>
              <w:pStyle w:val="CommentText"/>
              <w:rPr>
                <w:rFonts w:cs="Arial"/>
                <w:sz w:val="24"/>
                <w:szCs w:val="24"/>
              </w:rPr>
            </w:pPr>
            <w:r>
              <w:rPr>
                <w:rFonts w:cs="Arial"/>
                <w:sz w:val="24"/>
                <w:szCs w:val="24"/>
              </w:rPr>
              <w:t>Head of Housing</w:t>
            </w:r>
          </w:p>
        </w:tc>
      </w:tr>
      <w:tr w:rsidR="001956A0">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1956A0" w:rsidRDefault="001956A0" w:rsidP="001956A0">
            <w:pPr>
              <w:rPr>
                <w:rFonts w:cs="Arial"/>
                <w:b/>
                <w:bCs/>
              </w:rPr>
            </w:pPr>
            <w:r>
              <w:rPr>
                <w:rFonts w:cs="Arial"/>
                <w:b/>
                <w:bCs/>
              </w:rPr>
              <w:t xml:space="preserve">Date </w:t>
            </w:r>
          </w:p>
        </w:tc>
        <w:tc>
          <w:tcPr>
            <w:tcW w:w="5906"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1956A0" w:rsidRPr="00865498" w:rsidRDefault="001956A0" w:rsidP="001956A0">
            <w:pPr>
              <w:pStyle w:val="CommentText"/>
              <w:rPr>
                <w:rFonts w:cs="Arial"/>
                <w:b/>
                <w:bCs/>
              </w:rPr>
            </w:pPr>
            <w:r>
              <w:rPr>
                <w:rFonts w:cs="Arial"/>
                <w:b/>
                <w:bCs/>
              </w:rPr>
              <w:t>October 2019</w:t>
            </w: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80" w:rsidRDefault="00E50180">
      <w:r>
        <w:separator/>
      </w:r>
    </w:p>
  </w:endnote>
  <w:endnote w:type="continuationSeparator" w:id="0">
    <w:p w:rsidR="00E50180" w:rsidRDefault="00E5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25" w:rsidRDefault="00B0292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A25D0">
      <w:rPr>
        <w:rStyle w:val="PageNumber"/>
        <w:noProof/>
      </w:rPr>
      <w:t>3</w:t>
    </w:r>
    <w:r>
      <w:rPr>
        <w:rStyle w:val="PageNumber"/>
      </w:rPr>
      <w:fldChar w:fldCharType="end"/>
    </w:r>
  </w:p>
  <w:p w:rsidR="00B02925" w:rsidRDefault="00B02925" w:rsidP="00B02925">
    <w:pPr>
      <w:tabs>
        <w:tab w:val="left" w:pos="4678"/>
        <w:tab w:val="left" w:pos="53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80" w:rsidRDefault="00E50180">
      <w:r>
        <w:separator/>
      </w:r>
    </w:p>
  </w:footnote>
  <w:footnote w:type="continuationSeparator" w:id="0">
    <w:p w:rsidR="00E50180" w:rsidRDefault="00E5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25" w:rsidRDefault="00B02925">
    <w:pPr>
      <w:pStyle w:val="Header"/>
      <w:jc w:val="center"/>
      <w:rPr>
        <w:b/>
        <w:bCs/>
        <w:sz w:val="36"/>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3.85pt;margin-top:-35.4pt;width:2in;height:87.75pt;z-index:251657216">
          <v:imagedata r:id="rId1" o:title=""/>
          <w10:wrap type="square"/>
        </v:shape>
        <o:OLEObject Type="Embed" ProgID="Word.Picture.8" ShapeID="_x0000_s2049" DrawAspect="Content" ObjectID="_1656750220" r:id="rId2"/>
      </w:object>
    </w:r>
    <w:r>
      <w:rPr>
        <w:b/>
        <w:bCs/>
        <w:sz w:val="44"/>
      </w:rPr>
      <w:t xml:space="preserve">Diversity impact assessment </w:t>
    </w:r>
  </w:p>
  <w:p w:rsidR="00B02925" w:rsidRDefault="00B02925">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EB0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rPr>
        <w:i w:val="0"/>
        <w:color w:val="auto"/>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rPr>
        <w:i w:val="0"/>
        <w:color w:val="auto"/>
      </w:rPr>
    </w:lvl>
    <w:lvl w:ilvl="5">
      <w:start w:val="1"/>
      <w:numFmt w:val="decimal"/>
      <w:lvlText w:val="%1.%2.%3.%4.%5.%6."/>
      <w:lvlJc w:val="left"/>
      <w:pPr>
        <w:ind w:left="2736" w:hanging="936"/>
      </w:pPr>
      <w:rPr>
        <w:i w:val="0"/>
        <w:color w:val="auto"/>
      </w:rPr>
    </w:lvl>
    <w:lvl w:ilvl="6">
      <w:start w:val="1"/>
      <w:numFmt w:val="decimal"/>
      <w:lvlText w:val="%1.%2.%3.%4.%5.%6.%7."/>
      <w:lvlJc w:val="left"/>
      <w:pPr>
        <w:ind w:left="3240" w:hanging="1080"/>
      </w:pPr>
      <w:rPr>
        <w:i w:val="0"/>
        <w:color w:val="auto"/>
      </w:rPr>
    </w:lvl>
    <w:lvl w:ilvl="7">
      <w:start w:val="1"/>
      <w:numFmt w:val="decimal"/>
      <w:lvlText w:val="%1.%2.%3.%4.%5.%6.%7.%8."/>
      <w:lvlJc w:val="left"/>
      <w:pPr>
        <w:ind w:left="3744" w:hanging="1224"/>
      </w:pPr>
      <w:rPr>
        <w:i w:val="0"/>
        <w:color w:val="auto"/>
      </w:rPr>
    </w:lvl>
    <w:lvl w:ilvl="8">
      <w:start w:val="1"/>
      <w:numFmt w:val="decimal"/>
      <w:lvlText w:val="%1.%2.%3.%4.%5.%6.%7.%8.%9."/>
      <w:lvlJc w:val="left"/>
      <w:pPr>
        <w:ind w:left="4320" w:hanging="1440"/>
      </w:pPr>
      <w:rPr>
        <w:i w:val="0"/>
        <w:color w:val="auto"/>
      </w:rPr>
    </w:lvl>
  </w:abstractNum>
  <w:abstractNum w:abstractNumId="5"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F5718F"/>
    <w:multiLevelType w:val="hybridMultilevel"/>
    <w:tmpl w:val="31D64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4"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D28CF"/>
    <w:multiLevelType w:val="hybridMultilevel"/>
    <w:tmpl w:val="8A4C31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0"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1"/>
  </w:num>
  <w:num w:numId="3">
    <w:abstractNumId w:val="7"/>
  </w:num>
  <w:num w:numId="4">
    <w:abstractNumId w:val="1"/>
  </w:num>
  <w:num w:numId="5">
    <w:abstractNumId w:val="10"/>
  </w:num>
  <w:num w:numId="6">
    <w:abstractNumId w:val="9"/>
  </w:num>
  <w:num w:numId="7">
    <w:abstractNumId w:val="15"/>
  </w:num>
  <w:num w:numId="8">
    <w:abstractNumId w:val="8"/>
  </w:num>
  <w:num w:numId="9">
    <w:abstractNumId w:val="0"/>
  </w:num>
  <w:num w:numId="10">
    <w:abstractNumId w:val="5"/>
  </w:num>
  <w:num w:numId="11">
    <w:abstractNumId w:val="12"/>
  </w:num>
  <w:num w:numId="12">
    <w:abstractNumId w:val="3"/>
  </w:num>
  <w:num w:numId="13">
    <w:abstractNumId w:val="22"/>
  </w:num>
  <w:num w:numId="14">
    <w:abstractNumId w:val="2"/>
  </w:num>
  <w:num w:numId="15">
    <w:abstractNumId w:val="18"/>
  </w:num>
  <w:num w:numId="16">
    <w:abstractNumId w:val="17"/>
  </w:num>
  <w:num w:numId="17">
    <w:abstractNumId w:val="13"/>
  </w:num>
  <w:num w:numId="18">
    <w:abstractNumId w:val="20"/>
  </w:num>
  <w:num w:numId="19">
    <w:abstractNumId w:val="19"/>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06A3"/>
    <w:rsid w:val="000173F4"/>
    <w:rsid w:val="00072F1D"/>
    <w:rsid w:val="000844E0"/>
    <w:rsid w:val="000C56D7"/>
    <w:rsid w:val="0010725A"/>
    <w:rsid w:val="00123985"/>
    <w:rsid w:val="00192313"/>
    <w:rsid w:val="001956A0"/>
    <w:rsid w:val="0021360A"/>
    <w:rsid w:val="00242047"/>
    <w:rsid w:val="002665F6"/>
    <w:rsid w:val="00280EBE"/>
    <w:rsid w:val="00286ECE"/>
    <w:rsid w:val="002C24E8"/>
    <w:rsid w:val="00321905"/>
    <w:rsid w:val="00357DE2"/>
    <w:rsid w:val="003C0BF3"/>
    <w:rsid w:val="003C0DAC"/>
    <w:rsid w:val="00404145"/>
    <w:rsid w:val="00410574"/>
    <w:rsid w:val="00435E08"/>
    <w:rsid w:val="00461B7F"/>
    <w:rsid w:val="00485E8C"/>
    <w:rsid w:val="004C5F24"/>
    <w:rsid w:val="004D4385"/>
    <w:rsid w:val="0051771B"/>
    <w:rsid w:val="0054472E"/>
    <w:rsid w:val="005662DD"/>
    <w:rsid w:val="005F0948"/>
    <w:rsid w:val="0063796F"/>
    <w:rsid w:val="006F59FB"/>
    <w:rsid w:val="00763B90"/>
    <w:rsid w:val="0077036C"/>
    <w:rsid w:val="00774C41"/>
    <w:rsid w:val="007821ED"/>
    <w:rsid w:val="0079694E"/>
    <w:rsid w:val="007A1C5B"/>
    <w:rsid w:val="007B12D0"/>
    <w:rsid w:val="007E543D"/>
    <w:rsid w:val="00865498"/>
    <w:rsid w:val="008C543D"/>
    <w:rsid w:val="008F3510"/>
    <w:rsid w:val="00973E31"/>
    <w:rsid w:val="00A44A9C"/>
    <w:rsid w:val="00AD719D"/>
    <w:rsid w:val="00B02925"/>
    <w:rsid w:val="00B06653"/>
    <w:rsid w:val="00B072B1"/>
    <w:rsid w:val="00B15B5D"/>
    <w:rsid w:val="00B95802"/>
    <w:rsid w:val="00C739AF"/>
    <w:rsid w:val="00C916F0"/>
    <w:rsid w:val="00C97824"/>
    <w:rsid w:val="00CE51D5"/>
    <w:rsid w:val="00D107EF"/>
    <w:rsid w:val="00D52CBA"/>
    <w:rsid w:val="00D53FCB"/>
    <w:rsid w:val="00D86ED6"/>
    <w:rsid w:val="00DA25D0"/>
    <w:rsid w:val="00DA3D89"/>
    <w:rsid w:val="00E02F5F"/>
    <w:rsid w:val="00E13A2E"/>
    <w:rsid w:val="00E34A78"/>
    <w:rsid w:val="00E50180"/>
    <w:rsid w:val="00E81DF7"/>
    <w:rsid w:val="00EB5ADC"/>
    <w:rsid w:val="00EF2547"/>
    <w:rsid w:val="00F0580B"/>
    <w:rsid w:val="00F30638"/>
    <w:rsid w:val="00F851C2"/>
    <w:rsid w:val="00FB6D0B"/>
    <w:rsid w:val="00FD368C"/>
    <w:rsid w:val="00FE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70A6E417"/>
  <w15:chartTrackingRefBased/>
  <w15:docId w15:val="{397E198B-C334-4751-997B-DE93AE91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B0665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92873">
      <w:bodyDiv w:val="1"/>
      <w:marLeft w:val="0"/>
      <w:marRight w:val="0"/>
      <w:marTop w:val="0"/>
      <w:marBottom w:val="0"/>
      <w:divBdr>
        <w:top w:val="none" w:sz="0" w:space="0" w:color="auto"/>
        <w:left w:val="none" w:sz="0" w:space="0" w:color="auto"/>
        <w:bottom w:val="none" w:sz="0" w:space="0" w:color="auto"/>
        <w:right w:val="none" w:sz="0" w:space="0" w:color="auto"/>
      </w:divBdr>
    </w:div>
    <w:div w:id="15237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B62B-9CD6-42E7-A3F9-2477D021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4715</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3</cp:revision>
  <cp:lastPrinted>2016-12-06T15:14:00Z</cp:lastPrinted>
  <dcterms:created xsi:type="dcterms:W3CDTF">2020-07-20T10:37:00Z</dcterms:created>
  <dcterms:modified xsi:type="dcterms:W3CDTF">2020-07-20T10:37:00Z</dcterms:modified>
</cp:coreProperties>
</file>