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0A" w:rsidRDefault="00BC280A">
      <w:pPr>
        <w:jc w:val="center"/>
        <w:rPr>
          <w:rFonts w:cs="Arial"/>
          <w:bCs/>
        </w:rPr>
      </w:pP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845"/>
        <w:gridCol w:w="882"/>
        <w:gridCol w:w="1728"/>
        <w:gridCol w:w="325"/>
        <w:gridCol w:w="1403"/>
      </w:tblGrid>
      <w:tr w:rsidR="00BC280A" w:rsidTr="00013322">
        <w:tblPrEx>
          <w:tblCellMar>
            <w:top w:w="0" w:type="dxa"/>
            <w:bottom w:w="0" w:type="dxa"/>
          </w:tblCellMar>
        </w:tblPrEx>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bookmarkStart w:id="0" w:name="_GoBack" w:colFirst="0" w:colLast="2"/>
            <w:r>
              <w:rPr>
                <w:bCs/>
              </w:rPr>
              <w:t>TITLE</w:t>
            </w:r>
          </w:p>
          <w:p w:rsidR="00BC280A" w:rsidRDefault="00BC280A">
            <w:pPr>
              <w:pStyle w:val="Header"/>
              <w:tabs>
                <w:tab w:val="clear" w:pos="4153"/>
                <w:tab w:val="clear" w:pos="8306"/>
              </w:tabs>
              <w:rPr>
                <w:bCs/>
                <w:i/>
                <w:iCs/>
              </w:rPr>
            </w:pPr>
            <w:r>
              <w:rPr>
                <w:rFonts w:cs="Arial"/>
                <w:bCs/>
                <w:i/>
                <w:iCs/>
                <w:sz w:val="20"/>
              </w:rPr>
              <w:t>Name/description of the issue being assessed</w:t>
            </w:r>
          </w:p>
        </w:tc>
        <w:tc>
          <w:tcPr>
            <w:tcW w:w="6443"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pStyle w:val="Header"/>
              <w:tabs>
                <w:tab w:val="clear" w:pos="4153"/>
                <w:tab w:val="clear" w:pos="8306"/>
              </w:tabs>
              <w:rPr>
                <w:bCs/>
              </w:rPr>
            </w:pPr>
            <w:r>
              <w:rPr>
                <w:bCs/>
              </w:rPr>
              <w:t xml:space="preserve"> </w:t>
            </w:r>
            <w:r w:rsidR="00D80F37" w:rsidRPr="00D80F37">
              <w:rPr>
                <w:bCs/>
              </w:rPr>
              <w:t>Management of Fire Risks in Communal Areas Policy</w:t>
            </w:r>
          </w:p>
        </w:tc>
      </w:tr>
      <w:tr w:rsidR="00BC280A" w:rsidTr="00013322">
        <w:tblPrEx>
          <w:tblCellMar>
            <w:top w:w="0" w:type="dxa"/>
            <w:bottom w:w="0" w:type="dxa"/>
          </w:tblCellMar>
        </w:tblPrEx>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 xml:space="preserve">DATE </w:t>
            </w:r>
          </w:p>
          <w:p w:rsidR="00BC280A" w:rsidRDefault="00BC280A">
            <w:pPr>
              <w:pStyle w:val="Header"/>
              <w:tabs>
                <w:tab w:val="clear" w:pos="4153"/>
                <w:tab w:val="clear" w:pos="8306"/>
              </w:tabs>
              <w:rPr>
                <w:bCs/>
                <w:i/>
                <w:iCs/>
              </w:rPr>
            </w:pPr>
            <w:r>
              <w:rPr>
                <w:rFonts w:cs="Arial"/>
                <w:bCs/>
                <w:i/>
                <w:iCs/>
                <w:sz w:val="20"/>
              </w:rPr>
              <w:t>Date the DIA is completed</w:t>
            </w:r>
          </w:p>
        </w:tc>
        <w:tc>
          <w:tcPr>
            <w:tcW w:w="6443"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BC280A" w:rsidRDefault="00597E92" w:rsidP="00277ED9">
            <w:pPr>
              <w:rPr>
                <w:bCs/>
              </w:rPr>
            </w:pPr>
            <w:r>
              <w:rPr>
                <w:bCs/>
              </w:rPr>
              <w:t>December 2019</w:t>
            </w:r>
          </w:p>
        </w:tc>
      </w:tr>
      <w:tr w:rsidR="00BC280A" w:rsidTr="00013322">
        <w:tblPrEx>
          <w:tblCellMar>
            <w:top w:w="0" w:type="dxa"/>
            <w:bottom w:w="0" w:type="dxa"/>
          </w:tblCellMar>
        </w:tblPrEx>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LEAD OFFICER</w:t>
            </w:r>
          </w:p>
          <w:p w:rsidR="00BC280A" w:rsidRDefault="00BC280A">
            <w:pPr>
              <w:pStyle w:val="Header"/>
              <w:tabs>
                <w:tab w:val="clear" w:pos="4153"/>
                <w:tab w:val="clear" w:pos="8306"/>
              </w:tabs>
              <w:rPr>
                <w:bCs/>
              </w:rPr>
            </w:pPr>
            <w:r w:rsidRPr="001E0429">
              <w:rPr>
                <w:rFonts w:cs="Arial"/>
                <w:bCs/>
                <w:i/>
                <w:iCs/>
                <w:sz w:val="16"/>
              </w:rPr>
              <w:t>Name and title of person responsible for carrying out the DIA</w:t>
            </w:r>
            <w:r w:rsidRPr="001E0429">
              <w:rPr>
                <w:rFonts w:cs="Arial"/>
                <w:bCs/>
                <w:sz w:val="16"/>
              </w:rPr>
              <w:t>.</w:t>
            </w:r>
          </w:p>
        </w:tc>
        <w:tc>
          <w:tcPr>
            <w:tcW w:w="6443"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BC280A" w:rsidRDefault="00597E92">
            <w:pPr>
              <w:rPr>
                <w:bCs/>
              </w:rPr>
            </w:pPr>
            <w:r>
              <w:rPr>
                <w:bCs/>
              </w:rPr>
              <w:t>Aisling Sims – Policy and Performance Manager</w:t>
            </w:r>
          </w:p>
        </w:tc>
      </w:tr>
      <w:tr w:rsidR="00BC280A" w:rsidTr="00013322">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013322">
            <w:pPr>
              <w:pStyle w:val="Header"/>
              <w:numPr>
                <w:ilvl w:val="0"/>
                <w:numId w:val="9"/>
              </w:numPr>
              <w:tabs>
                <w:tab w:val="clear" w:pos="4153"/>
                <w:tab w:val="clear" w:pos="8306"/>
              </w:tabs>
              <w:rPr>
                <w:bCs/>
              </w:rPr>
            </w:pPr>
            <w:r>
              <w:rPr>
                <w:bCs/>
              </w:rPr>
              <w:t>Summary description of the proposed change</w:t>
            </w:r>
          </w:p>
          <w:p w:rsidR="00BC280A" w:rsidRDefault="00BC280A" w:rsidP="00E06D5D">
            <w:pPr>
              <w:pStyle w:val="Header"/>
              <w:numPr>
                <w:ilvl w:val="0"/>
                <w:numId w:val="5"/>
              </w:numPr>
              <w:tabs>
                <w:tab w:val="clear" w:pos="4153"/>
                <w:tab w:val="clear" w:pos="8306"/>
              </w:tabs>
              <w:rPr>
                <w:bCs/>
                <w:i/>
                <w:iCs/>
                <w:sz w:val="20"/>
              </w:rPr>
            </w:pPr>
            <w:r>
              <w:rPr>
                <w:bCs/>
                <w:i/>
                <w:iCs/>
                <w:sz w:val="20"/>
              </w:rPr>
              <w:t>What is the change to policy/service/new project that is being proposed?</w:t>
            </w:r>
          </w:p>
          <w:p w:rsidR="00BC280A" w:rsidRDefault="00BC280A" w:rsidP="00E06D5D">
            <w:pPr>
              <w:pStyle w:val="Header"/>
              <w:numPr>
                <w:ilvl w:val="0"/>
                <w:numId w:val="5"/>
              </w:numPr>
              <w:tabs>
                <w:tab w:val="clear" w:pos="4153"/>
                <w:tab w:val="clear" w:pos="8306"/>
              </w:tabs>
              <w:rPr>
                <w:bCs/>
              </w:rPr>
            </w:pPr>
            <w:r>
              <w:rPr>
                <w:bCs/>
                <w:i/>
                <w:iCs/>
                <w:sz w:val="20"/>
              </w:rPr>
              <w:t>How does it compare with the current situation?</w:t>
            </w:r>
          </w:p>
        </w:tc>
      </w:tr>
      <w:tr w:rsidR="00BC280A" w:rsidTr="00013322">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EB5CD4" w:rsidRDefault="00597E92" w:rsidP="00EB5CD4">
            <w:pPr>
              <w:pStyle w:val="Header"/>
              <w:tabs>
                <w:tab w:val="clear" w:pos="4153"/>
                <w:tab w:val="clear" w:pos="8306"/>
              </w:tabs>
              <w:rPr>
                <w:bCs/>
                <w:i/>
              </w:rPr>
            </w:pPr>
            <w:r>
              <w:rPr>
                <w:i/>
              </w:rPr>
              <w:t>The previous</w:t>
            </w:r>
            <w:r w:rsidR="00EB5CD4" w:rsidRPr="00DD3D7E">
              <w:rPr>
                <w:i/>
              </w:rPr>
              <w:t xml:space="preserve"> </w:t>
            </w:r>
            <w:r w:rsidR="00EB5CD4" w:rsidRPr="00DD3D7E">
              <w:rPr>
                <w:bCs/>
                <w:i/>
              </w:rPr>
              <w:t>Management of Fire Risks in Communal Areas Policy</w:t>
            </w:r>
            <w:r>
              <w:rPr>
                <w:bCs/>
                <w:i/>
              </w:rPr>
              <w:t xml:space="preserve"> was implemented in October 2016</w:t>
            </w:r>
            <w:r w:rsidR="00EB5CD4" w:rsidRPr="00DD3D7E">
              <w:rPr>
                <w:bCs/>
                <w:i/>
              </w:rPr>
              <w:t xml:space="preserve">.  Following a review of the </w:t>
            </w:r>
            <w:r w:rsidR="001E0429">
              <w:rPr>
                <w:bCs/>
                <w:i/>
              </w:rPr>
              <w:t>p</w:t>
            </w:r>
            <w:r>
              <w:rPr>
                <w:bCs/>
                <w:i/>
              </w:rPr>
              <w:t>olicy in December 2019</w:t>
            </w:r>
            <w:r w:rsidR="00EB5CD4" w:rsidRPr="00DD3D7E">
              <w:rPr>
                <w:bCs/>
                <w:i/>
              </w:rPr>
              <w:t>, th</w:t>
            </w:r>
            <w:r w:rsidR="001E0429">
              <w:rPr>
                <w:bCs/>
                <w:i/>
              </w:rPr>
              <w:t>is</w:t>
            </w:r>
            <w:r w:rsidR="00EB5CD4" w:rsidRPr="00DD3D7E">
              <w:rPr>
                <w:bCs/>
                <w:i/>
              </w:rPr>
              <w:t xml:space="preserve"> DIA has also been updated</w:t>
            </w:r>
            <w:r>
              <w:rPr>
                <w:bCs/>
                <w:i/>
              </w:rPr>
              <w:t xml:space="preserve"> reviewed</w:t>
            </w:r>
            <w:r w:rsidR="00EB5CD4" w:rsidRPr="00DD3D7E">
              <w:rPr>
                <w:bCs/>
                <w:i/>
              </w:rPr>
              <w:t>.  No significant changes to the policy were to be implemented foll</w:t>
            </w:r>
            <w:r>
              <w:rPr>
                <w:bCs/>
                <w:i/>
              </w:rPr>
              <w:t>owing the review in December 2019</w:t>
            </w:r>
            <w:r w:rsidR="00424D9C">
              <w:rPr>
                <w:bCs/>
                <w:i/>
              </w:rPr>
              <w:t>,</w:t>
            </w:r>
            <w:r>
              <w:rPr>
                <w:bCs/>
                <w:i/>
              </w:rPr>
              <w:t xml:space="preserve"> however the following points have been clarified: </w:t>
            </w:r>
          </w:p>
          <w:p w:rsidR="00424D9C" w:rsidRDefault="00424D9C" w:rsidP="00EB5CD4">
            <w:pPr>
              <w:pStyle w:val="Header"/>
              <w:tabs>
                <w:tab w:val="clear" w:pos="4153"/>
                <w:tab w:val="clear" w:pos="8306"/>
              </w:tabs>
              <w:rPr>
                <w:bCs/>
                <w:i/>
              </w:rPr>
            </w:pPr>
          </w:p>
          <w:p w:rsidR="00597E92" w:rsidRPr="00597E92" w:rsidRDefault="00597E92" w:rsidP="00597E92">
            <w:pPr>
              <w:pStyle w:val="Header"/>
              <w:numPr>
                <w:ilvl w:val="0"/>
                <w:numId w:val="8"/>
              </w:numPr>
              <w:tabs>
                <w:tab w:val="clear" w:pos="4153"/>
                <w:tab w:val="clear" w:pos="8306"/>
              </w:tabs>
            </w:pPr>
            <w:r w:rsidRPr="00597E92">
              <w:t>Cost of removal and storage of items</w:t>
            </w:r>
          </w:p>
          <w:p w:rsidR="00597E92" w:rsidRPr="00597E92" w:rsidRDefault="00597E92" w:rsidP="00597E92">
            <w:pPr>
              <w:pStyle w:val="Header"/>
              <w:numPr>
                <w:ilvl w:val="0"/>
                <w:numId w:val="8"/>
              </w:numPr>
              <w:tabs>
                <w:tab w:val="clear" w:pos="4153"/>
                <w:tab w:val="clear" w:pos="8306"/>
              </w:tabs>
            </w:pPr>
            <w:r w:rsidRPr="00597E92">
              <w:t>A Scheme Support Officer must be on site if a BBQ is held at a HFIL scheme</w:t>
            </w:r>
          </w:p>
          <w:p w:rsidR="00597E92" w:rsidRPr="00597E92" w:rsidRDefault="00597E92" w:rsidP="00597E92">
            <w:pPr>
              <w:pStyle w:val="Header"/>
              <w:numPr>
                <w:ilvl w:val="0"/>
                <w:numId w:val="8"/>
              </w:numPr>
              <w:tabs>
                <w:tab w:val="clear" w:pos="4153"/>
                <w:tab w:val="clear" w:pos="8306"/>
              </w:tabs>
            </w:pPr>
            <w:r w:rsidRPr="00597E92">
              <w:t xml:space="preserve">Artificial flowers including plastic and silk varieties are not permitted in communal areas. </w:t>
            </w:r>
          </w:p>
          <w:p w:rsidR="00597E92" w:rsidRPr="00597E92" w:rsidRDefault="00597E92" w:rsidP="00597E92">
            <w:pPr>
              <w:pStyle w:val="Header"/>
              <w:tabs>
                <w:tab w:val="clear" w:pos="4153"/>
                <w:tab w:val="clear" w:pos="8306"/>
              </w:tabs>
              <w:rPr>
                <w:sz w:val="16"/>
              </w:rPr>
            </w:pPr>
          </w:p>
          <w:p w:rsidR="00EB5CD4" w:rsidRDefault="00EB5CD4" w:rsidP="00EB5CD4">
            <w:pPr>
              <w:pStyle w:val="Header"/>
              <w:tabs>
                <w:tab w:val="clear" w:pos="4153"/>
                <w:tab w:val="clear" w:pos="8306"/>
              </w:tabs>
            </w:pPr>
            <w:r>
              <w:t xml:space="preserve">The health and safety of our tenants </w:t>
            </w:r>
            <w:r w:rsidR="001E0429">
              <w:t>is</w:t>
            </w:r>
            <w:r>
              <w:t xml:space="preserve"> paramoun</w:t>
            </w:r>
            <w:r w:rsidR="001E0429">
              <w:t xml:space="preserve">t; as such Housing Services </w:t>
            </w:r>
            <w:r>
              <w:t>implement a systematic and robust approach to items stored in communal areas in response to criticism and recommendations from an independent fire risks assessment.</w:t>
            </w:r>
          </w:p>
          <w:p w:rsidR="0094119A" w:rsidRDefault="0094119A" w:rsidP="00EB5CD4">
            <w:pPr>
              <w:pStyle w:val="Header"/>
              <w:tabs>
                <w:tab w:val="clear" w:pos="4153"/>
                <w:tab w:val="clear" w:pos="8306"/>
              </w:tabs>
            </w:pPr>
          </w:p>
          <w:p w:rsidR="00EB5CD4" w:rsidRDefault="003B6119" w:rsidP="00EB5CD4">
            <w:pPr>
              <w:pStyle w:val="Header"/>
              <w:tabs>
                <w:tab w:val="clear" w:pos="4153"/>
                <w:tab w:val="clear" w:pos="8306"/>
              </w:tabs>
            </w:pPr>
            <w:r>
              <w:t>The Management of Fire Risks in Communal Areas Policy was introduced in January 2014 and through it Housing Services has implemented a robust approach to managing items in communal areas. Fire Safety is also highlighted in tenancy agreeme</w:t>
            </w:r>
            <w:r w:rsidR="00013322">
              <w:t>nts and during tenant sign ups.</w:t>
            </w:r>
          </w:p>
          <w:p w:rsidR="00013322" w:rsidRPr="00013322" w:rsidRDefault="00013322" w:rsidP="00EB5CD4">
            <w:pPr>
              <w:pStyle w:val="Header"/>
              <w:tabs>
                <w:tab w:val="clear" w:pos="4153"/>
                <w:tab w:val="clear" w:pos="8306"/>
              </w:tabs>
            </w:pPr>
          </w:p>
          <w:p w:rsidR="00BC280A" w:rsidRPr="00162B49" w:rsidRDefault="00EB5CD4" w:rsidP="00162B49">
            <w:pPr>
              <w:pStyle w:val="Header"/>
              <w:tabs>
                <w:tab w:val="clear" w:pos="4153"/>
                <w:tab w:val="clear" w:pos="8306"/>
              </w:tabs>
              <w:rPr>
                <w:rFonts w:cs="Arial"/>
                <w:color w:val="000000"/>
                <w:szCs w:val="22"/>
                <w:lang w:val="en"/>
              </w:rPr>
            </w:pPr>
            <w:r>
              <w:t xml:space="preserve">‘Non-negotiable’ items include </w:t>
            </w:r>
            <w:r>
              <w:rPr>
                <w:rFonts w:cs="Arial"/>
                <w:color w:val="000000"/>
                <w:szCs w:val="22"/>
                <w:lang w:val="en"/>
              </w:rPr>
              <w:t>mobility scooters and pushchairs, buggies, prams and festive decorations.</w:t>
            </w:r>
          </w:p>
        </w:tc>
      </w:tr>
      <w:tr w:rsidR="00BC280A" w:rsidTr="00013322">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013322">
            <w:pPr>
              <w:pStyle w:val="Header"/>
              <w:numPr>
                <w:ilvl w:val="0"/>
                <w:numId w:val="9"/>
              </w:numPr>
              <w:tabs>
                <w:tab w:val="clear" w:pos="4153"/>
                <w:tab w:val="clear" w:pos="8306"/>
              </w:tabs>
            </w:pPr>
            <w:r>
              <w:t xml:space="preserve">Summary of evidence used to support this assessment  </w:t>
            </w:r>
          </w:p>
          <w:p w:rsidR="00BC280A" w:rsidRDefault="00BC280A" w:rsidP="00E06D5D">
            <w:pPr>
              <w:pStyle w:val="Header"/>
              <w:numPr>
                <w:ilvl w:val="0"/>
                <w:numId w:val="2"/>
              </w:numPr>
              <w:tabs>
                <w:tab w:val="clear" w:pos="4153"/>
                <w:tab w:val="clear" w:pos="8306"/>
              </w:tabs>
              <w:rPr>
                <w:i/>
                <w:iCs/>
                <w:sz w:val="20"/>
              </w:rPr>
            </w:pPr>
            <w:r>
              <w:rPr>
                <w:i/>
                <w:iCs/>
                <w:sz w:val="20"/>
              </w:rPr>
              <w:t>Eg: Feedback from consultation, performance information, service user records etc.</w:t>
            </w:r>
          </w:p>
          <w:p w:rsidR="00BC280A" w:rsidRDefault="00BC280A" w:rsidP="00E06D5D">
            <w:pPr>
              <w:pStyle w:val="Header"/>
              <w:numPr>
                <w:ilvl w:val="0"/>
                <w:numId w:val="2"/>
              </w:numPr>
              <w:tabs>
                <w:tab w:val="clear" w:pos="4153"/>
                <w:tab w:val="clear" w:pos="8306"/>
              </w:tabs>
              <w:rPr>
                <w:rFonts w:cs="Arial"/>
              </w:rPr>
            </w:pPr>
            <w:r>
              <w:rPr>
                <w:i/>
                <w:iCs/>
                <w:sz w:val="20"/>
              </w:rPr>
              <w:t>Eg: Comparison of service user profile with Medway Community Profile</w:t>
            </w:r>
            <w:r>
              <w:rPr>
                <w:sz w:val="20"/>
              </w:rPr>
              <w:t xml:space="preserve"> </w:t>
            </w:r>
          </w:p>
        </w:tc>
      </w:tr>
      <w:tr w:rsidR="00BC280A" w:rsidTr="00013322">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91108" w:rsidRPr="00013322" w:rsidRDefault="00491108">
            <w:r w:rsidRPr="00162B49">
              <w:rPr>
                <w:rFonts w:cs="Arial"/>
                <w:bCs/>
                <w:color w:val="000000"/>
                <w:szCs w:val="20"/>
              </w:rPr>
              <w:t xml:space="preserve">Property types </w:t>
            </w:r>
            <w:r w:rsidR="00162B49" w:rsidRPr="00162B49">
              <w:rPr>
                <w:rFonts w:cs="Arial"/>
                <w:bCs/>
                <w:color w:val="000000"/>
                <w:szCs w:val="20"/>
              </w:rPr>
              <w:t xml:space="preserve">– Around </w:t>
            </w:r>
            <w:r w:rsidRPr="00162B49">
              <w:rPr>
                <w:rFonts w:cs="Arial"/>
                <w:bCs/>
                <w:color w:val="000000"/>
                <w:szCs w:val="20"/>
              </w:rPr>
              <w:t>half of the housing stock comprises of flats (</w:t>
            </w:r>
            <w:r w:rsidR="00162B49" w:rsidRPr="00162B49">
              <w:rPr>
                <w:rFonts w:cs="Arial"/>
                <w:bCs/>
                <w:color w:val="000000"/>
                <w:szCs w:val="20"/>
              </w:rPr>
              <w:t>49</w:t>
            </w:r>
            <w:r w:rsidRPr="00162B49">
              <w:rPr>
                <w:rFonts w:cs="Arial"/>
                <w:bCs/>
                <w:color w:val="000000"/>
                <w:szCs w:val="20"/>
              </w:rPr>
              <w:t>%) with the remainder made up of houses (43%) and bungalows (8%).</w:t>
            </w:r>
          </w:p>
          <w:p w:rsidR="00516B92" w:rsidRDefault="00516B92">
            <w:r>
              <w:t xml:space="preserve">In 2014 Inside Housing published the following article containing statistics released by the London Fire Brigade </w:t>
            </w:r>
          </w:p>
          <w:p w:rsidR="00516B92" w:rsidRPr="00516B92" w:rsidRDefault="00516B92" w:rsidP="00491108">
            <w:pPr>
              <w:spacing w:before="120" w:after="120"/>
              <w:rPr>
                <w:rFonts w:ascii="Times New Roman" w:hAnsi="Times New Roman"/>
                <w:i/>
                <w:lang w:val="en" w:eastAsia="en-GB"/>
              </w:rPr>
            </w:pPr>
            <w:r w:rsidRPr="00516B92">
              <w:rPr>
                <w:rFonts w:ascii="Times New Roman" w:hAnsi="Times New Roman"/>
                <w:i/>
                <w:lang w:val="en" w:eastAsia="en-GB"/>
              </w:rPr>
              <w:lastRenderedPageBreak/>
              <w:t>The London Fire Brigade has today reported that they were 514 fires in communal areas in 2013/14, compared with 449 the previous year. This represents a 14% increase.</w:t>
            </w:r>
          </w:p>
          <w:p w:rsidR="00516B92" w:rsidRPr="00516B92" w:rsidRDefault="00516B92" w:rsidP="00491108">
            <w:pPr>
              <w:spacing w:before="120" w:after="120"/>
              <w:rPr>
                <w:rFonts w:ascii="Times New Roman" w:hAnsi="Times New Roman"/>
                <w:i/>
                <w:lang w:val="en" w:eastAsia="en-GB"/>
              </w:rPr>
            </w:pPr>
            <w:r w:rsidRPr="00516B92">
              <w:rPr>
                <w:rFonts w:ascii="Times New Roman" w:hAnsi="Times New Roman"/>
                <w:i/>
                <w:lang w:val="en" w:eastAsia="en-GB"/>
              </w:rPr>
              <w:t>The fire brigade is warning that clutter such as buggies, bikes and mattresses are often the cause of fires and can also block residents’ fire escape routes. It is calling on landlords to do more to ensure communal areas are kept clear, that they ensure tenants know their escape routes and what to do in the event of a fire.</w:t>
            </w:r>
          </w:p>
          <w:p w:rsidR="00516B92" w:rsidRPr="00516B92" w:rsidRDefault="00516B92" w:rsidP="00491108">
            <w:pPr>
              <w:spacing w:before="120" w:after="120"/>
              <w:rPr>
                <w:rFonts w:ascii="Times New Roman" w:hAnsi="Times New Roman"/>
                <w:i/>
                <w:lang w:val="en" w:eastAsia="en-GB"/>
              </w:rPr>
            </w:pPr>
            <w:r w:rsidRPr="00516B92">
              <w:rPr>
                <w:rFonts w:ascii="Times New Roman" w:hAnsi="Times New Roman"/>
                <w:i/>
                <w:lang w:val="en" w:eastAsia="en-GB"/>
              </w:rPr>
              <w:t>Steve Turek, assistant commissioner at the London Fire Brigade, said: ‘It is the responsibility of landlords to keep communal areas clear and ensure their property has a suitable fire safety plan. </w:t>
            </w:r>
          </w:p>
          <w:p w:rsidR="00516B92" w:rsidRPr="00516B92" w:rsidRDefault="00516B92" w:rsidP="00491108">
            <w:pPr>
              <w:spacing w:before="120" w:after="120"/>
              <w:rPr>
                <w:rFonts w:ascii="Times New Roman" w:hAnsi="Times New Roman"/>
                <w:i/>
                <w:lang w:val="en" w:eastAsia="en-GB"/>
              </w:rPr>
            </w:pPr>
            <w:r w:rsidRPr="00516B92">
              <w:rPr>
                <w:rFonts w:ascii="Times New Roman" w:hAnsi="Times New Roman"/>
                <w:i/>
                <w:lang w:val="en" w:eastAsia="en-GB"/>
              </w:rPr>
              <w:t>‘Residents can help by not storing bikes, buggies and other items in communal areas because these can cause fires that can spread quickly.</w:t>
            </w:r>
          </w:p>
          <w:p w:rsidR="00516B92" w:rsidRPr="00516B92" w:rsidRDefault="00516B92" w:rsidP="00491108">
            <w:pPr>
              <w:spacing w:before="120" w:after="120"/>
              <w:rPr>
                <w:rFonts w:ascii="Times New Roman" w:hAnsi="Times New Roman"/>
                <w:i/>
                <w:lang w:val="en" w:eastAsia="en-GB"/>
              </w:rPr>
            </w:pPr>
            <w:r w:rsidRPr="00516B92">
              <w:rPr>
                <w:rFonts w:ascii="Times New Roman" w:hAnsi="Times New Roman"/>
                <w:i/>
                <w:lang w:val="en" w:eastAsia="en-GB"/>
              </w:rPr>
              <w:t>‘Parking a pushchair or a bike outside your flat might seem like a practical solution but in the event of a fire it becomes a dangerous obstacle that can slow down firefighters trying to reach a fire and residents trying to escape it.’</w:t>
            </w:r>
          </w:p>
          <w:p w:rsidR="00516B92" w:rsidRDefault="00516B92">
            <w:pPr>
              <w:rPr>
                <w:bCs/>
              </w:rPr>
            </w:pPr>
            <w:r>
              <w:t>Th</w:t>
            </w:r>
            <w:r w:rsidR="00390963">
              <w:t>e above</w:t>
            </w:r>
            <w:r>
              <w:t xml:space="preserve"> article highlights the importance of having a </w:t>
            </w:r>
            <w:r w:rsidRPr="00516B92">
              <w:rPr>
                <w:bCs/>
                <w:i/>
              </w:rPr>
              <w:t>Management of Fire Risks in Communal Areas Policy</w:t>
            </w:r>
            <w:r w:rsidRPr="00516B92">
              <w:rPr>
                <w:bCs/>
              </w:rPr>
              <w:t xml:space="preserve"> in </w:t>
            </w:r>
            <w:r w:rsidR="00390963">
              <w:rPr>
                <w:bCs/>
              </w:rPr>
              <w:t>p</w:t>
            </w:r>
            <w:r w:rsidRPr="00516B92">
              <w:rPr>
                <w:bCs/>
              </w:rPr>
              <w:t>lace</w:t>
            </w:r>
            <w:r>
              <w:rPr>
                <w:bCs/>
              </w:rPr>
              <w:t>.</w:t>
            </w:r>
          </w:p>
          <w:p w:rsidR="00013322" w:rsidRPr="00013322" w:rsidRDefault="00013322">
            <w:pPr>
              <w:rPr>
                <w:bCs/>
              </w:rPr>
            </w:pPr>
          </w:p>
          <w:p w:rsidR="00F34755" w:rsidRPr="00F62A04" w:rsidRDefault="00F62A04">
            <w:r>
              <w:t xml:space="preserve">Using disability profiling data held against our lead tenants as at 16/12/2019 there were a total of 467 (15.8%) known to have some type of disability. </w:t>
            </w:r>
          </w:p>
          <w:p w:rsidR="00F34755" w:rsidRPr="00491108" w:rsidRDefault="00F34755">
            <w:pPr>
              <w:rPr>
                <w:sz w:val="20"/>
              </w:rPr>
            </w:pPr>
          </w:p>
          <w:p w:rsidR="00F34755" w:rsidRDefault="0090494A">
            <w:r>
              <w:t>It is t</w:t>
            </w:r>
            <w:r w:rsidR="00D339F8">
              <w:t xml:space="preserve">herefore reasonable to conclude that some of our residents may </w:t>
            </w:r>
            <w:r>
              <w:t xml:space="preserve">have some form of </w:t>
            </w:r>
            <w:r w:rsidR="00516B92">
              <w:t xml:space="preserve">mobility </w:t>
            </w:r>
            <w:r>
              <w:t xml:space="preserve">equipment that will require storage.  </w:t>
            </w:r>
            <w:r w:rsidR="00491108">
              <w:t>Particularly</w:t>
            </w:r>
            <w:r>
              <w:t xml:space="preserve"> large equipment </w:t>
            </w:r>
            <w:r w:rsidR="00491108">
              <w:t>might be diffi</w:t>
            </w:r>
            <w:r w:rsidR="00F62A04">
              <w:t xml:space="preserve">cult to store within properties and this is now addressed in the Mobility Scooter Policy. </w:t>
            </w:r>
          </w:p>
        </w:tc>
      </w:tr>
      <w:tr w:rsidR="00BC280A" w:rsidTr="00013322">
        <w:tblPrEx>
          <w:tblCellMar>
            <w:top w:w="0" w:type="dxa"/>
            <w:bottom w:w="0" w:type="dxa"/>
          </w:tblCellMar>
        </w:tblPrEx>
        <w:trPr>
          <w:cantSplit/>
        </w:trPr>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vAlign w:val="center"/>
          </w:tcPr>
          <w:p w:rsidR="00BC280A" w:rsidRDefault="00BC280A" w:rsidP="00013322">
            <w:pPr>
              <w:pStyle w:val="Heading2"/>
              <w:numPr>
                <w:ilvl w:val="0"/>
                <w:numId w:val="9"/>
              </w:numPr>
              <w:rPr>
                <w:b w:val="0"/>
                <w:bCs w:val="0"/>
                <w:sz w:val="24"/>
              </w:rPr>
            </w:pPr>
            <w:r>
              <w:rPr>
                <w:b w:val="0"/>
                <w:bCs w:val="0"/>
                <w:sz w:val="24"/>
              </w:rPr>
              <w:lastRenderedPageBreak/>
              <w:t>What is the likely impact of the proposed change?</w:t>
            </w:r>
          </w:p>
          <w:p w:rsidR="00BC280A" w:rsidRDefault="00BC280A">
            <w:pPr>
              <w:pStyle w:val="Header"/>
              <w:tabs>
                <w:tab w:val="clear" w:pos="4153"/>
                <w:tab w:val="clear" w:pos="8306"/>
              </w:tabs>
              <w:rPr>
                <w:i/>
                <w:iCs/>
                <w:sz w:val="20"/>
              </w:rPr>
            </w:pPr>
            <w:r>
              <w:rPr>
                <w:i/>
                <w:iCs/>
                <w:sz w:val="20"/>
              </w:rPr>
              <w:t>Is it likely to :</w:t>
            </w:r>
          </w:p>
          <w:p w:rsidR="00BC280A" w:rsidRDefault="00BC280A" w:rsidP="00E06D5D">
            <w:pPr>
              <w:pStyle w:val="Header"/>
              <w:numPr>
                <w:ilvl w:val="0"/>
                <w:numId w:val="1"/>
              </w:numPr>
              <w:tabs>
                <w:tab w:val="clear" w:pos="4153"/>
                <w:tab w:val="clear" w:pos="8306"/>
              </w:tabs>
              <w:rPr>
                <w:i/>
                <w:iCs/>
                <w:sz w:val="20"/>
              </w:rPr>
            </w:pPr>
            <w:r>
              <w:rPr>
                <w:i/>
                <w:iCs/>
                <w:sz w:val="20"/>
              </w:rPr>
              <w:t xml:space="preserve">Adversely impact on one or more of the protected characteristic groups? </w:t>
            </w:r>
          </w:p>
          <w:p w:rsidR="00BC280A" w:rsidRDefault="00BC280A" w:rsidP="00E06D5D">
            <w:pPr>
              <w:pStyle w:val="Header"/>
              <w:numPr>
                <w:ilvl w:val="0"/>
                <w:numId w:val="1"/>
              </w:numPr>
              <w:tabs>
                <w:tab w:val="clear" w:pos="4153"/>
                <w:tab w:val="clear" w:pos="8306"/>
              </w:tabs>
              <w:rPr>
                <w:i/>
                <w:iCs/>
                <w:sz w:val="20"/>
              </w:rPr>
            </w:pPr>
            <w:r>
              <w:rPr>
                <w:i/>
                <w:iCs/>
                <w:sz w:val="20"/>
              </w:rPr>
              <w:t>Advance equality of opportunity for one or more of the protected characteristic groups?</w:t>
            </w:r>
          </w:p>
          <w:p w:rsidR="00BC280A" w:rsidRPr="00AA2F30" w:rsidRDefault="00BC280A" w:rsidP="00E06D5D">
            <w:pPr>
              <w:pStyle w:val="Header"/>
              <w:numPr>
                <w:ilvl w:val="0"/>
                <w:numId w:val="1"/>
              </w:numPr>
              <w:tabs>
                <w:tab w:val="clear" w:pos="4153"/>
                <w:tab w:val="clear" w:pos="8306"/>
              </w:tabs>
              <w:rPr>
                <w:i/>
                <w:iCs/>
                <w:sz w:val="20"/>
              </w:rPr>
            </w:pPr>
            <w:r>
              <w:rPr>
                <w:i/>
                <w:iCs/>
                <w:sz w:val="20"/>
              </w:rPr>
              <w:t>Foster good relations between people who share a protected characteristic and those who don’t?</w:t>
            </w:r>
            <w:r w:rsidRPr="00AA2F30">
              <w:rPr>
                <w:i/>
                <w:iCs/>
                <w:sz w:val="16"/>
              </w:rPr>
              <w:t xml:space="preserve"> (insert </w:t>
            </w:r>
            <w:r>
              <w:sym w:font="Wingdings" w:char="F0FC"/>
            </w:r>
            <w:r w:rsidRPr="00AA2F30">
              <w:rPr>
                <w:i/>
                <w:iCs/>
                <w:sz w:val="16"/>
              </w:rPr>
              <w:t xml:space="preserve"> in one or more boxes)</w:t>
            </w: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Protected characteristic groups</w:t>
            </w: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Adverse impact</w:t>
            </w:r>
          </w:p>
        </w:tc>
        <w:tc>
          <w:tcPr>
            <w:tcW w:w="172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Advance equality</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Foster good relations</w:t>
            </w: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 xml:space="preserve">Age </w:t>
            </w:r>
          </w:p>
          <w:p w:rsidR="00BC280A" w:rsidRDefault="00BC280A">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Disabilty</w:t>
            </w:r>
          </w:p>
          <w:p w:rsidR="00BC280A" w:rsidRDefault="00BC280A">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F610F9">
            <w:pPr>
              <w:jc w:val="center"/>
              <w:rPr>
                <w:noProof/>
                <w:lang w:val="en-US"/>
              </w:rPr>
            </w:pPr>
            <w:r>
              <w:rPr>
                <w:i/>
                <w:iCs/>
                <w:sz w:val="40"/>
              </w:rPr>
              <w:sym w:font="Wingdings" w:char="F0FC"/>
            </w: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sz w:val="40"/>
                <w:lang w:val="en-US"/>
              </w:rPr>
            </w:pP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Gender reassignment</w:t>
            </w:r>
            <w:r>
              <w:rPr>
                <w:rFonts w:cs="Arial"/>
                <w:b/>
                <w:bCs/>
                <w:noProof/>
                <w:sz w:val="22"/>
                <w:lang w:val="en-US"/>
              </w:rPr>
              <w:t xml:space="preserve"> </w:t>
            </w:r>
          </w:p>
          <w:p w:rsidR="00BC280A" w:rsidRDefault="00BC280A">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013322">
        <w:tblPrEx>
          <w:tblCellMar>
            <w:top w:w="0" w:type="dxa"/>
            <w:bottom w:w="0" w:type="dxa"/>
          </w:tblCellMar>
        </w:tblPrEx>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Marriage/civil partnership</w:t>
            </w: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Pregnancy/maternity</w:t>
            </w:r>
          </w:p>
          <w:p w:rsidR="00BC280A" w:rsidRDefault="00BC280A">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CE2EE0">
            <w:pPr>
              <w:rPr>
                <w:rFonts w:cs="Arial"/>
                <w:b/>
                <w:bCs/>
                <w:noProof/>
                <w:sz w:val="22"/>
                <w:lang w:val="en-US"/>
              </w:rPr>
            </w:pPr>
            <w:r>
              <w:rPr>
                <w:rFonts w:cs="Arial"/>
                <w:b/>
                <w:bCs/>
                <w:noProof/>
                <w:sz w:val="22"/>
                <w:lang w:val="en-US"/>
              </w:rPr>
              <w:t>Ethnicity</w:t>
            </w:r>
          </w:p>
          <w:p w:rsidR="00BC280A" w:rsidRDefault="00BC280A">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CE2EE0">
            <w:pPr>
              <w:jc w:val="center"/>
              <w:rPr>
                <w:noProof/>
                <w:lang w:val="en-US"/>
              </w:rPr>
            </w:pPr>
            <w:r>
              <w:rPr>
                <w:i/>
                <w:iCs/>
                <w:sz w:val="40"/>
              </w:rPr>
              <w:sym w:font="Wingdings" w:char="F0FC"/>
            </w: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ing6"/>
              <w:rPr>
                <w:rFonts w:cs="Arial"/>
              </w:rPr>
            </w:pPr>
            <w:r>
              <w:rPr>
                <w:rFonts w:cs="Arial"/>
              </w:rPr>
              <w:lastRenderedPageBreak/>
              <w:t>Religion/belief</w:t>
            </w:r>
          </w:p>
          <w:p w:rsidR="00BC280A" w:rsidRDefault="00BC280A">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521AC3">
            <w:pPr>
              <w:jc w:val="center"/>
              <w:rPr>
                <w:noProof/>
                <w:lang w:val="en-US"/>
              </w:rPr>
            </w:pPr>
            <w:r>
              <w:rPr>
                <w:i/>
                <w:iCs/>
                <w:sz w:val="40"/>
              </w:rPr>
              <w:sym w:font="Wingdings" w:char="F0FC"/>
            </w: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w:t>
            </w:r>
          </w:p>
          <w:p w:rsidR="00BC280A" w:rsidRDefault="00BC280A">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Sexual orientation</w:t>
            </w:r>
          </w:p>
          <w:p w:rsidR="00BC280A" w:rsidRDefault="00BC280A">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013322">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162B49">
            <w:pPr>
              <w:rPr>
                <w:rFonts w:cs="Arial"/>
                <w:b/>
                <w:bCs/>
                <w:sz w:val="22"/>
              </w:rPr>
            </w:pPr>
            <w:r>
              <w:rPr>
                <w:rFonts w:cs="Arial"/>
                <w:b/>
                <w:bCs/>
                <w:sz w:val="22"/>
              </w:rPr>
              <w:t>Households with young children</w:t>
            </w:r>
          </w:p>
          <w:p w:rsidR="00BC280A" w:rsidRDefault="00BC280A">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162B49">
            <w:pPr>
              <w:jc w:val="center"/>
              <w:rPr>
                <w:noProof/>
                <w:lang w:val="en-US"/>
              </w:rPr>
            </w:pPr>
            <w:r>
              <w:rPr>
                <w:i/>
                <w:iCs/>
                <w:sz w:val="40"/>
              </w:rPr>
              <w:sym w:font="Wingdings" w:char="F0FC"/>
            </w: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013322">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013322">
            <w:pPr>
              <w:pStyle w:val="Header"/>
              <w:numPr>
                <w:ilvl w:val="0"/>
                <w:numId w:val="9"/>
              </w:numPr>
              <w:tabs>
                <w:tab w:val="clear" w:pos="4153"/>
                <w:tab w:val="clear" w:pos="8306"/>
              </w:tabs>
            </w:pPr>
            <w:r>
              <w:t xml:space="preserve">Summary of the likely impacts </w:t>
            </w:r>
          </w:p>
          <w:p w:rsidR="00BC280A" w:rsidRDefault="00BC280A" w:rsidP="00E06D5D">
            <w:pPr>
              <w:pStyle w:val="Header"/>
              <w:numPr>
                <w:ilvl w:val="0"/>
                <w:numId w:val="3"/>
              </w:numPr>
              <w:tabs>
                <w:tab w:val="clear" w:pos="4153"/>
                <w:tab w:val="clear" w:pos="8306"/>
              </w:tabs>
              <w:rPr>
                <w:i/>
                <w:iCs/>
                <w:sz w:val="20"/>
              </w:rPr>
            </w:pPr>
            <w:r>
              <w:rPr>
                <w:i/>
                <w:iCs/>
                <w:sz w:val="20"/>
              </w:rPr>
              <w:t>Who will be affected?</w:t>
            </w:r>
          </w:p>
          <w:p w:rsidR="00BC280A" w:rsidRDefault="00BC280A" w:rsidP="00E06D5D">
            <w:pPr>
              <w:pStyle w:val="Header"/>
              <w:numPr>
                <w:ilvl w:val="0"/>
                <w:numId w:val="3"/>
              </w:numPr>
              <w:tabs>
                <w:tab w:val="clear" w:pos="4153"/>
                <w:tab w:val="clear" w:pos="8306"/>
              </w:tabs>
              <w:rPr>
                <w:sz w:val="16"/>
              </w:rPr>
            </w:pPr>
            <w:r>
              <w:rPr>
                <w:i/>
                <w:iCs/>
                <w:sz w:val="20"/>
              </w:rPr>
              <w:t>How will they be affected?</w:t>
            </w:r>
            <w:r>
              <w:rPr>
                <w:sz w:val="20"/>
              </w:rPr>
              <w:t xml:space="preserve"> </w:t>
            </w:r>
          </w:p>
        </w:tc>
      </w:tr>
      <w:tr w:rsidR="00BC280A" w:rsidTr="00013322">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CE2EE0" w:rsidRDefault="00162B49">
            <w:r>
              <w:t>This policy will be applied to all residents equally</w:t>
            </w:r>
            <w:r w:rsidR="00390963">
              <w:t xml:space="preserve">, but whilst not specifically </w:t>
            </w:r>
            <w:r>
              <w:t>targeted</w:t>
            </w:r>
            <w:r w:rsidR="00390963">
              <w:t xml:space="preserve"> at any </w:t>
            </w:r>
            <w:r>
              <w:t xml:space="preserve">protected characteristic </w:t>
            </w:r>
            <w:r w:rsidR="00CE2EE0">
              <w:t xml:space="preserve">it is recognised that some aspects of could adversely impact on some </w:t>
            </w:r>
            <w:r w:rsidR="00390963">
              <w:t>of the</w:t>
            </w:r>
            <w:r w:rsidR="00CE2EE0">
              <w:t xml:space="preserve"> groups.</w:t>
            </w:r>
          </w:p>
          <w:p w:rsidR="00013322" w:rsidRPr="00013322" w:rsidRDefault="00013322"/>
          <w:p w:rsidR="00CE2EE0" w:rsidRDefault="00CE2EE0" w:rsidP="00CE2EE0">
            <w:pPr>
              <w:pStyle w:val="Header"/>
              <w:tabs>
                <w:tab w:val="clear" w:pos="4153"/>
                <w:tab w:val="clear" w:pos="8306"/>
              </w:tabs>
            </w:pPr>
            <w:r>
              <w:t>Those with learning difficul</w:t>
            </w:r>
            <w:r w:rsidR="000D531B">
              <w:t>ties or visual impairments</w:t>
            </w:r>
            <w:r w:rsidR="00390963">
              <w:t xml:space="preserve"> or for tenants w</w:t>
            </w:r>
            <w:r w:rsidR="000D531B">
              <w:t>hose</w:t>
            </w:r>
            <w:r w:rsidR="00390963">
              <w:t xml:space="preserve"> </w:t>
            </w:r>
            <w:r>
              <w:t>first language</w:t>
            </w:r>
            <w:r w:rsidR="000D531B">
              <w:t xml:space="preserve"> is not English </w:t>
            </w:r>
            <w:r>
              <w:t>may find it difficult to read warning stickers that are applied to items (warning that the item needs to be removed within 48 hours otherwise they will be disposed of).</w:t>
            </w:r>
          </w:p>
          <w:p w:rsidR="00CE2EE0" w:rsidRPr="000D531B" w:rsidRDefault="00CE2EE0" w:rsidP="00CE2EE0">
            <w:pPr>
              <w:pStyle w:val="Header"/>
              <w:tabs>
                <w:tab w:val="clear" w:pos="4153"/>
                <w:tab w:val="clear" w:pos="8306"/>
              </w:tabs>
              <w:rPr>
                <w:sz w:val="20"/>
              </w:rPr>
            </w:pPr>
          </w:p>
          <w:p w:rsidR="00CE2EE0" w:rsidRDefault="00CE2EE0" w:rsidP="00CE2EE0">
            <w:r>
              <w:t>As at least 5% of our residents have some form of mobility issue</w:t>
            </w:r>
            <w:r w:rsidR="000D531B">
              <w:t xml:space="preserve"> and as such some may have</w:t>
            </w:r>
            <w:r>
              <w:t xml:space="preserve"> mobility equipment</w:t>
            </w:r>
            <w:r w:rsidR="000D531B">
              <w:t xml:space="preserve"> that</w:t>
            </w:r>
            <w:r>
              <w:t xml:space="preserve"> will require</w:t>
            </w:r>
            <w:r w:rsidR="000D531B">
              <w:t>s</w:t>
            </w:r>
            <w:r>
              <w:t xml:space="preserve"> storage.  </w:t>
            </w:r>
            <w:r w:rsidR="000D531B">
              <w:t xml:space="preserve">Tenants that have </w:t>
            </w:r>
            <w:r>
              <w:t>mobility scooters will not be allowed to store or charge them in communal areas</w:t>
            </w:r>
            <w:r w:rsidR="000D531B">
              <w:t xml:space="preserve">, which could </w:t>
            </w:r>
            <w:r>
              <w:t xml:space="preserve">affect the </w:t>
            </w:r>
            <w:r w:rsidR="00424D9C">
              <w:t xml:space="preserve">tenants day to day </w:t>
            </w:r>
            <w:r>
              <w:t>mobility</w:t>
            </w:r>
            <w:r w:rsidR="000D531B">
              <w:t>.</w:t>
            </w:r>
          </w:p>
          <w:p w:rsidR="00CE2EE0" w:rsidRPr="000D531B" w:rsidRDefault="00CE2EE0" w:rsidP="00CE2EE0">
            <w:pPr>
              <w:pStyle w:val="Header"/>
              <w:tabs>
                <w:tab w:val="clear" w:pos="4153"/>
                <w:tab w:val="clear" w:pos="8306"/>
              </w:tabs>
              <w:rPr>
                <w:sz w:val="20"/>
              </w:rPr>
            </w:pPr>
          </w:p>
          <w:p w:rsidR="00162B49" w:rsidRDefault="00521AC3" w:rsidP="00162B49">
            <w:pPr>
              <w:pStyle w:val="Header"/>
              <w:tabs>
                <w:tab w:val="clear" w:pos="4153"/>
                <w:tab w:val="clear" w:pos="8306"/>
              </w:tabs>
            </w:pPr>
            <w:r>
              <w:t>Households with young children</w:t>
            </w:r>
            <w:r w:rsidR="00162B49">
              <w:t xml:space="preserve"> </w:t>
            </w:r>
            <w:r w:rsidR="000D531B">
              <w:t xml:space="preserve">that </w:t>
            </w:r>
            <w:r w:rsidR="00162B49">
              <w:t>have difficulty in storing prams and buggies in their homes or carry</w:t>
            </w:r>
            <w:r>
              <w:t>ing</w:t>
            </w:r>
            <w:r w:rsidR="001D7B16">
              <w:t xml:space="preserve"> them up and down stairs could </w:t>
            </w:r>
            <w:r>
              <w:t>also be disadvantaged.</w:t>
            </w:r>
          </w:p>
          <w:p w:rsidR="00CE2EE0" w:rsidRPr="000D531B" w:rsidRDefault="00CE2EE0" w:rsidP="00162B49">
            <w:pPr>
              <w:pStyle w:val="Header"/>
              <w:tabs>
                <w:tab w:val="clear" w:pos="4153"/>
                <w:tab w:val="clear" w:pos="8306"/>
              </w:tabs>
              <w:rPr>
                <w:sz w:val="20"/>
              </w:rPr>
            </w:pPr>
          </w:p>
          <w:p w:rsidR="00162B49" w:rsidRDefault="00162B49" w:rsidP="00162B49">
            <w:pPr>
              <w:pStyle w:val="Header"/>
              <w:tabs>
                <w:tab w:val="clear" w:pos="4153"/>
                <w:tab w:val="clear" w:pos="8306"/>
              </w:tabs>
            </w:pPr>
            <w:r>
              <w:t>Those affiliated to specific religions or backgrounds may display items in communal areas to practice or celebrate their faith or specific festivals.</w:t>
            </w:r>
          </w:p>
          <w:p w:rsidR="008030A5" w:rsidRPr="00157BAB" w:rsidRDefault="008030A5" w:rsidP="00162B49">
            <w:pPr>
              <w:pStyle w:val="Header"/>
              <w:tabs>
                <w:tab w:val="clear" w:pos="4153"/>
                <w:tab w:val="clear" w:pos="8306"/>
              </w:tabs>
              <w:rPr>
                <w:sz w:val="18"/>
              </w:rPr>
            </w:pPr>
          </w:p>
          <w:p w:rsidR="008030A5" w:rsidRDefault="008030A5" w:rsidP="00162B49">
            <w:pPr>
              <w:pStyle w:val="Header"/>
              <w:tabs>
                <w:tab w:val="clear" w:pos="4153"/>
                <w:tab w:val="clear" w:pos="8306"/>
              </w:tabs>
            </w:pPr>
            <w:r>
              <w:t xml:space="preserve">However if this policy was not implemented it could be to the serious detriment of our residents lives.  Fires in communal areas could pose serious risk to </w:t>
            </w:r>
            <w:r w:rsidR="001E4A7A">
              <w:t>resident’s</w:t>
            </w:r>
            <w:r>
              <w:t xml:space="preserve"> health and in the worst case scenario lead to fatality.</w:t>
            </w:r>
          </w:p>
          <w:p w:rsidR="008030A5" w:rsidRPr="00157BAB" w:rsidRDefault="008030A5" w:rsidP="00162B49">
            <w:pPr>
              <w:pStyle w:val="Header"/>
              <w:tabs>
                <w:tab w:val="clear" w:pos="4153"/>
                <w:tab w:val="clear" w:pos="8306"/>
              </w:tabs>
              <w:rPr>
                <w:sz w:val="18"/>
              </w:rPr>
            </w:pPr>
          </w:p>
          <w:p w:rsidR="008030A5" w:rsidRDefault="008030A5" w:rsidP="00162B49">
            <w:pPr>
              <w:pStyle w:val="Header"/>
              <w:tabs>
                <w:tab w:val="clear" w:pos="4153"/>
                <w:tab w:val="clear" w:pos="8306"/>
              </w:tabs>
            </w:pPr>
            <w:r>
              <w:t xml:space="preserve">Even </w:t>
            </w:r>
            <w:r w:rsidR="000D531B">
              <w:t xml:space="preserve">if </w:t>
            </w:r>
            <w:r>
              <w:t>there were no physical casualties, fire could damage stock and put pressure on our Business plan.</w:t>
            </w:r>
          </w:p>
          <w:p w:rsidR="00BC280A" w:rsidRPr="00157BAB" w:rsidRDefault="00BC280A" w:rsidP="00A43A3F">
            <w:pPr>
              <w:rPr>
                <w:sz w:val="18"/>
              </w:rPr>
            </w:pPr>
          </w:p>
          <w:p w:rsidR="009041F9" w:rsidRDefault="009041F9" w:rsidP="000D531B">
            <w:pPr>
              <w:pStyle w:val="DefaultParagraphFont"/>
              <w:widowControl w:val="0"/>
              <w:autoSpaceDE w:val="0"/>
              <w:autoSpaceDN w:val="0"/>
              <w:adjustRightInd w:val="0"/>
            </w:pPr>
            <w:r>
              <w:t xml:space="preserve">The Council </w:t>
            </w:r>
            <w:r w:rsidR="000D531B">
              <w:t>is</w:t>
            </w:r>
            <w:r>
              <w:t xml:space="preserve"> also required under certain legislation</w:t>
            </w:r>
            <w:r w:rsidR="001E4A7A">
              <w:t xml:space="preserve"> (</w:t>
            </w:r>
            <w:r w:rsidR="001E4A7A" w:rsidRPr="001E4A7A">
              <w:t>Regulatory Reform (Fire Safety) Order 2005; Health and Safety at Work Act etc 1974;LGA Fire Safety in purpose-built blocks of flats</w:t>
            </w:r>
            <w:r w:rsidR="001E4A7A">
              <w:t xml:space="preserve">) to ensure residents safety, failing to implement this </w:t>
            </w:r>
            <w:r w:rsidR="000D531B">
              <w:t xml:space="preserve">policy </w:t>
            </w:r>
            <w:r w:rsidR="001E4A7A">
              <w:t xml:space="preserve">could </w:t>
            </w:r>
            <w:r w:rsidR="000D531B">
              <w:t xml:space="preserve">therefore </w:t>
            </w:r>
            <w:r w:rsidR="001E4A7A">
              <w:t>lead to legal ramifications.</w:t>
            </w:r>
            <w:r>
              <w:t xml:space="preserve"> </w:t>
            </w:r>
          </w:p>
        </w:tc>
      </w:tr>
      <w:tr w:rsidR="00BC280A" w:rsidTr="00013322">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013322">
            <w:pPr>
              <w:pStyle w:val="Header"/>
              <w:numPr>
                <w:ilvl w:val="0"/>
                <w:numId w:val="9"/>
              </w:numPr>
              <w:tabs>
                <w:tab w:val="clear" w:pos="4153"/>
                <w:tab w:val="clear" w:pos="8306"/>
              </w:tabs>
            </w:pPr>
            <w:r>
              <w:t>What actions can be taken to mitigate likely adverse</w:t>
            </w:r>
            <w:r>
              <w:rPr>
                <w:sz w:val="28"/>
              </w:rPr>
              <w:t xml:space="preserve"> </w:t>
            </w:r>
            <w:r>
              <w:t>impacts, improve equality of opportunity or foster good relations?</w:t>
            </w:r>
          </w:p>
          <w:p w:rsidR="00BC280A" w:rsidRDefault="00BC280A" w:rsidP="00E06D5D">
            <w:pPr>
              <w:pStyle w:val="Header"/>
              <w:numPr>
                <w:ilvl w:val="0"/>
                <w:numId w:val="4"/>
              </w:numPr>
              <w:tabs>
                <w:tab w:val="clear" w:pos="4153"/>
                <w:tab w:val="clear" w:pos="8306"/>
              </w:tabs>
              <w:rPr>
                <w:i/>
                <w:iCs/>
                <w:sz w:val="20"/>
              </w:rPr>
            </w:pPr>
            <w:r>
              <w:rPr>
                <w:i/>
                <w:iCs/>
                <w:sz w:val="20"/>
              </w:rPr>
              <w:t>Are there alternative providers?</w:t>
            </w:r>
          </w:p>
          <w:p w:rsidR="00BC280A" w:rsidRDefault="00BC280A" w:rsidP="00E06D5D">
            <w:pPr>
              <w:pStyle w:val="Header"/>
              <w:numPr>
                <w:ilvl w:val="0"/>
                <w:numId w:val="4"/>
              </w:numPr>
              <w:tabs>
                <w:tab w:val="clear" w:pos="4153"/>
                <w:tab w:val="clear" w:pos="8306"/>
              </w:tabs>
              <w:rPr>
                <w:i/>
                <w:iCs/>
                <w:sz w:val="20"/>
              </w:rPr>
            </w:pPr>
            <w:r>
              <w:rPr>
                <w:i/>
                <w:iCs/>
                <w:sz w:val="20"/>
              </w:rPr>
              <w:t>What alternative ways can the Council provide the service?</w:t>
            </w:r>
          </w:p>
          <w:p w:rsidR="00BC280A" w:rsidRDefault="00BC280A" w:rsidP="00E06D5D">
            <w:pPr>
              <w:pStyle w:val="Header"/>
              <w:numPr>
                <w:ilvl w:val="0"/>
                <w:numId w:val="4"/>
              </w:numPr>
              <w:tabs>
                <w:tab w:val="clear" w:pos="4153"/>
                <w:tab w:val="clear" w:pos="8306"/>
              </w:tabs>
              <w:rPr>
                <w:b/>
                <w:bCs/>
              </w:rPr>
            </w:pPr>
            <w:r>
              <w:rPr>
                <w:i/>
                <w:iCs/>
                <w:sz w:val="20"/>
              </w:rPr>
              <w:t>Can demand for services be managed differently?</w:t>
            </w:r>
          </w:p>
        </w:tc>
      </w:tr>
      <w:tr w:rsidR="00BC280A" w:rsidTr="00013322">
        <w:tblPrEx>
          <w:tblCellMar>
            <w:top w:w="0" w:type="dxa"/>
            <w:bottom w:w="0" w:type="dxa"/>
          </w:tblCellMar>
        </w:tblPrEx>
        <w:trPr>
          <w:cantSplit/>
        </w:trPr>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Default="0052523F">
            <w:r>
              <w:lastRenderedPageBreak/>
              <w:t xml:space="preserve">In order to mitigate </w:t>
            </w:r>
            <w:r w:rsidR="001D7B16">
              <w:t xml:space="preserve">some of </w:t>
            </w:r>
            <w:r>
              <w:t>the negative impacts of this policy the following actions will be implemented</w:t>
            </w:r>
            <w:r w:rsidR="00D57C86">
              <w:t>.</w:t>
            </w:r>
          </w:p>
          <w:p w:rsidR="00D57C86" w:rsidRPr="00157BAB" w:rsidRDefault="00D57C86">
            <w:pPr>
              <w:rPr>
                <w:sz w:val="18"/>
              </w:rPr>
            </w:pPr>
          </w:p>
          <w:p w:rsidR="00162B49" w:rsidRDefault="00162B49" w:rsidP="00162B49">
            <w:r>
              <w:t>We will be reasonable and proportional when considering non-negotiable items, for example the length of time and frequency the item is left in the communal area and whether access is compromised and items are fire resistant. Tenants are entitled to ask for the removed of an item following the council’s complaints process.</w:t>
            </w:r>
          </w:p>
          <w:p w:rsidR="00162B49" w:rsidRPr="00157BAB" w:rsidRDefault="00162B49" w:rsidP="00162B49">
            <w:pPr>
              <w:rPr>
                <w:sz w:val="16"/>
              </w:rPr>
            </w:pPr>
          </w:p>
          <w:p w:rsidR="00162B49" w:rsidRDefault="00162B49" w:rsidP="00162B49">
            <w:pPr>
              <w:rPr>
                <w:bCs/>
              </w:rPr>
            </w:pPr>
            <w:r>
              <w:rPr>
                <w:bCs/>
              </w:rPr>
              <w:t xml:space="preserve">When protected characteristics are adversely impacted, </w:t>
            </w:r>
            <w:r w:rsidR="00157BAB">
              <w:rPr>
                <w:bCs/>
              </w:rPr>
              <w:t xml:space="preserve">where possible </w:t>
            </w:r>
            <w:r>
              <w:rPr>
                <w:bCs/>
              </w:rPr>
              <w:t>we will work with tenants to find alternative solutions.</w:t>
            </w:r>
            <w:r w:rsidR="00521AC3">
              <w:rPr>
                <w:bCs/>
              </w:rPr>
              <w:t xml:space="preserve">  For </w:t>
            </w:r>
            <w:r w:rsidR="001D7B16">
              <w:rPr>
                <w:bCs/>
              </w:rPr>
              <w:t>e</w:t>
            </w:r>
            <w:r w:rsidR="00521AC3">
              <w:rPr>
                <w:bCs/>
              </w:rPr>
              <w:t>xample at some our Homes for independent living some provision will be made for the storage of mobility scooters.</w:t>
            </w:r>
          </w:p>
          <w:p w:rsidR="00521AC3" w:rsidRPr="00157BAB" w:rsidRDefault="00521AC3" w:rsidP="00162B49">
            <w:pPr>
              <w:rPr>
                <w:bCs/>
                <w:sz w:val="20"/>
              </w:rPr>
            </w:pPr>
          </w:p>
          <w:p w:rsidR="00521AC3" w:rsidRDefault="00521AC3" w:rsidP="00162B49">
            <w:pPr>
              <w:rPr>
                <w:bCs/>
              </w:rPr>
            </w:pPr>
            <w:r>
              <w:rPr>
                <w:bCs/>
              </w:rPr>
              <w:t>All tenants will be made aware of our policy on storing items in communal areas prior to signing their tenancy</w:t>
            </w:r>
            <w:r w:rsidR="00CE039A">
              <w:rPr>
                <w:bCs/>
              </w:rPr>
              <w:t>.  Before they become a tenant with us they will have to formally sign to say they will not store items in communal or outside areas of their properties.  They would be in breech of their tenancy agreement if they did this.</w:t>
            </w:r>
          </w:p>
          <w:p w:rsidR="001E4A7A" w:rsidRPr="00157BAB" w:rsidRDefault="001E4A7A" w:rsidP="00162B49">
            <w:pPr>
              <w:rPr>
                <w:bCs/>
                <w:sz w:val="20"/>
              </w:rPr>
            </w:pPr>
          </w:p>
          <w:p w:rsidR="001E4A7A" w:rsidRDefault="001E4A7A" w:rsidP="00162B49">
            <w:pPr>
              <w:rPr>
                <w:bCs/>
              </w:rPr>
            </w:pPr>
            <w:r w:rsidRPr="001E4A7A">
              <w:rPr>
                <w:bCs/>
              </w:rPr>
              <w:t xml:space="preserve">The </w:t>
            </w:r>
            <w:r>
              <w:rPr>
                <w:bCs/>
              </w:rPr>
              <w:t xml:space="preserve">Council’s </w:t>
            </w:r>
            <w:r w:rsidRPr="001E4A7A">
              <w:rPr>
                <w:bCs/>
              </w:rPr>
              <w:t>Allocations Policy also awards priority to those residing in accommodation that is not suitable for their needs.  This will help ensure that properties are suitable for wheelchair storage etc. prior to a tenant moving in.</w:t>
            </w:r>
          </w:p>
          <w:p w:rsidR="00521AC3" w:rsidRPr="00157BAB" w:rsidRDefault="00521AC3" w:rsidP="00162B49">
            <w:pPr>
              <w:rPr>
                <w:bCs/>
                <w:sz w:val="20"/>
              </w:rPr>
            </w:pPr>
          </w:p>
          <w:p w:rsidR="00D57C86" w:rsidRDefault="001D7B16" w:rsidP="00157BAB">
            <w:r>
              <w:t>Attempts will be made where possible to contact the person responsible for the item</w:t>
            </w:r>
            <w:r w:rsidR="00D57C86">
              <w:t xml:space="preserve"> to ask them to remove </w:t>
            </w:r>
            <w:r w:rsidR="00157BAB">
              <w:t>it</w:t>
            </w:r>
            <w:r w:rsidR="00D57C86">
              <w:t xml:space="preserve">.  This should reduce some of the negative impact on tenants with learning difficulties, </w:t>
            </w:r>
            <w:r w:rsidR="00157BAB">
              <w:t xml:space="preserve">visual impairments </w:t>
            </w:r>
            <w:r w:rsidR="00D57C86">
              <w:t xml:space="preserve">or </w:t>
            </w:r>
            <w:r w:rsidR="00157BAB">
              <w:t xml:space="preserve">cases </w:t>
            </w:r>
            <w:r w:rsidR="00D57C86">
              <w:t>where English is not their first language.</w:t>
            </w:r>
          </w:p>
          <w:p w:rsidR="006D69CF" w:rsidRDefault="006D69CF" w:rsidP="006D69CF"/>
        </w:tc>
      </w:tr>
      <w:tr w:rsidR="00BC280A" w:rsidTr="00013322">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BC280A" w:rsidRPr="00410849" w:rsidRDefault="00BC280A" w:rsidP="00013322">
            <w:pPr>
              <w:pStyle w:val="Heading2"/>
              <w:numPr>
                <w:ilvl w:val="0"/>
                <w:numId w:val="9"/>
              </w:numPr>
              <w:rPr>
                <w:bCs w:val="0"/>
                <w:sz w:val="24"/>
              </w:rPr>
            </w:pPr>
            <w:r w:rsidRPr="00410849">
              <w:rPr>
                <w:bCs w:val="0"/>
                <w:sz w:val="24"/>
              </w:rPr>
              <w:t>Action plan</w:t>
            </w:r>
          </w:p>
          <w:p w:rsidR="00BC280A" w:rsidRDefault="00BC280A" w:rsidP="00E06D5D">
            <w:pPr>
              <w:numPr>
                <w:ilvl w:val="0"/>
                <w:numId w:val="4"/>
              </w:numPr>
              <w:rPr>
                <w:rFonts w:cs="Arial"/>
                <w:b/>
                <w:bCs/>
                <w:i/>
                <w:iCs/>
                <w:sz w:val="20"/>
              </w:rPr>
            </w:pPr>
            <w:r>
              <w:rPr>
                <w:i/>
                <w:iCs/>
                <w:sz w:val="20"/>
              </w:rPr>
              <w:t>Actions to mitigate adverse impact, improve equality of opportunity or foster good relations and/or obtain new evidence</w:t>
            </w:r>
          </w:p>
        </w:tc>
      </w:tr>
      <w:tr w:rsidR="00BC280A" w:rsidTr="00013322">
        <w:tblPrEx>
          <w:tblCellMar>
            <w:top w:w="0" w:type="dxa"/>
            <w:bottom w:w="0" w:type="dxa"/>
          </w:tblCellMar>
        </w:tblPrEx>
        <w:tc>
          <w:tcPr>
            <w:tcW w:w="4193"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BC280A" w:rsidRPr="00410849" w:rsidRDefault="001E4A7A">
            <w:pPr>
              <w:rPr>
                <w:rFonts w:cs="Arial"/>
                <w:bCs/>
              </w:rPr>
            </w:pPr>
            <w:r w:rsidRPr="00410849">
              <w:rPr>
                <w:rFonts w:cs="Arial"/>
                <w:bCs/>
              </w:rPr>
              <w:t>As part of the ‘sign up’ process, tenants will be made aware of the conditions of their tenancy which include the expectatio</w:t>
            </w:r>
            <w:r w:rsidR="00D47C3E">
              <w:rPr>
                <w:rFonts w:cs="Arial"/>
                <w:bCs/>
              </w:rPr>
              <w:t>n to keep communal areas clear.</w:t>
            </w:r>
          </w:p>
        </w:tc>
        <w:tc>
          <w:tcPr>
            <w:tcW w:w="2935"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BC280A" w:rsidRDefault="00D26AAC">
            <w:pPr>
              <w:jc w:val="center"/>
              <w:rPr>
                <w:rFonts w:cs="Arial"/>
                <w:bCs/>
                <w:sz w:val="20"/>
              </w:rPr>
            </w:pPr>
            <w:r>
              <w:rPr>
                <w:rFonts w:cs="Arial"/>
                <w:bCs/>
                <w:sz w:val="20"/>
              </w:rPr>
              <w:t>Housing Manager</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rFonts w:cs="Arial"/>
                <w:bCs/>
              </w:rPr>
            </w:pPr>
            <w:r>
              <w:rPr>
                <w:rFonts w:cs="Arial"/>
                <w:bCs/>
              </w:rPr>
              <w:t>Ongoing</w:t>
            </w:r>
          </w:p>
          <w:p w:rsidR="00BC280A" w:rsidRDefault="00BC280A">
            <w:pPr>
              <w:jc w:val="center"/>
              <w:rPr>
                <w:rFonts w:cs="Arial"/>
                <w:bCs/>
              </w:rPr>
            </w:pPr>
          </w:p>
          <w:p w:rsidR="00BC280A" w:rsidRDefault="00BC280A">
            <w:pPr>
              <w:jc w:val="center"/>
              <w:rPr>
                <w:rFonts w:cs="Arial"/>
                <w:bCs/>
              </w:rPr>
            </w:pPr>
          </w:p>
        </w:tc>
      </w:tr>
      <w:tr w:rsidR="00D26AAC" w:rsidTr="00013322">
        <w:tblPrEx>
          <w:tblCellMar>
            <w:top w:w="0" w:type="dxa"/>
            <w:bottom w:w="0" w:type="dxa"/>
          </w:tblCellMar>
        </w:tblPrEx>
        <w:tc>
          <w:tcPr>
            <w:tcW w:w="4193"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D26AAC" w:rsidRPr="00410849" w:rsidRDefault="001E4A7A">
            <w:pPr>
              <w:rPr>
                <w:rFonts w:cs="Arial"/>
                <w:bCs/>
              </w:rPr>
            </w:pPr>
            <w:r w:rsidRPr="00410849">
              <w:rPr>
                <w:rFonts w:cs="Arial"/>
                <w:bCs/>
              </w:rPr>
              <w:t>Housing Services will refer tenants for sup</w:t>
            </w:r>
            <w:r w:rsidR="00D47C3E">
              <w:rPr>
                <w:rFonts w:cs="Arial"/>
                <w:bCs/>
              </w:rPr>
              <w:t>port if the issue is consistent</w:t>
            </w:r>
          </w:p>
        </w:tc>
        <w:tc>
          <w:tcPr>
            <w:tcW w:w="2935"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D26AAC" w:rsidRDefault="00D26AAC">
            <w:pPr>
              <w:jc w:val="center"/>
              <w:rPr>
                <w:rFonts w:cs="Arial"/>
                <w:bCs/>
                <w:sz w:val="20"/>
              </w:rPr>
            </w:pPr>
            <w:r>
              <w:rPr>
                <w:rFonts w:cs="Arial"/>
                <w:bCs/>
                <w:sz w:val="20"/>
              </w:rPr>
              <w:t>Housing Manager</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D26AAC" w:rsidRDefault="00D26AAC" w:rsidP="00D26AAC">
            <w:pPr>
              <w:jc w:val="center"/>
              <w:rPr>
                <w:rFonts w:cs="Arial"/>
                <w:bCs/>
              </w:rPr>
            </w:pPr>
            <w:r>
              <w:rPr>
                <w:rFonts w:cs="Arial"/>
                <w:bCs/>
              </w:rPr>
              <w:t>Ongoing</w:t>
            </w:r>
          </w:p>
          <w:p w:rsidR="00D26AAC" w:rsidRDefault="00D26AAC">
            <w:pPr>
              <w:jc w:val="center"/>
              <w:rPr>
                <w:rFonts w:cs="Arial"/>
                <w:bCs/>
              </w:rPr>
            </w:pPr>
          </w:p>
        </w:tc>
      </w:tr>
      <w:tr w:rsidR="006823AB" w:rsidTr="00013322">
        <w:tblPrEx>
          <w:tblCellMar>
            <w:top w:w="0" w:type="dxa"/>
            <w:bottom w:w="0" w:type="dxa"/>
          </w:tblCellMar>
        </w:tblPrEx>
        <w:tc>
          <w:tcPr>
            <w:tcW w:w="4193"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823AB" w:rsidRDefault="006823AB" w:rsidP="007D5EA9">
            <w:pPr>
              <w:rPr>
                <w:bCs/>
              </w:rPr>
            </w:pPr>
            <w:r>
              <w:rPr>
                <w:bCs/>
              </w:rPr>
              <w:t xml:space="preserve">Where protected characteristics are adversely impacted, we will work with tenants to find alternative solutions.  </w:t>
            </w:r>
          </w:p>
        </w:tc>
        <w:tc>
          <w:tcPr>
            <w:tcW w:w="2935"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823AB" w:rsidRDefault="006823AB">
            <w:pPr>
              <w:jc w:val="center"/>
              <w:rPr>
                <w:rFonts w:cs="Arial"/>
                <w:bCs/>
                <w:sz w:val="20"/>
              </w:rPr>
            </w:pPr>
            <w:r>
              <w:rPr>
                <w:rFonts w:cs="Arial"/>
                <w:bCs/>
                <w:sz w:val="20"/>
              </w:rPr>
              <w:t>Housing Manager</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6823AB" w:rsidRDefault="006823AB" w:rsidP="001E0429">
            <w:pPr>
              <w:jc w:val="center"/>
              <w:rPr>
                <w:rFonts w:cs="Arial"/>
                <w:bCs/>
              </w:rPr>
            </w:pPr>
            <w:r>
              <w:rPr>
                <w:rFonts w:cs="Arial"/>
                <w:bCs/>
              </w:rPr>
              <w:t>Ongoing</w:t>
            </w:r>
          </w:p>
          <w:p w:rsidR="006823AB" w:rsidRDefault="006823AB" w:rsidP="001E0429">
            <w:pPr>
              <w:jc w:val="center"/>
              <w:rPr>
                <w:rFonts w:cs="Arial"/>
                <w:bCs/>
              </w:rPr>
            </w:pPr>
          </w:p>
        </w:tc>
      </w:tr>
      <w:tr w:rsidR="00013322" w:rsidTr="00013322">
        <w:tblPrEx>
          <w:tblCellMar>
            <w:top w:w="0" w:type="dxa"/>
            <w:bottom w:w="0" w:type="dxa"/>
          </w:tblCellMar>
        </w:tblPrEx>
        <w:trPr>
          <w:gridAfter w:val="4"/>
          <w:wAfter w:w="4338" w:type="dxa"/>
        </w:trPr>
        <w:tc>
          <w:tcPr>
            <w:tcW w:w="4193"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013322" w:rsidRPr="00F92ADC" w:rsidRDefault="00013322" w:rsidP="00013322">
            <w:pPr>
              <w:pStyle w:val="Heading2"/>
              <w:numPr>
                <w:ilvl w:val="0"/>
                <w:numId w:val="9"/>
              </w:numPr>
              <w:rPr>
                <w:sz w:val="24"/>
              </w:rPr>
            </w:pPr>
            <w:r>
              <w:rPr>
                <w:i/>
                <w:iCs/>
                <w:sz w:val="20"/>
              </w:rPr>
              <w:lastRenderedPageBreak/>
              <w:t>The recommendation by the lead officer should be stated below. This may be:</w:t>
            </w:r>
          </w:p>
          <w:p w:rsidR="00013322" w:rsidRDefault="00013322" w:rsidP="00684364">
            <w:pPr>
              <w:pStyle w:val="Header"/>
              <w:numPr>
                <w:ilvl w:val="0"/>
                <w:numId w:val="5"/>
              </w:numPr>
              <w:tabs>
                <w:tab w:val="clear" w:pos="4153"/>
                <w:tab w:val="clear" w:pos="8306"/>
              </w:tabs>
              <w:ind w:right="-2694"/>
              <w:rPr>
                <w:i/>
                <w:iCs/>
                <w:sz w:val="20"/>
              </w:rPr>
            </w:pPr>
            <w:r>
              <w:rPr>
                <w:i/>
                <w:iCs/>
                <w:sz w:val="20"/>
              </w:rPr>
              <w:t>to proceed with the change</w:t>
            </w:r>
          </w:p>
          <w:p w:rsidR="00013322" w:rsidRPr="00013322" w:rsidRDefault="00013322" w:rsidP="00684364">
            <w:pPr>
              <w:pStyle w:val="Header"/>
              <w:numPr>
                <w:ilvl w:val="0"/>
                <w:numId w:val="5"/>
              </w:numPr>
              <w:tabs>
                <w:tab w:val="clear" w:pos="4153"/>
                <w:tab w:val="clear" w:pos="8306"/>
              </w:tabs>
              <w:ind w:right="-2694"/>
              <w:rPr>
                <w:i/>
                <w:iCs/>
                <w:sz w:val="20"/>
              </w:rPr>
            </w:pPr>
            <w:r>
              <w:rPr>
                <w:i/>
                <w:iCs/>
                <w:sz w:val="20"/>
              </w:rPr>
              <w:t>co</w:t>
            </w:r>
            <w:r w:rsidRPr="00013322">
              <w:rPr>
                <w:i/>
                <w:iCs/>
                <w:sz w:val="20"/>
              </w:rPr>
              <w:t>nsider alternatives</w:t>
            </w:r>
          </w:p>
          <w:p w:rsidR="00013322" w:rsidRDefault="00013322" w:rsidP="00E06D5D">
            <w:pPr>
              <w:pStyle w:val="Header"/>
              <w:numPr>
                <w:ilvl w:val="0"/>
                <w:numId w:val="5"/>
              </w:numPr>
              <w:tabs>
                <w:tab w:val="clear" w:pos="4153"/>
                <w:tab w:val="clear" w:pos="8306"/>
              </w:tabs>
              <w:rPr>
                <w:i/>
                <w:iCs/>
                <w:sz w:val="20"/>
              </w:rPr>
            </w:pPr>
            <w:r>
              <w:rPr>
                <w:i/>
                <w:iCs/>
                <w:sz w:val="20"/>
              </w:rPr>
              <w:t>gather further evidence</w:t>
            </w:r>
          </w:p>
          <w:p w:rsidR="00013322" w:rsidRDefault="00013322" w:rsidP="001E0429">
            <w:r>
              <w:rPr>
                <w:i/>
                <w:iCs/>
                <w:sz w:val="20"/>
              </w:rPr>
              <w:t>If the recommendation is to proceed with the change and there are no actions that can be taken to mitigate likely adverse impact, it is important to state why.</w:t>
            </w:r>
          </w:p>
        </w:tc>
      </w:tr>
      <w:tr w:rsidR="006823AB" w:rsidTr="00013322">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6823AB" w:rsidRDefault="006823AB">
            <w:r>
              <w:rPr>
                <w:rFonts w:cs="Arial"/>
              </w:rPr>
              <w:t xml:space="preserve">It is understood by the Council that this policy </w:t>
            </w:r>
            <w:r>
              <w:t>may produce some adverse impact on some of our customers, for example those with mobility issues that cannot store mobility scooters within their property.  Where possible the Council will try to mitigate these circumstances through negotiation and compromise.  Where this cannot be achieved the council should still enforce this policy in order to meet legal requirements and ensure the health and safety of all residents.  The risk of not implementing the policy would be more detrimental than the adverse impacts of it being implemented.  The Council also has legal obligations to ensure the safety of it tenants, which can only be undertaken through the enforcement of this policy</w:t>
            </w:r>
          </w:p>
          <w:p w:rsidR="006823AB" w:rsidRPr="00D47C3E" w:rsidRDefault="006823AB">
            <w:pPr>
              <w:rPr>
                <w:sz w:val="20"/>
              </w:rPr>
            </w:pPr>
          </w:p>
          <w:p w:rsidR="006823AB" w:rsidRDefault="006823AB">
            <w:pPr>
              <w:pStyle w:val="Header"/>
              <w:tabs>
                <w:tab w:val="clear" w:pos="4153"/>
                <w:tab w:val="clear" w:pos="8306"/>
              </w:tabs>
            </w:pPr>
            <w:r>
              <w:t xml:space="preserve">It is recommended to continue to complete the items in the action plan and continue to implement the </w:t>
            </w:r>
            <w:r w:rsidRPr="00D80F37">
              <w:rPr>
                <w:bCs/>
              </w:rPr>
              <w:t>Management of Fire Risks in Communal Areas Policy</w:t>
            </w:r>
            <w:r>
              <w:rPr>
                <w:bCs/>
              </w:rPr>
              <w:t>.</w:t>
            </w:r>
            <w:r>
              <w:t xml:space="preserve"> </w:t>
            </w:r>
          </w:p>
        </w:tc>
      </w:tr>
      <w:tr w:rsidR="006823AB" w:rsidTr="00013322">
        <w:tblPrEx>
          <w:tblCellMar>
            <w:top w:w="0" w:type="dxa"/>
            <w:bottom w:w="0" w:type="dxa"/>
          </w:tblCellMar>
        </w:tblPrEx>
        <w:trPr>
          <w:cantSplit/>
        </w:trPr>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6823AB" w:rsidRDefault="006823AB" w:rsidP="00013322">
            <w:pPr>
              <w:pStyle w:val="Heading2"/>
              <w:numPr>
                <w:ilvl w:val="0"/>
                <w:numId w:val="9"/>
              </w:numPr>
              <w:rPr>
                <w:sz w:val="24"/>
              </w:rPr>
            </w:pPr>
            <w:r>
              <w:rPr>
                <w:sz w:val="24"/>
              </w:rPr>
              <w:t>A</w:t>
            </w:r>
            <w:r w:rsidRPr="009041F9">
              <w:rPr>
                <w:sz w:val="24"/>
              </w:rPr>
              <w:t xml:space="preserve">uthorisation </w:t>
            </w:r>
          </w:p>
          <w:p w:rsidR="006823AB" w:rsidRDefault="006823AB">
            <w:pPr>
              <w:pStyle w:val="Header"/>
              <w:tabs>
                <w:tab w:val="clear" w:pos="4153"/>
                <w:tab w:val="clear" w:pos="8306"/>
              </w:tabs>
              <w:rPr>
                <w:i/>
                <w:iCs/>
                <w:sz w:val="20"/>
              </w:rPr>
            </w:pPr>
            <w:r>
              <w:rPr>
                <w:i/>
                <w:iCs/>
                <w:sz w:val="20"/>
              </w:rPr>
              <w:t>The authorising officer is consenting that:</w:t>
            </w:r>
          </w:p>
          <w:p w:rsidR="006823AB" w:rsidRDefault="006823AB" w:rsidP="00E06D5D">
            <w:pPr>
              <w:pStyle w:val="Header"/>
              <w:numPr>
                <w:ilvl w:val="0"/>
                <w:numId w:val="7"/>
              </w:numPr>
              <w:tabs>
                <w:tab w:val="clear" w:pos="4153"/>
                <w:tab w:val="clear" w:pos="8306"/>
              </w:tabs>
              <w:rPr>
                <w:i/>
                <w:iCs/>
                <w:sz w:val="20"/>
              </w:rPr>
            </w:pPr>
            <w:r>
              <w:rPr>
                <w:i/>
                <w:iCs/>
                <w:sz w:val="20"/>
              </w:rPr>
              <w:t>the recommendation can be implemented</w:t>
            </w:r>
          </w:p>
          <w:p w:rsidR="006823AB" w:rsidRDefault="006823AB" w:rsidP="00E06D5D">
            <w:pPr>
              <w:pStyle w:val="Header"/>
              <w:numPr>
                <w:ilvl w:val="0"/>
                <w:numId w:val="6"/>
              </w:numPr>
              <w:tabs>
                <w:tab w:val="clear" w:pos="4153"/>
                <w:tab w:val="clear" w:pos="8306"/>
              </w:tabs>
              <w:rPr>
                <w:i/>
                <w:iCs/>
                <w:sz w:val="20"/>
              </w:rPr>
            </w:pPr>
            <w:r>
              <w:rPr>
                <w:i/>
                <w:iCs/>
                <w:sz w:val="20"/>
              </w:rPr>
              <w:t>sufficient evidence has been obtained and appropriate mitigation is planned</w:t>
            </w:r>
          </w:p>
          <w:p w:rsidR="006823AB" w:rsidRDefault="006823AB" w:rsidP="001E0429">
            <w:r>
              <w:rPr>
                <w:i/>
                <w:iCs/>
                <w:sz w:val="20"/>
              </w:rPr>
              <w:t xml:space="preserve">the Action Plan will be incorporated into service plan and monitored </w:t>
            </w:r>
          </w:p>
        </w:tc>
      </w:tr>
      <w:bookmarkEnd w:id="0"/>
    </w:tbl>
    <w:p w:rsidR="00BC280A" w:rsidRPr="00D26AAC" w:rsidRDefault="00BC280A">
      <w:pPr>
        <w:rPr>
          <w:rFonts w:cs="Arial"/>
          <w:b/>
          <w:bCs/>
          <w:iCs/>
          <w:sz w:val="16"/>
          <w:szCs w:val="16"/>
        </w:rPr>
      </w:pPr>
    </w:p>
    <w:sectPr w:rsidR="00BC280A" w:rsidRPr="00D26AAC" w:rsidSect="00AA2F30">
      <w:headerReference w:type="default" r:id="rId8"/>
      <w:footerReference w:type="default" r:id="rId9"/>
      <w:type w:val="continuous"/>
      <w:pgSz w:w="11906" w:h="16838"/>
      <w:pgMar w:top="1985" w:right="1797" w:bottom="899" w:left="1797" w:header="709"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16" w:rsidRDefault="00943F16">
      <w:r>
        <w:separator/>
      </w:r>
    </w:p>
  </w:endnote>
  <w:endnote w:type="continuationSeparator" w:id="0">
    <w:p w:rsidR="00943F16" w:rsidRDefault="0094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Default="00BC280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13322">
      <w:rPr>
        <w:rStyle w:val="PageNumber"/>
        <w:noProof/>
      </w:rPr>
      <w:t>1</w:t>
    </w:r>
    <w:r>
      <w:rPr>
        <w:rStyle w:val="PageNumber"/>
      </w:rPr>
      <w:fldChar w:fldCharType="end"/>
    </w:r>
  </w:p>
  <w:p w:rsidR="00BC280A" w:rsidRDefault="00BC280A">
    <w:pPr>
      <w:pStyle w:val="Footer"/>
      <w:jc w:val="center"/>
      <w:rPr>
        <w:sz w:val="16"/>
      </w:rPr>
    </w:pPr>
    <w:r>
      <w:rPr>
        <w:rStyle w:val="PageNumber"/>
        <w:sz w:val="16"/>
      </w:rPr>
      <w:t xml:space="preserve">March 2014 </w:t>
    </w:r>
  </w:p>
  <w:p w:rsidR="00BC280A" w:rsidRDefault="00BC28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16" w:rsidRDefault="00943F16">
      <w:r>
        <w:separator/>
      </w:r>
    </w:p>
  </w:footnote>
  <w:footnote w:type="continuationSeparator" w:id="0">
    <w:p w:rsidR="00943F16" w:rsidRDefault="00943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Default="00BC280A">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Medway Council Logo" style="position:absolute;left:0;text-align:left;margin-left:-1in;margin-top:-35.4pt;width:2in;height:87.75pt;z-index:251657216">
          <v:imagedata r:id="rId1" o:title=""/>
          <w10:wrap type="square"/>
        </v:shape>
        <o:OLEObject Type="Embed" ProgID="Word.Picture.8" ShapeID="_x0000_s2049" DrawAspect="Content" ObjectID="_1645012273" r:id="rId2"/>
      </w:object>
    </w:r>
    <w:r>
      <w:rPr>
        <w:b/>
        <w:bCs/>
        <w:sz w:val="44"/>
      </w:rPr>
      <w:t>Diversity</w:t>
    </w:r>
  </w:p>
  <w:p w:rsidR="00BC280A" w:rsidRDefault="00013322">
    <w:pPr>
      <w:pStyle w:val="Header"/>
      <w:jc w:val="center"/>
      <w:rPr>
        <w:b/>
        <w:bCs/>
        <w:sz w:val="36"/>
      </w:rPr>
    </w:pPr>
    <w:r>
      <w:rPr>
        <w:b/>
        <w:bCs/>
        <w:sz w:val="44"/>
      </w:rPr>
      <w:t xml:space="preserve"> Impact A</w:t>
    </w:r>
    <w:r w:rsidR="00BC280A">
      <w:rPr>
        <w:b/>
        <w:bCs/>
        <w:sz w:val="44"/>
      </w:rPr>
      <w:t xml:space="preserve">ssessment </w:t>
    </w:r>
  </w:p>
  <w:p w:rsidR="00BC280A" w:rsidRDefault="00BC280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2E2630"/>
    <w:multiLevelType w:val="hybridMultilevel"/>
    <w:tmpl w:val="A4364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05705"/>
    <w:multiLevelType w:val="hybridMultilevel"/>
    <w:tmpl w:val="5AA6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2"/>
  </w:num>
  <w:num w:numId="6">
    <w:abstractNumId w:val="1"/>
  </w:num>
  <w:num w:numId="7">
    <w:abstractNumId w:val="8"/>
  </w:num>
  <w:num w:numId="8">
    <w:abstractNumId w:val="5"/>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3A"/>
    <w:rsid w:val="000045BB"/>
    <w:rsid w:val="00013322"/>
    <w:rsid w:val="00041BC0"/>
    <w:rsid w:val="00051AAE"/>
    <w:rsid w:val="00082EFF"/>
    <w:rsid w:val="000D531B"/>
    <w:rsid w:val="000F2732"/>
    <w:rsid w:val="00103C60"/>
    <w:rsid w:val="001042C1"/>
    <w:rsid w:val="00137AE9"/>
    <w:rsid w:val="00157BAB"/>
    <w:rsid w:val="00162B49"/>
    <w:rsid w:val="001D7B16"/>
    <w:rsid w:val="001E0429"/>
    <w:rsid w:val="001E4A7A"/>
    <w:rsid w:val="0027614E"/>
    <w:rsid w:val="00277ED9"/>
    <w:rsid w:val="002E4971"/>
    <w:rsid w:val="00334CFD"/>
    <w:rsid w:val="003562C0"/>
    <w:rsid w:val="00390963"/>
    <w:rsid w:val="003B6119"/>
    <w:rsid w:val="00410849"/>
    <w:rsid w:val="00424D9C"/>
    <w:rsid w:val="00430EBC"/>
    <w:rsid w:val="00485529"/>
    <w:rsid w:val="00491108"/>
    <w:rsid w:val="005075D5"/>
    <w:rsid w:val="00516B92"/>
    <w:rsid w:val="00521AC3"/>
    <w:rsid w:val="005247C6"/>
    <w:rsid w:val="0052523F"/>
    <w:rsid w:val="0052605A"/>
    <w:rsid w:val="0057247E"/>
    <w:rsid w:val="00575EC0"/>
    <w:rsid w:val="00597E92"/>
    <w:rsid w:val="006823AB"/>
    <w:rsid w:val="006D69CF"/>
    <w:rsid w:val="007524DD"/>
    <w:rsid w:val="00793416"/>
    <w:rsid w:val="007B7920"/>
    <w:rsid w:val="007D5EA9"/>
    <w:rsid w:val="008030A5"/>
    <w:rsid w:val="00864856"/>
    <w:rsid w:val="008761C7"/>
    <w:rsid w:val="008B4A0A"/>
    <w:rsid w:val="008D2161"/>
    <w:rsid w:val="009040B7"/>
    <w:rsid w:val="009041F9"/>
    <w:rsid w:val="0090494A"/>
    <w:rsid w:val="00917659"/>
    <w:rsid w:val="0094119A"/>
    <w:rsid w:val="00943F16"/>
    <w:rsid w:val="009543CB"/>
    <w:rsid w:val="00A43A3F"/>
    <w:rsid w:val="00A55CCD"/>
    <w:rsid w:val="00AA2F30"/>
    <w:rsid w:val="00AD4F97"/>
    <w:rsid w:val="00B56973"/>
    <w:rsid w:val="00B97BE3"/>
    <w:rsid w:val="00BC280A"/>
    <w:rsid w:val="00BE26E7"/>
    <w:rsid w:val="00C92517"/>
    <w:rsid w:val="00CE039A"/>
    <w:rsid w:val="00CE2EE0"/>
    <w:rsid w:val="00CF0177"/>
    <w:rsid w:val="00D26AAC"/>
    <w:rsid w:val="00D339F8"/>
    <w:rsid w:val="00D47C3E"/>
    <w:rsid w:val="00D57C86"/>
    <w:rsid w:val="00D71C3A"/>
    <w:rsid w:val="00D80F37"/>
    <w:rsid w:val="00DD3D7E"/>
    <w:rsid w:val="00DD682D"/>
    <w:rsid w:val="00E06D5D"/>
    <w:rsid w:val="00E5774D"/>
    <w:rsid w:val="00EB5CD4"/>
    <w:rsid w:val="00F14E9E"/>
    <w:rsid w:val="00F34755"/>
    <w:rsid w:val="00F610F9"/>
    <w:rsid w:val="00F62A04"/>
    <w:rsid w:val="00F85BB4"/>
    <w:rsid w:val="00F92ADC"/>
    <w:rsid w:val="00FD1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3FA16F10"/>
  <w15:chartTrackingRefBased/>
  <w15:docId w15:val="{0A25AD81-D95F-49EC-AC54-DD36C4EF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uiPriority w:val="99"/>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90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040B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64">
      <w:bodyDiv w:val="1"/>
      <w:marLeft w:val="0"/>
      <w:marRight w:val="0"/>
      <w:marTop w:val="0"/>
      <w:marBottom w:val="0"/>
      <w:divBdr>
        <w:top w:val="none" w:sz="0" w:space="0" w:color="auto"/>
        <w:left w:val="none" w:sz="0" w:space="0" w:color="auto"/>
        <w:bottom w:val="none" w:sz="0" w:space="0" w:color="auto"/>
        <w:right w:val="none" w:sz="0" w:space="0" w:color="auto"/>
      </w:divBdr>
    </w:div>
    <w:div w:id="13194260">
      <w:bodyDiv w:val="1"/>
      <w:marLeft w:val="0"/>
      <w:marRight w:val="0"/>
      <w:marTop w:val="0"/>
      <w:marBottom w:val="0"/>
      <w:divBdr>
        <w:top w:val="none" w:sz="0" w:space="0" w:color="auto"/>
        <w:left w:val="none" w:sz="0" w:space="0" w:color="auto"/>
        <w:bottom w:val="none" w:sz="0" w:space="0" w:color="auto"/>
        <w:right w:val="none" w:sz="0" w:space="0" w:color="auto"/>
      </w:divBdr>
    </w:div>
    <w:div w:id="236479312">
      <w:bodyDiv w:val="1"/>
      <w:marLeft w:val="0"/>
      <w:marRight w:val="0"/>
      <w:marTop w:val="0"/>
      <w:marBottom w:val="0"/>
      <w:divBdr>
        <w:top w:val="none" w:sz="0" w:space="0" w:color="auto"/>
        <w:left w:val="none" w:sz="0" w:space="0" w:color="auto"/>
        <w:bottom w:val="none" w:sz="0" w:space="0" w:color="auto"/>
        <w:right w:val="none" w:sz="0" w:space="0" w:color="auto"/>
      </w:divBdr>
    </w:div>
    <w:div w:id="328801042">
      <w:bodyDiv w:val="1"/>
      <w:marLeft w:val="0"/>
      <w:marRight w:val="0"/>
      <w:marTop w:val="0"/>
      <w:marBottom w:val="0"/>
      <w:divBdr>
        <w:top w:val="none" w:sz="0" w:space="0" w:color="auto"/>
        <w:left w:val="none" w:sz="0" w:space="0" w:color="auto"/>
        <w:bottom w:val="none" w:sz="0" w:space="0" w:color="auto"/>
        <w:right w:val="none" w:sz="0" w:space="0" w:color="auto"/>
      </w:divBdr>
    </w:div>
    <w:div w:id="996498068">
      <w:bodyDiv w:val="1"/>
      <w:marLeft w:val="0"/>
      <w:marRight w:val="0"/>
      <w:marTop w:val="0"/>
      <w:marBottom w:val="0"/>
      <w:divBdr>
        <w:top w:val="none" w:sz="0" w:space="0" w:color="auto"/>
        <w:left w:val="none" w:sz="0" w:space="0" w:color="auto"/>
        <w:bottom w:val="none" w:sz="0" w:space="0" w:color="auto"/>
        <w:right w:val="none" w:sz="0" w:space="0" w:color="auto"/>
      </w:divBdr>
    </w:div>
    <w:div w:id="1038357519">
      <w:bodyDiv w:val="1"/>
      <w:marLeft w:val="0"/>
      <w:marRight w:val="0"/>
      <w:marTop w:val="0"/>
      <w:marBottom w:val="0"/>
      <w:divBdr>
        <w:top w:val="none" w:sz="0" w:space="0" w:color="auto"/>
        <w:left w:val="none" w:sz="0" w:space="0" w:color="auto"/>
        <w:bottom w:val="none" w:sz="0" w:space="0" w:color="auto"/>
        <w:right w:val="none" w:sz="0" w:space="0" w:color="auto"/>
      </w:divBdr>
      <w:divsChild>
        <w:div w:id="1785152905">
          <w:marLeft w:val="0"/>
          <w:marRight w:val="0"/>
          <w:marTop w:val="0"/>
          <w:marBottom w:val="0"/>
          <w:divBdr>
            <w:top w:val="none" w:sz="0" w:space="0" w:color="auto"/>
            <w:left w:val="none" w:sz="0" w:space="0" w:color="auto"/>
            <w:bottom w:val="none" w:sz="0" w:space="0" w:color="auto"/>
            <w:right w:val="none" w:sz="0" w:space="0" w:color="auto"/>
          </w:divBdr>
          <w:divsChild>
            <w:div w:id="677271307">
              <w:marLeft w:val="0"/>
              <w:marRight w:val="0"/>
              <w:marTop w:val="0"/>
              <w:marBottom w:val="0"/>
              <w:divBdr>
                <w:top w:val="none" w:sz="0" w:space="0" w:color="auto"/>
                <w:left w:val="none" w:sz="0" w:space="0" w:color="auto"/>
                <w:bottom w:val="none" w:sz="0" w:space="0" w:color="auto"/>
                <w:right w:val="none" w:sz="0" w:space="0" w:color="auto"/>
              </w:divBdr>
              <w:divsChild>
                <w:div w:id="2054693514">
                  <w:marLeft w:val="0"/>
                  <w:marRight w:val="0"/>
                  <w:marTop w:val="150"/>
                  <w:marBottom w:val="150"/>
                  <w:divBdr>
                    <w:top w:val="none" w:sz="0" w:space="0" w:color="auto"/>
                    <w:left w:val="none" w:sz="0" w:space="0" w:color="auto"/>
                    <w:bottom w:val="none" w:sz="0" w:space="0" w:color="auto"/>
                    <w:right w:val="none" w:sz="0" w:space="0" w:color="auto"/>
                  </w:divBdr>
                  <w:divsChild>
                    <w:div w:id="712191005">
                      <w:marLeft w:val="0"/>
                      <w:marRight w:val="0"/>
                      <w:marTop w:val="0"/>
                      <w:marBottom w:val="0"/>
                      <w:divBdr>
                        <w:top w:val="none" w:sz="0" w:space="0" w:color="auto"/>
                        <w:left w:val="none" w:sz="0" w:space="0" w:color="auto"/>
                        <w:bottom w:val="none" w:sz="0" w:space="0" w:color="auto"/>
                        <w:right w:val="none" w:sz="0" w:space="0" w:color="auto"/>
                      </w:divBdr>
                      <w:divsChild>
                        <w:div w:id="1826702665">
                          <w:marLeft w:val="0"/>
                          <w:marRight w:val="0"/>
                          <w:marTop w:val="0"/>
                          <w:marBottom w:val="0"/>
                          <w:divBdr>
                            <w:top w:val="none" w:sz="0" w:space="0" w:color="auto"/>
                            <w:left w:val="none" w:sz="0" w:space="0" w:color="auto"/>
                            <w:bottom w:val="none" w:sz="0" w:space="0" w:color="auto"/>
                            <w:right w:val="none" w:sz="0" w:space="0" w:color="auto"/>
                          </w:divBdr>
                          <w:divsChild>
                            <w:div w:id="199510911">
                              <w:marLeft w:val="0"/>
                              <w:marRight w:val="0"/>
                              <w:marTop w:val="0"/>
                              <w:marBottom w:val="0"/>
                              <w:divBdr>
                                <w:top w:val="none" w:sz="0" w:space="0" w:color="auto"/>
                                <w:left w:val="none" w:sz="0" w:space="0" w:color="auto"/>
                                <w:bottom w:val="none" w:sz="0" w:space="0" w:color="auto"/>
                                <w:right w:val="none" w:sz="0" w:space="0" w:color="auto"/>
                              </w:divBdr>
                              <w:divsChild>
                                <w:div w:id="1869565354">
                                  <w:marLeft w:val="0"/>
                                  <w:marRight w:val="0"/>
                                  <w:marTop w:val="0"/>
                                  <w:marBottom w:val="0"/>
                                  <w:divBdr>
                                    <w:top w:val="none" w:sz="0" w:space="0" w:color="auto"/>
                                    <w:left w:val="none" w:sz="0" w:space="0" w:color="auto"/>
                                    <w:bottom w:val="none" w:sz="0" w:space="0" w:color="auto"/>
                                    <w:right w:val="none" w:sz="0" w:space="0" w:color="auto"/>
                                  </w:divBdr>
                                  <w:divsChild>
                                    <w:div w:id="600769039">
                                      <w:marLeft w:val="0"/>
                                      <w:marRight w:val="0"/>
                                      <w:marTop w:val="0"/>
                                      <w:marBottom w:val="0"/>
                                      <w:divBdr>
                                        <w:top w:val="none" w:sz="0" w:space="0" w:color="auto"/>
                                        <w:left w:val="none" w:sz="0" w:space="0" w:color="auto"/>
                                        <w:bottom w:val="none" w:sz="0" w:space="0" w:color="auto"/>
                                        <w:right w:val="none" w:sz="0" w:space="0" w:color="auto"/>
                                      </w:divBdr>
                                      <w:divsChild>
                                        <w:div w:id="1483505514">
                                          <w:marLeft w:val="0"/>
                                          <w:marRight w:val="0"/>
                                          <w:marTop w:val="0"/>
                                          <w:marBottom w:val="0"/>
                                          <w:divBdr>
                                            <w:top w:val="none" w:sz="0" w:space="0" w:color="auto"/>
                                            <w:left w:val="none" w:sz="0" w:space="0" w:color="auto"/>
                                            <w:bottom w:val="none" w:sz="0" w:space="0" w:color="auto"/>
                                            <w:right w:val="none" w:sz="0" w:space="0" w:color="auto"/>
                                          </w:divBdr>
                                          <w:divsChild>
                                            <w:div w:id="1400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3C99-6731-45B2-A952-7D0C5C54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2</cp:revision>
  <cp:lastPrinted>2014-04-04T10:41:00Z</cp:lastPrinted>
  <dcterms:created xsi:type="dcterms:W3CDTF">2020-03-06T15:05:00Z</dcterms:created>
  <dcterms:modified xsi:type="dcterms:W3CDTF">2020-03-06T15:05:00Z</dcterms:modified>
</cp:coreProperties>
</file>