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5E" w:rsidRDefault="00E6665E"/>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8716B9" w:rsidRDefault="00E6665E">
            <w:pPr>
              <w:pStyle w:val="Header"/>
              <w:tabs>
                <w:tab w:val="clear" w:pos="4153"/>
                <w:tab w:val="clear" w:pos="8306"/>
              </w:tabs>
              <w:rPr>
                <w:sz w:val="22"/>
                <w:szCs w:val="22"/>
              </w:rPr>
            </w:pPr>
            <w:r w:rsidRPr="008716B9">
              <w:rPr>
                <w:sz w:val="22"/>
                <w:szCs w:val="22"/>
              </w:rPr>
              <w:t>Pets Policy</w:t>
            </w:r>
          </w:p>
        </w:tc>
      </w:tr>
      <w:tr w:rsidR="004D4385" w:rsidTr="00340B1C">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E6665E" w:rsidP="00E6665E">
            <w:pPr>
              <w:pStyle w:val="Header"/>
              <w:tabs>
                <w:tab w:val="clear" w:pos="4153"/>
                <w:tab w:val="clear" w:pos="8306"/>
              </w:tabs>
              <w:rPr>
                <w:sz w:val="22"/>
                <w:szCs w:val="22"/>
              </w:rPr>
            </w:pPr>
            <w:r w:rsidRPr="008716B9">
              <w:rPr>
                <w:sz w:val="22"/>
                <w:szCs w:val="22"/>
              </w:rPr>
              <w:t>30</w:t>
            </w:r>
            <w:r w:rsidRPr="008716B9">
              <w:rPr>
                <w:sz w:val="22"/>
                <w:szCs w:val="22"/>
                <w:vertAlign w:val="superscript"/>
              </w:rPr>
              <w:t>th</w:t>
            </w:r>
            <w:r w:rsidRPr="008716B9">
              <w:rPr>
                <w:sz w:val="22"/>
                <w:szCs w:val="22"/>
              </w:rPr>
              <w:t xml:space="preserve"> May 2017</w:t>
            </w:r>
          </w:p>
          <w:p w:rsidR="002F26E7" w:rsidRPr="008716B9" w:rsidRDefault="002F26E7" w:rsidP="00E6665E">
            <w:pPr>
              <w:pStyle w:val="Header"/>
              <w:tabs>
                <w:tab w:val="clear" w:pos="4153"/>
                <w:tab w:val="clear" w:pos="8306"/>
              </w:tabs>
              <w:rPr>
                <w:sz w:val="22"/>
                <w:szCs w:val="22"/>
              </w:rPr>
            </w:pPr>
            <w:r>
              <w:rPr>
                <w:sz w:val="22"/>
                <w:szCs w:val="22"/>
              </w:rPr>
              <w:t>Reviewed March 2020</w:t>
            </w:r>
          </w:p>
        </w:tc>
      </w:tr>
      <w:tr w:rsidR="004D4385" w:rsidTr="00340B1C">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8716B9" w:rsidRDefault="00382148">
            <w:pPr>
              <w:pStyle w:val="Header"/>
              <w:tabs>
                <w:tab w:val="clear" w:pos="4153"/>
                <w:tab w:val="clear" w:pos="8306"/>
              </w:tabs>
              <w:rPr>
                <w:sz w:val="22"/>
                <w:szCs w:val="22"/>
              </w:rPr>
            </w:pPr>
            <w:r w:rsidRPr="008716B9">
              <w:rPr>
                <w:sz w:val="22"/>
                <w:szCs w:val="22"/>
              </w:rPr>
              <w:t>Katherine Bishop – Business Development Officer</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907C2C">
            <w:pPr>
              <w:pStyle w:val="Header"/>
              <w:numPr>
                <w:ilvl w:val="0"/>
                <w:numId w:val="31"/>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73418C" w:rsidRPr="007B3C8C" w:rsidRDefault="0073418C" w:rsidP="0097660D">
            <w:pPr>
              <w:pStyle w:val="Header"/>
              <w:tabs>
                <w:tab w:val="clear" w:pos="4153"/>
                <w:tab w:val="clear" w:pos="8306"/>
              </w:tabs>
              <w:rPr>
                <w:sz w:val="22"/>
                <w:szCs w:val="22"/>
              </w:rPr>
            </w:pPr>
          </w:p>
          <w:p w:rsidR="007B3C8C" w:rsidRPr="007B3C8C" w:rsidRDefault="00CC34DC" w:rsidP="007B3C8C">
            <w:pPr>
              <w:spacing w:after="200" w:line="276" w:lineRule="auto"/>
              <w:contextualSpacing/>
              <w:rPr>
                <w:rFonts w:eastAsia="Calibri" w:cs="Arial"/>
                <w:sz w:val="22"/>
                <w:szCs w:val="22"/>
              </w:rPr>
            </w:pPr>
            <w:r w:rsidRPr="007B3C8C">
              <w:rPr>
                <w:sz w:val="22"/>
                <w:szCs w:val="22"/>
              </w:rPr>
              <w:t>The</w:t>
            </w:r>
            <w:r w:rsidR="00B74C6E" w:rsidRPr="007B3C8C">
              <w:rPr>
                <w:sz w:val="22"/>
                <w:szCs w:val="22"/>
              </w:rPr>
              <w:t xml:space="preserve"> Pets </w:t>
            </w:r>
            <w:r w:rsidR="00B74C6E" w:rsidRPr="007B3C8C">
              <w:rPr>
                <w:bCs/>
                <w:sz w:val="22"/>
                <w:szCs w:val="22"/>
              </w:rPr>
              <w:t xml:space="preserve">Policy </w:t>
            </w:r>
            <w:r w:rsidR="005B3F10">
              <w:rPr>
                <w:bCs/>
                <w:sz w:val="22"/>
                <w:szCs w:val="22"/>
              </w:rPr>
              <w:t xml:space="preserve">has </w:t>
            </w:r>
            <w:r w:rsidR="00B74C6E" w:rsidRPr="007B3C8C">
              <w:rPr>
                <w:bCs/>
                <w:sz w:val="22"/>
                <w:szCs w:val="22"/>
              </w:rPr>
              <w:t>been reviewed and updated to ensure that it reflects current legislation</w:t>
            </w:r>
            <w:r w:rsidR="005B3F10">
              <w:rPr>
                <w:bCs/>
                <w:sz w:val="22"/>
                <w:szCs w:val="22"/>
              </w:rPr>
              <w:t xml:space="preserve"> and is easy to understand for our residents</w:t>
            </w:r>
            <w:r w:rsidR="00B74C6E" w:rsidRPr="007B3C8C">
              <w:rPr>
                <w:bCs/>
                <w:sz w:val="22"/>
                <w:szCs w:val="22"/>
              </w:rPr>
              <w:t>. Following a consultation with tenants the policy has been</w:t>
            </w:r>
            <w:r w:rsidR="007B3C8C" w:rsidRPr="007B3C8C">
              <w:rPr>
                <w:bCs/>
                <w:sz w:val="22"/>
                <w:szCs w:val="22"/>
              </w:rPr>
              <w:t xml:space="preserve"> updated to </w:t>
            </w:r>
            <w:r w:rsidR="007B3C8C" w:rsidRPr="007B3C8C">
              <w:rPr>
                <w:rFonts w:eastAsia="Calibri" w:cs="Arial"/>
                <w:sz w:val="22"/>
                <w:szCs w:val="22"/>
              </w:rPr>
              <w:t>align with other housing providers and change the line in the current policy that states max 1 large or 2 small dogs just to max 2 dogs</w:t>
            </w:r>
            <w:r w:rsidR="007B3C8C">
              <w:rPr>
                <w:rFonts w:eastAsia="Calibri" w:cs="Arial"/>
                <w:sz w:val="22"/>
                <w:szCs w:val="22"/>
              </w:rPr>
              <w:t xml:space="preserve">. The policy has also been updated to allow for 1 cat to be kept for 1 cat to be kept in a 1 bedroom property. </w:t>
            </w:r>
          </w:p>
          <w:p w:rsidR="007B3C8C" w:rsidRPr="00020F25" w:rsidRDefault="007B3C8C" w:rsidP="0097660D">
            <w:pPr>
              <w:pStyle w:val="Header"/>
              <w:tabs>
                <w:tab w:val="clear" w:pos="4153"/>
                <w:tab w:val="clear" w:pos="8306"/>
              </w:tabs>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907C2C">
            <w:pPr>
              <w:pStyle w:val="Header"/>
              <w:numPr>
                <w:ilvl w:val="0"/>
                <w:numId w:val="31"/>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5B3F10" w:rsidRPr="00AA1C5D" w:rsidRDefault="005B3F10" w:rsidP="00F36ADE">
            <w:pPr>
              <w:numPr>
                <w:ilvl w:val="0"/>
                <w:numId w:val="21"/>
              </w:numPr>
              <w:spacing w:after="200" w:line="276" w:lineRule="auto"/>
              <w:ind w:hanging="720"/>
              <w:contextualSpacing/>
              <w:jc w:val="both"/>
              <w:rPr>
                <w:bCs/>
                <w:sz w:val="22"/>
                <w:szCs w:val="22"/>
              </w:rPr>
            </w:pPr>
            <w:r w:rsidRPr="00AA1C5D">
              <w:rPr>
                <w:bCs/>
                <w:sz w:val="22"/>
                <w:szCs w:val="22"/>
              </w:rPr>
              <w:t>The number and type of pets allowed in a property is dependent on the size of the property, sole use of a garden and suitability of the animal for the property.</w:t>
            </w:r>
          </w:p>
          <w:p w:rsidR="0082610F" w:rsidRDefault="005B3F10" w:rsidP="0082610F">
            <w:pPr>
              <w:numPr>
                <w:ilvl w:val="0"/>
                <w:numId w:val="21"/>
              </w:numPr>
              <w:spacing w:after="200" w:line="276" w:lineRule="auto"/>
              <w:ind w:hanging="720"/>
              <w:contextualSpacing/>
              <w:jc w:val="both"/>
              <w:rPr>
                <w:bCs/>
                <w:i/>
                <w:sz w:val="22"/>
                <w:szCs w:val="22"/>
              </w:rPr>
            </w:pPr>
            <w:r w:rsidRPr="00AA1C5D">
              <w:rPr>
                <w:bCs/>
                <w:sz w:val="22"/>
                <w:szCs w:val="22"/>
              </w:rPr>
              <w:t>Good practice from the RSPCA website has been sought whilst compiling this policy.</w:t>
            </w:r>
            <w:r w:rsidR="00F36ADE" w:rsidRPr="00AA1C5D">
              <w:rPr>
                <w:bCs/>
                <w:sz w:val="22"/>
                <w:szCs w:val="22"/>
              </w:rPr>
              <w:t xml:space="preserve"> </w:t>
            </w:r>
            <w:r w:rsidR="00A24FA8" w:rsidRPr="0082610F">
              <w:rPr>
                <w:rFonts w:ascii="Helvetica" w:hAnsi="Helvetica" w:cs="Helvetica"/>
                <w:sz w:val="22"/>
                <w:szCs w:val="22"/>
                <w:lang w:eastAsia="en-GB"/>
              </w:rPr>
              <w:t xml:space="preserve">The Council will </w:t>
            </w:r>
            <w:r w:rsidR="0082610F" w:rsidRPr="0082610F">
              <w:rPr>
                <w:rFonts w:ascii="Helvetica" w:hAnsi="Helvetica" w:cs="Helvetica"/>
                <w:sz w:val="22"/>
                <w:szCs w:val="22"/>
                <w:lang w:eastAsia="en-GB"/>
              </w:rPr>
              <w:t>not grant</w:t>
            </w:r>
            <w:r w:rsidR="00A24FA8" w:rsidRPr="0082610F">
              <w:rPr>
                <w:rFonts w:ascii="Helvetica" w:hAnsi="Helvetica" w:cs="Helvetica"/>
                <w:sz w:val="22"/>
                <w:szCs w:val="22"/>
                <w:lang w:eastAsia="en-GB"/>
              </w:rPr>
              <w:t xml:space="preserve"> permission when a tenant does not have adequate space in their home or garden for the type of pet they are applying to keep. </w:t>
            </w:r>
          </w:p>
          <w:p w:rsidR="0082610F" w:rsidRDefault="00A24FA8" w:rsidP="0082610F">
            <w:pPr>
              <w:spacing w:after="200" w:line="276" w:lineRule="auto"/>
              <w:ind w:left="720"/>
              <w:contextualSpacing/>
              <w:jc w:val="both"/>
              <w:rPr>
                <w:bCs/>
                <w:i/>
                <w:sz w:val="22"/>
                <w:szCs w:val="22"/>
              </w:rPr>
            </w:pPr>
            <w:r w:rsidRPr="0082610F">
              <w:rPr>
                <w:rFonts w:ascii="Helvetica" w:hAnsi="Helvetica" w:cs="Helvetica"/>
                <w:sz w:val="22"/>
                <w:szCs w:val="22"/>
                <w:lang w:eastAsia="en-GB"/>
              </w:rPr>
              <w:t>If a number of other pets already exist in the property, permission will not be given where a new pet will affect their welfare. Health, safety and hygiene will all be considered. Too many pets in a property will also cause a nuisance to neighbours or damage to the property.</w:t>
            </w:r>
          </w:p>
          <w:p w:rsidR="00F21ADD" w:rsidRDefault="00A24FA8" w:rsidP="00F21ADD">
            <w:pPr>
              <w:spacing w:after="200" w:line="276" w:lineRule="auto"/>
              <w:ind w:left="720"/>
              <w:contextualSpacing/>
              <w:jc w:val="both"/>
              <w:rPr>
                <w:rFonts w:ascii="Helvetica" w:hAnsi="Helvetica" w:cs="Helvetica"/>
                <w:sz w:val="22"/>
                <w:szCs w:val="22"/>
                <w:lang w:eastAsia="en-GB"/>
              </w:rPr>
            </w:pPr>
            <w:r>
              <w:rPr>
                <w:rFonts w:ascii="Helvetica" w:hAnsi="Helvetica" w:cs="Helvetica"/>
                <w:sz w:val="22"/>
                <w:szCs w:val="22"/>
                <w:lang w:eastAsia="en-GB"/>
              </w:rPr>
              <w:t xml:space="preserve">Where permission is granted, tenants are responsible for the health and welfare of their pets. Under the Animal Welfare Act 2006, this is called a duty of care. This requires proper day-to-day management and care of the pet. </w:t>
            </w:r>
          </w:p>
          <w:p w:rsidR="00D63C12" w:rsidRDefault="0082610F" w:rsidP="00F21ADD">
            <w:pPr>
              <w:numPr>
                <w:ilvl w:val="0"/>
                <w:numId w:val="21"/>
              </w:numPr>
              <w:spacing w:after="200" w:line="276" w:lineRule="auto"/>
              <w:contextualSpacing/>
              <w:jc w:val="both"/>
              <w:rPr>
                <w:rFonts w:ascii="Helvetica" w:hAnsi="Helvetica" w:cs="Helvetica"/>
                <w:sz w:val="22"/>
                <w:szCs w:val="22"/>
                <w:lang w:eastAsia="en-GB"/>
              </w:rPr>
            </w:pPr>
            <w:r>
              <w:rPr>
                <w:rFonts w:ascii="Helvetica" w:hAnsi="Helvetica" w:cs="Helvetica"/>
                <w:sz w:val="22"/>
                <w:szCs w:val="22"/>
                <w:lang w:eastAsia="en-GB"/>
              </w:rPr>
              <w:t>Tenants have a duty to look after their pets responsibly and must not allow them to cause a nuisance to their neighbours, any member of their own household or any other member of the public. Tenants will also be held responsible for the behaviour of any pets bought into their homes or neighbourhoods by their visitors</w:t>
            </w:r>
            <w:r w:rsidR="00D63C12">
              <w:rPr>
                <w:rFonts w:ascii="Helvetica" w:hAnsi="Helvetica" w:cs="Helvetica"/>
                <w:sz w:val="22"/>
                <w:szCs w:val="22"/>
                <w:lang w:eastAsia="en-GB"/>
              </w:rPr>
              <w:t>.</w:t>
            </w:r>
          </w:p>
          <w:p w:rsidR="00D63C12" w:rsidRDefault="00D63C12" w:rsidP="00D63C12">
            <w:pPr>
              <w:autoSpaceDE w:val="0"/>
              <w:autoSpaceDN w:val="0"/>
              <w:adjustRightInd w:val="0"/>
              <w:ind w:left="709"/>
              <w:rPr>
                <w:rFonts w:ascii="Helvetica" w:hAnsi="Helvetica" w:cs="Helvetica"/>
                <w:color w:val="000000"/>
                <w:sz w:val="22"/>
                <w:szCs w:val="22"/>
                <w:lang w:eastAsia="en-GB"/>
              </w:rPr>
            </w:pPr>
            <w:r>
              <w:rPr>
                <w:rFonts w:ascii="Helvetica" w:hAnsi="Helvetica" w:cs="Helvetica"/>
                <w:color w:val="000000"/>
                <w:sz w:val="22"/>
                <w:szCs w:val="22"/>
                <w:lang w:eastAsia="en-GB"/>
              </w:rPr>
              <w:t xml:space="preserve">If a pet is found to be causing a nuisance or annoyance, </w:t>
            </w:r>
            <w:r w:rsidR="00F21ADD">
              <w:rPr>
                <w:rFonts w:ascii="Helvetica" w:hAnsi="Helvetica" w:cs="Helvetica"/>
                <w:color w:val="000000"/>
                <w:sz w:val="22"/>
                <w:szCs w:val="22"/>
                <w:lang w:eastAsia="en-GB"/>
              </w:rPr>
              <w:t xml:space="preserve">the Council </w:t>
            </w:r>
            <w:r>
              <w:rPr>
                <w:rFonts w:ascii="Helvetica" w:hAnsi="Helvetica" w:cs="Helvetica"/>
                <w:color w:val="000000"/>
                <w:sz w:val="22"/>
                <w:szCs w:val="22"/>
                <w:lang w:eastAsia="en-GB"/>
              </w:rPr>
              <w:t xml:space="preserve">will manage the incident in line with its </w:t>
            </w:r>
            <w:r w:rsidRPr="00D63C12">
              <w:rPr>
                <w:rFonts w:cs="Arial"/>
                <w:bCs/>
                <w:sz w:val="22"/>
                <w:szCs w:val="22"/>
                <w:lang w:eastAsia="en-GB"/>
              </w:rPr>
              <w:t>Antisocial Behaviour [ASB] Policy and Procedure</w:t>
            </w:r>
            <w:r>
              <w:rPr>
                <w:rFonts w:ascii="Helvetica-Bold" w:hAnsi="Helvetica-Bold" w:cs="Helvetica-Bold"/>
                <w:b/>
                <w:bCs/>
                <w:color w:val="003366"/>
                <w:sz w:val="20"/>
                <w:szCs w:val="20"/>
                <w:lang w:eastAsia="en-GB"/>
              </w:rPr>
              <w:t xml:space="preserve">. </w:t>
            </w:r>
            <w:r>
              <w:rPr>
                <w:rFonts w:ascii="Helvetica" w:hAnsi="Helvetica" w:cs="Helvetica"/>
                <w:color w:val="000000"/>
                <w:sz w:val="22"/>
                <w:szCs w:val="22"/>
                <w:lang w:eastAsia="en-GB"/>
              </w:rPr>
              <w:t>The following are examples of incidents that will be recorded and managed as antisocial behaviour:</w:t>
            </w:r>
          </w:p>
          <w:p w:rsidR="00D63C12" w:rsidRDefault="00D63C12" w:rsidP="00D63C12">
            <w:pPr>
              <w:autoSpaceDE w:val="0"/>
              <w:autoSpaceDN w:val="0"/>
              <w:adjustRightInd w:val="0"/>
              <w:ind w:left="709"/>
              <w:rPr>
                <w:rFonts w:ascii="Helvetica" w:hAnsi="Helvetica" w:cs="Helvetica"/>
                <w:color w:val="000000"/>
                <w:sz w:val="22"/>
                <w:szCs w:val="22"/>
                <w:lang w:eastAsia="en-GB"/>
              </w:rPr>
            </w:pPr>
          </w:p>
          <w:p w:rsidR="00D63C12" w:rsidRDefault="00D63C12" w:rsidP="00D63C12">
            <w:pPr>
              <w:numPr>
                <w:ilvl w:val="0"/>
                <w:numId w:val="29"/>
              </w:numPr>
              <w:autoSpaceDE w:val="0"/>
              <w:autoSpaceDN w:val="0"/>
              <w:adjustRightInd w:val="0"/>
              <w:rPr>
                <w:rFonts w:ascii="Helvetica" w:hAnsi="Helvetica" w:cs="Helvetica"/>
                <w:color w:val="000000"/>
                <w:sz w:val="22"/>
                <w:szCs w:val="22"/>
                <w:lang w:eastAsia="en-GB"/>
              </w:rPr>
            </w:pPr>
            <w:r>
              <w:rPr>
                <w:rFonts w:ascii="Helvetica" w:hAnsi="Helvetica" w:cs="Helvetica"/>
                <w:color w:val="000000"/>
                <w:sz w:val="22"/>
                <w:szCs w:val="22"/>
                <w:lang w:eastAsia="en-GB"/>
              </w:rPr>
              <w:t>Excessive barking or any other loud noise causing a disturbance.</w:t>
            </w:r>
          </w:p>
          <w:p w:rsidR="00D63C12" w:rsidRDefault="00D63C12" w:rsidP="00D63C12">
            <w:pPr>
              <w:numPr>
                <w:ilvl w:val="0"/>
                <w:numId w:val="29"/>
              </w:numPr>
              <w:autoSpaceDE w:val="0"/>
              <w:autoSpaceDN w:val="0"/>
              <w:adjustRightInd w:val="0"/>
              <w:rPr>
                <w:rFonts w:ascii="Helvetica" w:hAnsi="Helvetica" w:cs="Helvetica"/>
                <w:color w:val="000000"/>
                <w:sz w:val="22"/>
                <w:szCs w:val="22"/>
                <w:lang w:eastAsia="en-GB"/>
              </w:rPr>
            </w:pPr>
            <w:r w:rsidRPr="00D63C12">
              <w:rPr>
                <w:rFonts w:ascii="Helvetica" w:hAnsi="Helvetica" w:cs="Helvetica"/>
                <w:color w:val="000000"/>
                <w:sz w:val="22"/>
                <w:szCs w:val="22"/>
                <w:lang w:eastAsia="en-GB"/>
              </w:rPr>
              <w:t>Dogs or any other animals b</w:t>
            </w:r>
            <w:r>
              <w:rPr>
                <w:rFonts w:ascii="Helvetica" w:hAnsi="Helvetica" w:cs="Helvetica"/>
                <w:color w:val="000000"/>
                <w:sz w:val="22"/>
                <w:szCs w:val="22"/>
                <w:lang w:eastAsia="en-GB"/>
              </w:rPr>
              <w:t>eing used to intimidate people.</w:t>
            </w:r>
          </w:p>
          <w:p w:rsidR="00D63C12" w:rsidRPr="00D63C12" w:rsidRDefault="00D63C12" w:rsidP="00D63C12">
            <w:pPr>
              <w:numPr>
                <w:ilvl w:val="0"/>
                <w:numId w:val="29"/>
              </w:numPr>
              <w:autoSpaceDE w:val="0"/>
              <w:autoSpaceDN w:val="0"/>
              <w:adjustRightInd w:val="0"/>
              <w:rPr>
                <w:rFonts w:ascii="Helvetica" w:hAnsi="Helvetica" w:cs="Helvetica"/>
                <w:color w:val="000000"/>
                <w:sz w:val="22"/>
                <w:szCs w:val="22"/>
                <w:lang w:eastAsia="en-GB"/>
              </w:rPr>
            </w:pPr>
            <w:r w:rsidRPr="00D63C12">
              <w:rPr>
                <w:rFonts w:ascii="Helvetica" w:hAnsi="Helvetica" w:cs="Helvetica"/>
                <w:color w:val="000000"/>
                <w:sz w:val="22"/>
                <w:szCs w:val="22"/>
                <w:lang w:eastAsia="en-GB"/>
              </w:rPr>
              <w:t>Pets cau</w:t>
            </w:r>
            <w:r w:rsidR="00F21ADD">
              <w:rPr>
                <w:rFonts w:ascii="Helvetica" w:hAnsi="Helvetica" w:cs="Helvetica"/>
                <w:color w:val="000000"/>
                <w:sz w:val="22"/>
                <w:szCs w:val="22"/>
                <w:lang w:eastAsia="en-GB"/>
              </w:rPr>
              <w:t xml:space="preserve">sing damage to </w:t>
            </w:r>
            <w:r w:rsidR="00EA1825" w:rsidRPr="00D63C12">
              <w:rPr>
                <w:rFonts w:ascii="Helvetica" w:hAnsi="Helvetica" w:cs="Helvetica"/>
                <w:color w:val="000000"/>
                <w:sz w:val="22"/>
                <w:szCs w:val="22"/>
                <w:lang w:eastAsia="en-GB"/>
              </w:rPr>
              <w:t>Council property</w:t>
            </w:r>
            <w:r w:rsidRPr="00D63C12">
              <w:rPr>
                <w:rFonts w:ascii="Helvetica" w:hAnsi="Helvetica" w:cs="Helvetica"/>
                <w:color w:val="000000"/>
                <w:sz w:val="22"/>
                <w:szCs w:val="22"/>
                <w:lang w:eastAsia="en-GB"/>
              </w:rPr>
              <w:t xml:space="preserve"> beyond reasonable wear and tear.</w:t>
            </w:r>
          </w:p>
          <w:p w:rsidR="00D63C12" w:rsidRDefault="00D63C12" w:rsidP="00D63C12">
            <w:pPr>
              <w:autoSpaceDE w:val="0"/>
              <w:autoSpaceDN w:val="0"/>
              <w:adjustRightInd w:val="0"/>
              <w:ind w:left="720"/>
              <w:rPr>
                <w:rFonts w:ascii="Helvetica" w:hAnsi="Helvetica" w:cs="Helvetica"/>
                <w:sz w:val="22"/>
                <w:szCs w:val="22"/>
                <w:lang w:eastAsia="en-GB"/>
              </w:rPr>
            </w:pPr>
          </w:p>
          <w:p w:rsidR="00D63C12" w:rsidRDefault="00C62926" w:rsidP="00D63C12">
            <w:pPr>
              <w:numPr>
                <w:ilvl w:val="0"/>
                <w:numId w:val="21"/>
              </w:numPr>
              <w:autoSpaceDE w:val="0"/>
              <w:autoSpaceDN w:val="0"/>
              <w:adjustRightInd w:val="0"/>
              <w:ind w:hanging="720"/>
              <w:rPr>
                <w:rFonts w:ascii="Helvetica" w:hAnsi="Helvetica" w:cs="Helvetica"/>
                <w:sz w:val="22"/>
                <w:szCs w:val="22"/>
                <w:lang w:eastAsia="en-GB"/>
              </w:rPr>
            </w:pPr>
            <w:r w:rsidRPr="00AA1C5D">
              <w:rPr>
                <w:rFonts w:eastAsia="Calibri" w:cs="Arial"/>
                <w:sz w:val="22"/>
                <w:szCs w:val="22"/>
              </w:rPr>
              <w:t>The Pets policy was originally taken to the Customer Sounding Board for review on 21</w:t>
            </w:r>
            <w:r w:rsidRPr="00AA1C5D">
              <w:rPr>
                <w:rFonts w:eastAsia="Calibri" w:cs="Arial"/>
                <w:sz w:val="22"/>
                <w:szCs w:val="22"/>
                <w:vertAlign w:val="superscript"/>
              </w:rPr>
              <w:t>st</w:t>
            </w:r>
            <w:r w:rsidRPr="00AA1C5D">
              <w:rPr>
                <w:rFonts w:eastAsia="Calibri" w:cs="Arial"/>
                <w:sz w:val="22"/>
                <w:szCs w:val="22"/>
              </w:rPr>
              <w:t xml:space="preserve"> February 2017. the following comments;</w:t>
            </w:r>
          </w:p>
          <w:p w:rsidR="00D63C12" w:rsidRPr="00D63C12" w:rsidRDefault="00D63C12" w:rsidP="00D63C12">
            <w:pPr>
              <w:autoSpaceDE w:val="0"/>
              <w:autoSpaceDN w:val="0"/>
              <w:adjustRightInd w:val="0"/>
              <w:ind w:left="720"/>
              <w:rPr>
                <w:rFonts w:ascii="Helvetica" w:hAnsi="Helvetica" w:cs="Helvetica"/>
                <w:sz w:val="22"/>
                <w:szCs w:val="22"/>
                <w:lang w:eastAsia="en-GB"/>
              </w:rPr>
            </w:pPr>
          </w:p>
          <w:p w:rsidR="00C62926" w:rsidRPr="00D63C12" w:rsidRDefault="00C62926" w:rsidP="00D63C12">
            <w:pPr>
              <w:numPr>
                <w:ilvl w:val="0"/>
                <w:numId w:val="28"/>
              </w:numPr>
              <w:autoSpaceDE w:val="0"/>
              <w:autoSpaceDN w:val="0"/>
              <w:adjustRightInd w:val="0"/>
              <w:rPr>
                <w:rFonts w:ascii="Helvetica" w:hAnsi="Helvetica" w:cs="Helvetica"/>
                <w:sz w:val="22"/>
                <w:szCs w:val="22"/>
                <w:lang w:eastAsia="en-GB"/>
              </w:rPr>
            </w:pPr>
            <w:r w:rsidRPr="00D63C12">
              <w:rPr>
                <w:rFonts w:eastAsia="Calibri" w:cs="Arial"/>
                <w:sz w:val="22"/>
                <w:szCs w:val="22"/>
              </w:rPr>
              <w:t>Customers fed back that there was inconsistency and grey areas in the current policy around the number of cats and dogs allowed to be kept in a property, some examples are:</w:t>
            </w:r>
          </w:p>
          <w:p w:rsidR="00D63C12" w:rsidRPr="00D63C12" w:rsidRDefault="00D63C12" w:rsidP="00D63C12">
            <w:pPr>
              <w:autoSpaceDE w:val="0"/>
              <w:autoSpaceDN w:val="0"/>
              <w:adjustRightInd w:val="0"/>
              <w:rPr>
                <w:rFonts w:ascii="Helvetica" w:hAnsi="Helvetica" w:cs="Helvetica"/>
                <w:sz w:val="22"/>
                <w:szCs w:val="22"/>
                <w:lang w:eastAsia="en-GB"/>
              </w:rPr>
            </w:pPr>
          </w:p>
          <w:p w:rsidR="00C62926" w:rsidRPr="00AA1C5D" w:rsidRDefault="00C62926" w:rsidP="00C62926">
            <w:pPr>
              <w:numPr>
                <w:ilvl w:val="1"/>
                <w:numId w:val="22"/>
              </w:numPr>
              <w:spacing w:after="200" w:line="276" w:lineRule="auto"/>
              <w:contextualSpacing/>
              <w:jc w:val="both"/>
              <w:rPr>
                <w:rFonts w:eastAsia="Calibri" w:cs="Arial"/>
                <w:sz w:val="22"/>
                <w:szCs w:val="22"/>
              </w:rPr>
            </w:pPr>
            <w:r w:rsidRPr="00AA1C5D">
              <w:rPr>
                <w:rFonts w:eastAsia="Calibri" w:cs="Arial"/>
                <w:sz w:val="22"/>
                <w:szCs w:val="22"/>
              </w:rPr>
              <w:t>currently if you have a bedsits/one bed flat you could only have a cat if you have sole use of a garden, but if you had a 2/3 bed flats/maisonettes you could have a cat without having sole use of a garden.</w:t>
            </w:r>
          </w:p>
          <w:p w:rsidR="00123277" w:rsidRDefault="00C62926" w:rsidP="00907C2C">
            <w:pPr>
              <w:numPr>
                <w:ilvl w:val="1"/>
                <w:numId w:val="22"/>
              </w:numPr>
              <w:spacing w:before="100" w:beforeAutospacing="1" w:after="100" w:afterAutospacing="1" w:line="276" w:lineRule="auto"/>
              <w:contextualSpacing/>
              <w:jc w:val="both"/>
              <w:rPr>
                <w:rFonts w:eastAsia="Calibri" w:cs="Arial"/>
                <w:sz w:val="22"/>
                <w:szCs w:val="22"/>
              </w:rPr>
            </w:pPr>
            <w:r w:rsidRPr="00AA1C5D">
              <w:rPr>
                <w:rFonts w:eastAsia="Calibri" w:cs="Arial"/>
                <w:sz w:val="22"/>
                <w:szCs w:val="22"/>
              </w:rPr>
              <w:t>The current policy states for 2/3 bed flats/maisonettes you can have max 1 large or 2 small dogs, but it is confusing for people to tell what is classed as a large or small dog and difficult Housing Services to enforce this.</w:t>
            </w:r>
            <w:r w:rsidR="00907C2C">
              <w:rPr>
                <w:rFonts w:eastAsia="Calibri" w:cs="Arial"/>
                <w:sz w:val="22"/>
                <w:szCs w:val="22"/>
              </w:rPr>
              <w:t xml:space="preserve"> </w:t>
            </w:r>
          </w:p>
          <w:p w:rsidR="00F21ADD" w:rsidRDefault="00C62926" w:rsidP="00F21ADD">
            <w:pPr>
              <w:numPr>
                <w:ilvl w:val="1"/>
                <w:numId w:val="22"/>
              </w:numPr>
              <w:spacing w:before="100" w:beforeAutospacing="1" w:after="100" w:afterAutospacing="1" w:line="276" w:lineRule="auto"/>
              <w:contextualSpacing/>
              <w:jc w:val="both"/>
              <w:rPr>
                <w:rFonts w:eastAsia="Calibri" w:cs="Arial"/>
                <w:sz w:val="22"/>
                <w:szCs w:val="22"/>
              </w:rPr>
            </w:pPr>
            <w:r w:rsidRPr="00AA1C5D">
              <w:rPr>
                <w:rFonts w:eastAsia="Calibri" w:cs="Arial"/>
                <w:sz w:val="22"/>
                <w:szCs w:val="22"/>
              </w:rPr>
              <w:t>Customers also highlighted the amount of mess and noise caused by some animals.</w:t>
            </w:r>
          </w:p>
          <w:p w:rsidR="00C62926" w:rsidRDefault="00C62926" w:rsidP="00F21ADD">
            <w:pPr>
              <w:numPr>
                <w:ilvl w:val="0"/>
                <w:numId w:val="21"/>
              </w:numPr>
              <w:spacing w:before="100" w:beforeAutospacing="1" w:after="100" w:afterAutospacing="1" w:line="276" w:lineRule="auto"/>
              <w:ind w:hanging="720"/>
              <w:contextualSpacing/>
              <w:jc w:val="both"/>
              <w:rPr>
                <w:rFonts w:eastAsia="Calibri" w:cs="Arial"/>
                <w:sz w:val="22"/>
                <w:szCs w:val="22"/>
              </w:rPr>
            </w:pPr>
            <w:r w:rsidRPr="00F21ADD">
              <w:rPr>
                <w:rFonts w:eastAsia="Calibri" w:cs="Arial"/>
                <w:sz w:val="22"/>
                <w:szCs w:val="22"/>
              </w:rPr>
              <w:t>Housing services completed a comparison of other Housing Providers Pets policy for benchmarking. The majority allow 2 dogs in 2+ bed properties subject to sole use of garden. The majority do not seem restrict cats in properties with no garden.</w:t>
            </w:r>
          </w:p>
          <w:p w:rsidR="00123277" w:rsidRDefault="00123277" w:rsidP="00123277">
            <w:pPr>
              <w:spacing w:after="200" w:line="276" w:lineRule="auto"/>
              <w:ind w:left="720"/>
              <w:contextualSpacing/>
              <w:jc w:val="both"/>
              <w:rPr>
                <w:rFonts w:eastAsia="Calibri" w:cs="Arial"/>
                <w:sz w:val="22"/>
                <w:szCs w:val="22"/>
              </w:rPr>
            </w:pPr>
          </w:p>
          <w:p w:rsidR="00C62926" w:rsidRPr="00AA1C5D" w:rsidRDefault="00C62926" w:rsidP="00F21ADD">
            <w:pPr>
              <w:numPr>
                <w:ilvl w:val="0"/>
                <w:numId w:val="21"/>
              </w:numPr>
              <w:spacing w:after="200" w:line="276" w:lineRule="auto"/>
              <w:ind w:hanging="720"/>
              <w:contextualSpacing/>
              <w:jc w:val="both"/>
              <w:rPr>
                <w:rFonts w:eastAsia="Calibri" w:cs="Arial"/>
                <w:sz w:val="22"/>
                <w:szCs w:val="22"/>
              </w:rPr>
            </w:pPr>
            <w:r w:rsidRPr="00AA1C5D">
              <w:rPr>
                <w:rFonts w:eastAsia="Calibri" w:cs="Arial"/>
                <w:sz w:val="22"/>
                <w:szCs w:val="22"/>
              </w:rPr>
              <w:t>As per feedback from the Customer Sounding Board and</w:t>
            </w:r>
            <w:r w:rsidR="008716B9" w:rsidRPr="00AA1C5D">
              <w:rPr>
                <w:rFonts w:eastAsia="Calibri" w:cs="Arial"/>
                <w:sz w:val="22"/>
                <w:szCs w:val="22"/>
              </w:rPr>
              <w:t xml:space="preserve"> the</w:t>
            </w:r>
            <w:r w:rsidRPr="00AA1C5D">
              <w:rPr>
                <w:rFonts w:eastAsia="Calibri" w:cs="Arial"/>
                <w:sz w:val="22"/>
                <w:szCs w:val="22"/>
              </w:rPr>
              <w:t xml:space="preserve"> Housing Manager the Pets Policy was provisionally amended to consult tenants on the proposed change</w:t>
            </w:r>
            <w:r w:rsidR="008716B9" w:rsidRPr="00AA1C5D">
              <w:rPr>
                <w:rFonts w:eastAsia="Calibri" w:cs="Arial"/>
                <w:sz w:val="22"/>
                <w:szCs w:val="22"/>
              </w:rPr>
              <w:t xml:space="preserve"> to</w:t>
            </w:r>
            <w:r w:rsidRPr="00AA1C5D">
              <w:rPr>
                <w:rFonts w:eastAsia="Calibri" w:cs="Arial"/>
                <w:sz w:val="22"/>
                <w:szCs w:val="22"/>
              </w:rPr>
              <w:t xml:space="preserve"> reduced the number of dogs to a maximum of one per property and the number of  cats to 1 if no garden and max of 2 if sole use of a garden. </w:t>
            </w:r>
          </w:p>
          <w:p w:rsidR="00907C2C" w:rsidRPr="00907C2C" w:rsidRDefault="00C62926" w:rsidP="00907C2C">
            <w:pPr>
              <w:numPr>
                <w:ilvl w:val="0"/>
                <w:numId w:val="21"/>
              </w:numPr>
              <w:spacing w:after="200" w:line="276" w:lineRule="auto"/>
              <w:ind w:hanging="720"/>
              <w:contextualSpacing/>
              <w:jc w:val="both"/>
              <w:rPr>
                <w:rFonts w:eastAsia="Calibri" w:cs="Arial"/>
                <w:b/>
                <w:sz w:val="22"/>
                <w:szCs w:val="22"/>
              </w:rPr>
            </w:pPr>
            <w:r w:rsidRPr="00AA1C5D">
              <w:rPr>
                <w:rFonts w:eastAsia="Calibri" w:cs="Arial"/>
                <w:sz w:val="22"/>
                <w:szCs w:val="22"/>
              </w:rPr>
              <w:t>The Pets Policy was put online for customer consultation for a 2 week period. 23 email responses, one telephone</w:t>
            </w:r>
            <w:r w:rsidR="008716B9" w:rsidRPr="00AA1C5D">
              <w:rPr>
                <w:rFonts w:eastAsia="Calibri" w:cs="Arial"/>
                <w:sz w:val="22"/>
                <w:szCs w:val="22"/>
              </w:rPr>
              <w:t xml:space="preserve"> call</w:t>
            </w:r>
            <w:r w:rsidRPr="00AA1C5D">
              <w:rPr>
                <w:rFonts w:eastAsia="Calibri" w:cs="Arial"/>
                <w:sz w:val="22"/>
                <w:szCs w:val="22"/>
              </w:rPr>
              <w:t xml:space="preserve"> and one letter were received from customers.</w:t>
            </w:r>
          </w:p>
          <w:p w:rsidR="00C62926" w:rsidRPr="00AA1C5D" w:rsidRDefault="00C62926" w:rsidP="00907C2C">
            <w:pPr>
              <w:spacing w:after="200" w:line="276" w:lineRule="auto"/>
              <w:ind w:left="720"/>
              <w:contextualSpacing/>
              <w:jc w:val="both"/>
              <w:rPr>
                <w:rFonts w:eastAsia="Calibri" w:cs="Arial"/>
                <w:b/>
                <w:sz w:val="22"/>
                <w:szCs w:val="22"/>
              </w:rPr>
            </w:pPr>
            <w:r w:rsidRPr="00AA1C5D">
              <w:rPr>
                <w:rFonts w:eastAsia="Calibri" w:cs="Arial"/>
                <w:b/>
                <w:sz w:val="22"/>
                <w:szCs w:val="22"/>
              </w:rPr>
              <w:t>Customer responses following consultation: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3364"/>
            </w:tblGrid>
            <w:tr w:rsidR="00C62926" w:rsidRPr="00AA1C5D" w:rsidTr="00397E27">
              <w:tc>
                <w:tcPr>
                  <w:tcW w:w="3364" w:type="dxa"/>
                  <w:shd w:val="clear" w:color="auto" w:fill="auto"/>
                </w:tcPr>
                <w:p w:rsidR="00C62926" w:rsidRPr="00AA1C5D" w:rsidRDefault="00C62926" w:rsidP="00397E27">
                  <w:pPr>
                    <w:contextualSpacing/>
                    <w:jc w:val="both"/>
                    <w:rPr>
                      <w:rFonts w:eastAsia="Calibri" w:cs="Arial"/>
                      <w:sz w:val="22"/>
                      <w:szCs w:val="22"/>
                    </w:rPr>
                  </w:pPr>
                  <w:bookmarkStart w:id="0" w:name="_GoBack" w:colFirst="0" w:colLast="2"/>
                  <w:r w:rsidRPr="00AA1C5D">
                    <w:rPr>
                      <w:rFonts w:eastAsia="Calibri" w:cs="Arial"/>
                      <w:sz w:val="22"/>
                      <w:szCs w:val="22"/>
                    </w:rPr>
                    <w:t>Agree with policy</w:t>
                  </w:r>
                </w:p>
              </w:tc>
              <w:tc>
                <w:tcPr>
                  <w:tcW w:w="3364" w:type="dxa"/>
                  <w:shd w:val="clear" w:color="auto" w:fill="auto"/>
                </w:tcPr>
                <w:p w:rsidR="00C62926" w:rsidRPr="00AA1C5D" w:rsidRDefault="00C62926" w:rsidP="00397E27">
                  <w:pPr>
                    <w:contextualSpacing/>
                    <w:jc w:val="both"/>
                    <w:rPr>
                      <w:rFonts w:eastAsia="Calibri" w:cs="Arial"/>
                      <w:sz w:val="22"/>
                      <w:szCs w:val="22"/>
                    </w:rPr>
                  </w:pPr>
                  <w:r w:rsidRPr="00AA1C5D">
                    <w:rPr>
                      <w:rFonts w:eastAsia="Calibri" w:cs="Arial"/>
                      <w:sz w:val="22"/>
                      <w:szCs w:val="22"/>
                    </w:rPr>
                    <w:t>8</w:t>
                  </w:r>
                </w:p>
              </w:tc>
            </w:tr>
            <w:tr w:rsidR="00C62926" w:rsidRPr="00AA1C5D" w:rsidTr="00397E27">
              <w:tc>
                <w:tcPr>
                  <w:tcW w:w="3364" w:type="dxa"/>
                  <w:shd w:val="clear" w:color="auto" w:fill="auto"/>
                </w:tcPr>
                <w:p w:rsidR="00C62926" w:rsidRPr="00AA1C5D" w:rsidRDefault="00C62926" w:rsidP="00397E27">
                  <w:pPr>
                    <w:contextualSpacing/>
                    <w:jc w:val="both"/>
                    <w:rPr>
                      <w:rFonts w:eastAsia="Calibri" w:cs="Arial"/>
                      <w:sz w:val="22"/>
                      <w:szCs w:val="22"/>
                    </w:rPr>
                  </w:pPr>
                  <w:r w:rsidRPr="00AA1C5D">
                    <w:rPr>
                      <w:rFonts w:eastAsia="Calibri" w:cs="Arial"/>
                      <w:sz w:val="22"/>
                      <w:szCs w:val="22"/>
                    </w:rPr>
                    <w:t>Disagree with policy</w:t>
                  </w:r>
                </w:p>
              </w:tc>
              <w:tc>
                <w:tcPr>
                  <w:tcW w:w="3364" w:type="dxa"/>
                  <w:shd w:val="clear" w:color="auto" w:fill="auto"/>
                </w:tcPr>
                <w:p w:rsidR="00C62926" w:rsidRPr="00AA1C5D" w:rsidRDefault="00C62926" w:rsidP="00397E27">
                  <w:pPr>
                    <w:contextualSpacing/>
                    <w:jc w:val="both"/>
                    <w:rPr>
                      <w:rFonts w:eastAsia="Calibri" w:cs="Arial"/>
                      <w:sz w:val="22"/>
                      <w:szCs w:val="22"/>
                    </w:rPr>
                  </w:pPr>
                  <w:r w:rsidRPr="00AA1C5D">
                    <w:rPr>
                      <w:rFonts w:eastAsia="Calibri" w:cs="Arial"/>
                      <w:sz w:val="22"/>
                      <w:szCs w:val="22"/>
                    </w:rPr>
                    <w:t>9</w:t>
                  </w:r>
                </w:p>
              </w:tc>
            </w:tr>
            <w:tr w:rsidR="00C62926" w:rsidRPr="00AA1C5D" w:rsidTr="00397E27">
              <w:tc>
                <w:tcPr>
                  <w:tcW w:w="3364" w:type="dxa"/>
                  <w:shd w:val="clear" w:color="auto" w:fill="auto"/>
                </w:tcPr>
                <w:p w:rsidR="00C62926" w:rsidRPr="00AA1C5D" w:rsidRDefault="00C62926" w:rsidP="00397E27">
                  <w:pPr>
                    <w:contextualSpacing/>
                    <w:jc w:val="both"/>
                    <w:rPr>
                      <w:rFonts w:eastAsia="Calibri" w:cs="Arial"/>
                      <w:sz w:val="22"/>
                      <w:szCs w:val="22"/>
                    </w:rPr>
                  </w:pPr>
                  <w:r w:rsidRPr="00AA1C5D">
                    <w:rPr>
                      <w:rFonts w:eastAsia="Calibri" w:cs="Arial"/>
                      <w:sz w:val="22"/>
                      <w:szCs w:val="22"/>
                    </w:rPr>
                    <w:t xml:space="preserve">General enquiry </w:t>
                  </w:r>
                </w:p>
              </w:tc>
              <w:tc>
                <w:tcPr>
                  <w:tcW w:w="3364" w:type="dxa"/>
                  <w:shd w:val="clear" w:color="auto" w:fill="auto"/>
                </w:tcPr>
                <w:p w:rsidR="00C62926" w:rsidRPr="00AA1C5D" w:rsidRDefault="00C62926" w:rsidP="00397E27">
                  <w:pPr>
                    <w:contextualSpacing/>
                    <w:jc w:val="both"/>
                    <w:rPr>
                      <w:rFonts w:eastAsia="Calibri" w:cs="Arial"/>
                      <w:sz w:val="22"/>
                      <w:szCs w:val="22"/>
                    </w:rPr>
                  </w:pPr>
                  <w:r w:rsidRPr="00AA1C5D">
                    <w:rPr>
                      <w:rFonts w:eastAsia="Calibri" w:cs="Arial"/>
                      <w:sz w:val="22"/>
                      <w:szCs w:val="22"/>
                    </w:rPr>
                    <w:t>7</w:t>
                  </w:r>
                </w:p>
              </w:tc>
            </w:tr>
            <w:bookmarkEnd w:id="0"/>
          </w:tbl>
          <w:p w:rsidR="00C62926" w:rsidRPr="00AA1C5D" w:rsidRDefault="00C62926" w:rsidP="00C62926">
            <w:pPr>
              <w:spacing w:after="200" w:line="276" w:lineRule="auto"/>
              <w:jc w:val="both"/>
              <w:rPr>
                <w:rFonts w:ascii="Calibri" w:eastAsia="Calibri" w:hAnsi="Calibri"/>
                <w:sz w:val="22"/>
                <w:szCs w:val="22"/>
              </w:rPr>
            </w:pPr>
          </w:p>
          <w:p w:rsidR="00C62926" w:rsidRPr="00AA1C5D" w:rsidRDefault="00C62926" w:rsidP="00C62926">
            <w:pPr>
              <w:numPr>
                <w:ilvl w:val="0"/>
                <w:numId w:val="24"/>
              </w:numPr>
              <w:spacing w:after="200" w:line="276" w:lineRule="auto"/>
              <w:contextualSpacing/>
              <w:rPr>
                <w:rFonts w:eastAsia="Calibri" w:cs="Arial"/>
                <w:sz w:val="22"/>
                <w:szCs w:val="22"/>
              </w:rPr>
            </w:pPr>
            <w:r w:rsidRPr="00AA1C5D">
              <w:rPr>
                <w:rFonts w:eastAsia="Calibri" w:cs="Arial"/>
                <w:sz w:val="22"/>
                <w:szCs w:val="22"/>
              </w:rPr>
              <w:t>8 of the respondents felt that the number of dogs allowed in 2/3 bed properties should not be reduced from two to one. There were also concerns raised that tenants mental health may be affected if the number of dogs allowed in properties</w:t>
            </w:r>
            <w:r w:rsidR="004F296F" w:rsidRPr="00AA1C5D">
              <w:rPr>
                <w:rFonts w:eastAsia="Calibri" w:cs="Arial"/>
                <w:sz w:val="22"/>
                <w:szCs w:val="22"/>
              </w:rPr>
              <w:t xml:space="preserve"> is</w:t>
            </w:r>
            <w:r w:rsidRPr="00AA1C5D">
              <w:rPr>
                <w:rFonts w:eastAsia="Calibri" w:cs="Arial"/>
                <w:sz w:val="22"/>
                <w:szCs w:val="22"/>
              </w:rPr>
              <w:t xml:space="preserve"> reduced.  </w:t>
            </w:r>
          </w:p>
          <w:p w:rsidR="00C62926" w:rsidRPr="00AA1C5D" w:rsidRDefault="00C62926" w:rsidP="00C62926">
            <w:pPr>
              <w:numPr>
                <w:ilvl w:val="0"/>
                <w:numId w:val="24"/>
              </w:numPr>
              <w:spacing w:after="200" w:line="276" w:lineRule="auto"/>
              <w:contextualSpacing/>
              <w:rPr>
                <w:rFonts w:eastAsia="Calibri" w:cs="Arial"/>
                <w:sz w:val="22"/>
                <w:szCs w:val="22"/>
              </w:rPr>
            </w:pPr>
            <w:r w:rsidRPr="00AA1C5D">
              <w:rPr>
                <w:rFonts w:eastAsia="Calibri" w:cs="Arial"/>
                <w:sz w:val="22"/>
                <w:szCs w:val="22"/>
              </w:rPr>
              <w:t xml:space="preserve">As a result the following is recommended: Keep current policy rule around the number of Dogs in properties (Currently </w:t>
            </w:r>
            <w:r w:rsidRPr="00AA1C5D">
              <w:rPr>
                <w:rFonts w:eastAsia="Calibri" w:cs="Arial"/>
                <w:i/>
                <w:sz w:val="22"/>
                <w:szCs w:val="22"/>
              </w:rPr>
              <w:t>1 Dog if 1 bedroom property and sole use of garden, max 1 large or 2 small dogs if 2+ bedroom properties and sole use of garden).</w:t>
            </w:r>
          </w:p>
          <w:p w:rsidR="00C62926" w:rsidRPr="00AA1C5D" w:rsidRDefault="00C62926" w:rsidP="00C62926">
            <w:pPr>
              <w:numPr>
                <w:ilvl w:val="0"/>
                <w:numId w:val="24"/>
              </w:numPr>
              <w:spacing w:after="200" w:line="276" w:lineRule="auto"/>
              <w:contextualSpacing/>
              <w:rPr>
                <w:rFonts w:eastAsia="Calibri" w:cs="Arial"/>
                <w:sz w:val="22"/>
                <w:szCs w:val="22"/>
              </w:rPr>
            </w:pPr>
            <w:r w:rsidRPr="00AA1C5D">
              <w:rPr>
                <w:rFonts w:eastAsia="Calibri" w:cs="Arial"/>
                <w:sz w:val="22"/>
                <w:szCs w:val="22"/>
              </w:rPr>
              <w:lastRenderedPageBreak/>
              <w:t xml:space="preserve">However following feedback from the customer sounding board and the difficulty for officers in determining what counts as a small or large dog it is recommended to align with other housing providers and change the line in the </w:t>
            </w:r>
            <w:r w:rsidR="0073418C" w:rsidRPr="00AA1C5D">
              <w:rPr>
                <w:rFonts w:eastAsia="Calibri" w:cs="Arial"/>
                <w:sz w:val="22"/>
                <w:szCs w:val="22"/>
              </w:rPr>
              <w:t>c</w:t>
            </w:r>
            <w:r w:rsidRPr="00AA1C5D">
              <w:rPr>
                <w:rFonts w:eastAsia="Calibri" w:cs="Arial"/>
                <w:sz w:val="22"/>
                <w:szCs w:val="22"/>
              </w:rPr>
              <w:t xml:space="preserve">urrent policy that states </w:t>
            </w:r>
            <w:r w:rsidRPr="00AA1C5D">
              <w:rPr>
                <w:rFonts w:eastAsia="Calibri" w:cs="Arial"/>
                <w:i/>
                <w:sz w:val="22"/>
                <w:szCs w:val="22"/>
              </w:rPr>
              <w:t>max 1 large or 2 small dogs</w:t>
            </w:r>
            <w:r w:rsidRPr="00AA1C5D">
              <w:rPr>
                <w:rFonts w:eastAsia="Calibri" w:cs="Arial"/>
                <w:sz w:val="22"/>
                <w:szCs w:val="22"/>
              </w:rPr>
              <w:t xml:space="preserve"> just to </w:t>
            </w:r>
            <w:r w:rsidRPr="00AA1C5D">
              <w:rPr>
                <w:rFonts w:eastAsia="Calibri" w:cs="Arial"/>
                <w:i/>
                <w:sz w:val="22"/>
                <w:szCs w:val="22"/>
              </w:rPr>
              <w:t>max 2 dogs</w:t>
            </w:r>
            <w:r w:rsidR="00804CEF" w:rsidRPr="00AA1C5D">
              <w:rPr>
                <w:rFonts w:eastAsia="Calibri" w:cs="Arial"/>
                <w:i/>
                <w:sz w:val="22"/>
                <w:szCs w:val="22"/>
              </w:rPr>
              <w:t>.</w:t>
            </w:r>
          </w:p>
          <w:p w:rsidR="003E007F" w:rsidRPr="00AA1C5D" w:rsidRDefault="003E007F" w:rsidP="00382148">
            <w:pPr>
              <w:pStyle w:val="Header"/>
              <w:rPr>
                <w:b/>
                <w:bCs/>
              </w:rPr>
            </w:pPr>
          </w:p>
        </w:tc>
      </w:tr>
      <w:tr w:rsidR="004D4385" w:rsidTr="00340B1C">
        <w:tblPrEx>
          <w:tblCellMar>
            <w:top w:w="0" w:type="dxa"/>
            <w:bottom w:w="0" w:type="dxa"/>
          </w:tblCellMar>
        </w:tblPrEx>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907C2C">
            <w:pPr>
              <w:pStyle w:val="Heading2"/>
              <w:numPr>
                <w:ilvl w:val="0"/>
                <w:numId w:val="31"/>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907C2C">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F36ADE">
            <w:pPr>
              <w:jc w:val="center"/>
              <w:rPr>
                <w:rFonts w:cs="Arial"/>
                <w:b/>
                <w:bCs/>
                <w:noProof/>
                <w:lang w:val="en-US"/>
              </w:rPr>
            </w:pPr>
            <w:r>
              <w:rPr>
                <w:rFonts w:cs="Arial"/>
                <w:b/>
                <w:bCs/>
                <w:noProof/>
                <w:lang w:val="en-US"/>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5B3F10">
            <w:pPr>
              <w:jc w:val="center"/>
              <w:rPr>
                <w:rFonts w:cs="Arial"/>
                <w:b/>
                <w:bCs/>
              </w:rPr>
            </w:pPr>
            <w:r>
              <w:rPr>
                <w:rFonts w:cs="Arial"/>
                <w:b/>
                <w:bCs/>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907C2C">
            <w:pPr>
              <w:pStyle w:val="Header"/>
              <w:numPr>
                <w:ilvl w:val="0"/>
                <w:numId w:val="31"/>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A1C5D" w:rsidRPr="00523679" w:rsidRDefault="00523679" w:rsidP="003E007F">
            <w:pPr>
              <w:pStyle w:val="Header"/>
              <w:tabs>
                <w:tab w:val="clear" w:pos="4153"/>
                <w:tab w:val="clear" w:pos="8306"/>
              </w:tabs>
              <w:rPr>
                <w:sz w:val="22"/>
                <w:szCs w:val="22"/>
              </w:rPr>
            </w:pPr>
            <w:r w:rsidRPr="00523679">
              <w:rPr>
                <w:rStyle w:val="A0"/>
                <w:sz w:val="22"/>
                <w:szCs w:val="22"/>
              </w:rPr>
              <w:t>Studies have shown that pet ownership can enhance the owner’s mental and physical health and encourage exercise, plus pets make great companions. However, while pets can have a very positive impact on their environment, irresponsibly owned pets can be the cause of much misery and suffering to the animals themselves and to those who live around them.</w:t>
            </w:r>
          </w:p>
          <w:p w:rsidR="00523679" w:rsidRDefault="00523679" w:rsidP="003E007F">
            <w:pPr>
              <w:pStyle w:val="Header"/>
              <w:tabs>
                <w:tab w:val="clear" w:pos="4153"/>
                <w:tab w:val="clear" w:pos="8306"/>
              </w:tabs>
              <w:rPr>
                <w:sz w:val="22"/>
                <w:szCs w:val="22"/>
              </w:rPr>
            </w:pPr>
          </w:p>
          <w:p w:rsidR="00FB3AB5" w:rsidRDefault="00867A46" w:rsidP="003E007F">
            <w:pPr>
              <w:pStyle w:val="Header"/>
              <w:tabs>
                <w:tab w:val="clear" w:pos="4153"/>
                <w:tab w:val="clear" w:pos="8306"/>
              </w:tabs>
              <w:rPr>
                <w:sz w:val="22"/>
                <w:szCs w:val="22"/>
              </w:rPr>
            </w:pPr>
            <w:r w:rsidRPr="00790B91">
              <w:rPr>
                <w:sz w:val="22"/>
                <w:szCs w:val="22"/>
              </w:rPr>
              <w:t xml:space="preserve">Tenants will be unable to keep </w:t>
            </w:r>
            <w:r w:rsidR="000F0D85" w:rsidRPr="00790B91">
              <w:rPr>
                <w:sz w:val="22"/>
                <w:szCs w:val="22"/>
              </w:rPr>
              <w:t>pets in properties that are deemed unsuitable due to the size of the property or lack of private use of a garde</w:t>
            </w:r>
            <w:r w:rsidR="00BC140B" w:rsidRPr="00790B91">
              <w:rPr>
                <w:sz w:val="22"/>
                <w:szCs w:val="22"/>
              </w:rPr>
              <w:t>n</w:t>
            </w:r>
            <w:r w:rsidR="00DA22D3" w:rsidRPr="00790B91">
              <w:rPr>
                <w:sz w:val="22"/>
                <w:szCs w:val="22"/>
              </w:rPr>
              <w:t xml:space="preserve">, as this would be detrimental to </w:t>
            </w:r>
            <w:r w:rsidR="00FE2E96" w:rsidRPr="00790B91">
              <w:rPr>
                <w:sz w:val="22"/>
                <w:szCs w:val="22"/>
              </w:rPr>
              <w:t xml:space="preserve">the </w:t>
            </w:r>
            <w:r w:rsidR="00790B91" w:rsidRPr="00790B91">
              <w:rPr>
                <w:sz w:val="22"/>
                <w:szCs w:val="22"/>
              </w:rPr>
              <w:t>animal’s</w:t>
            </w:r>
            <w:r w:rsidR="00FE2E96" w:rsidRPr="00790B91">
              <w:rPr>
                <w:sz w:val="22"/>
                <w:szCs w:val="22"/>
              </w:rPr>
              <w:t xml:space="preserve"> health and well being.</w:t>
            </w:r>
          </w:p>
          <w:p w:rsidR="00FB3AB5" w:rsidRDefault="00FE2E96" w:rsidP="00FB3AB5">
            <w:pPr>
              <w:pStyle w:val="Header"/>
              <w:tabs>
                <w:tab w:val="clear" w:pos="4153"/>
                <w:tab w:val="clear" w:pos="8306"/>
              </w:tabs>
              <w:rPr>
                <w:color w:val="FF0000"/>
              </w:rPr>
            </w:pPr>
            <w:r w:rsidRPr="00790B91">
              <w:rPr>
                <w:sz w:val="22"/>
                <w:szCs w:val="22"/>
              </w:rPr>
              <w:t xml:space="preserve"> </w:t>
            </w:r>
          </w:p>
          <w:p w:rsidR="00FE2E96" w:rsidRPr="00790B91" w:rsidRDefault="00FB3AB5" w:rsidP="00FB3AB5">
            <w:pPr>
              <w:pStyle w:val="Header"/>
              <w:tabs>
                <w:tab w:val="clear" w:pos="4153"/>
                <w:tab w:val="clear" w:pos="8306"/>
              </w:tabs>
              <w:rPr>
                <w:sz w:val="22"/>
                <w:szCs w:val="22"/>
              </w:rPr>
            </w:pPr>
            <w:r>
              <w:rPr>
                <w:rFonts w:cs="Arial"/>
                <w:sz w:val="22"/>
                <w:szCs w:val="22"/>
              </w:rPr>
              <w:t>D</w:t>
            </w:r>
            <w:r w:rsidRPr="00CF6854">
              <w:rPr>
                <w:rFonts w:cs="Arial"/>
                <w:sz w:val="22"/>
                <w:szCs w:val="22"/>
              </w:rPr>
              <w:t>ogs may only be kept in a house or flat/maisonette/bungalow if the property has sole use of a garden. Permission for a dog will not be given if the property does not have a garden or has a shared garden.</w:t>
            </w:r>
            <w:r>
              <w:rPr>
                <w:rFonts w:cs="Arial"/>
                <w:sz w:val="22"/>
                <w:szCs w:val="22"/>
              </w:rPr>
              <w:t xml:space="preserve"> To take into account the needs of tenants who may require a care dog, the policy states that ‘t</w:t>
            </w:r>
            <w:r w:rsidRPr="00CF6854">
              <w:rPr>
                <w:rFonts w:cs="Arial"/>
                <w:sz w:val="22"/>
                <w:szCs w:val="22"/>
              </w:rPr>
              <w:t>enants who are registered blind/disabled</w:t>
            </w:r>
            <w:r w:rsidR="004C04F0">
              <w:rPr>
                <w:rFonts w:cs="Arial"/>
                <w:sz w:val="22"/>
                <w:szCs w:val="22"/>
              </w:rPr>
              <w:t xml:space="preserve"> </w:t>
            </w:r>
            <w:r w:rsidRPr="00CF6854">
              <w:rPr>
                <w:rFonts w:cs="Arial"/>
                <w:sz w:val="22"/>
                <w:szCs w:val="22"/>
              </w:rPr>
              <w:t>and who need a care dog are the only exception to this rule</w:t>
            </w:r>
            <w:r>
              <w:rPr>
                <w:rFonts w:cs="Arial"/>
                <w:sz w:val="22"/>
                <w:szCs w:val="22"/>
              </w:rPr>
              <w:t>’</w:t>
            </w:r>
          </w:p>
          <w:p w:rsidR="00FE2E96" w:rsidRPr="00790B91" w:rsidRDefault="00FE2E96" w:rsidP="003E007F">
            <w:pPr>
              <w:pStyle w:val="Header"/>
              <w:tabs>
                <w:tab w:val="clear" w:pos="4153"/>
                <w:tab w:val="clear" w:pos="8306"/>
              </w:tabs>
              <w:rPr>
                <w:sz w:val="22"/>
                <w:szCs w:val="22"/>
              </w:rPr>
            </w:pPr>
          </w:p>
          <w:p w:rsidR="00AA1C5D" w:rsidRPr="00790B91" w:rsidRDefault="00FE2E96" w:rsidP="003E007F">
            <w:pPr>
              <w:pStyle w:val="Header"/>
              <w:tabs>
                <w:tab w:val="clear" w:pos="4153"/>
                <w:tab w:val="clear" w:pos="8306"/>
              </w:tabs>
              <w:rPr>
                <w:sz w:val="22"/>
                <w:szCs w:val="22"/>
              </w:rPr>
            </w:pPr>
            <w:r w:rsidRPr="00790B91">
              <w:rPr>
                <w:sz w:val="22"/>
                <w:szCs w:val="22"/>
              </w:rPr>
              <w:t xml:space="preserve">Older customers </w:t>
            </w:r>
            <w:r w:rsidR="00D57D67" w:rsidRPr="00790B91">
              <w:rPr>
                <w:sz w:val="22"/>
                <w:szCs w:val="22"/>
              </w:rPr>
              <w:t xml:space="preserve">who reside in Homes for Independent Living schemes </w:t>
            </w:r>
            <w:r w:rsidR="00C613E0" w:rsidRPr="00790B91">
              <w:rPr>
                <w:sz w:val="22"/>
                <w:szCs w:val="22"/>
              </w:rPr>
              <w:t xml:space="preserve">are unable </w:t>
            </w:r>
            <w:r w:rsidR="00790B91" w:rsidRPr="00790B91">
              <w:rPr>
                <w:sz w:val="22"/>
                <w:szCs w:val="22"/>
              </w:rPr>
              <w:t xml:space="preserve">to keep dogs (expect care dogs), as there are only communal areas at the property. </w:t>
            </w:r>
            <w:r w:rsidR="0059289D">
              <w:rPr>
                <w:sz w:val="22"/>
                <w:szCs w:val="22"/>
              </w:rPr>
              <w:t xml:space="preserve">This is to prevent ASB to other residents in the property or </w:t>
            </w:r>
            <w:r w:rsidR="009A3A6A">
              <w:rPr>
                <w:sz w:val="22"/>
                <w:szCs w:val="22"/>
              </w:rPr>
              <w:t xml:space="preserve">undue damage to council property. </w:t>
            </w:r>
          </w:p>
          <w:p w:rsidR="009A3A6A" w:rsidRPr="00604BDB" w:rsidRDefault="009A3A6A" w:rsidP="00FB3AB5">
            <w:pPr>
              <w:pStyle w:val="Header"/>
              <w:tabs>
                <w:tab w:val="clear" w:pos="4153"/>
                <w:tab w:val="clear" w:pos="8306"/>
              </w:tabs>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907C2C">
            <w:pPr>
              <w:pStyle w:val="Header"/>
              <w:numPr>
                <w:ilvl w:val="0"/>
                <w:numId w:val="31"/>
              </w:numPr>
              <w:tabs>
                <w:tab w:val="clear" w:pos="4153"/>
                <w:tab w:val="clear" w:pos="8306"/>
              </w:tabs>
              <w:rPr>
                <w:b/>
                <w:bCs/>
              </w:rPr>
            </w:pPr>
            <w:r>
              <w:rPr>
                <w:b/>
                <w:bCs/>
              </w:rPr>
              <w:lastRenderedPageBreak/>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blPrEx>
          <w:tblCellMar>
            <w:top w:w="0" w:type="dxa"/>
            <w:bottom w:w="0" w:type="dxa"/>
          </w:tblCellMar>
        </w:tblPrEx>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FB3AB5" w:rsidRDefault="00FB3AB5">
            <w:pPr>
              <w:pStyle w:val="Header"/>
              <w:tabs>
                <w:tab w:val="clear" w:pos="4153"/>
                <w:tab w:val="clear" w:pos="8306"/>
              </w:tabs>
              <w:rPr>
                <w:color w:val="FF0000"/>
              </w:rPr>
            </w:pPr>
          </w:p>
          <w:p w:rsidR="004C04F0" w:rsidRDefault="004C04F0">
            <w:pPr>
              <w:pStyle w:val="Header"/>
              <w:tabs>
                <w:tab w:val="clear" w:pos="4153"/>
                <w:tab w:val="clear" w:pos="8306"/>
              </w:tabs>
              <w:rPr>
                <w:sz w:val="22"/>
                <w:szCs w:val="22"/>
              </w:rPr>
            </w:pPr>
            <w:r>
              <w:rPr>
                <w:sz w:val="22"/>
                <w:szCs w:val="22"/>
              </w:rPr>
              <w:t xml:space="preserve">Tenants are advised of the rules of the tenancy at the sign up process and information is also available in the Tenants Handbook. Information regarding the sign up process and </w:t>
            </w:r>
            <w:r w:rsidR="00FB61E1">
              <w:rPr>
                <w:sz w:val="22"/>
                <w:szCs w:val="22"/>
              </w:rPr>
              <w:t>the policy</w:t>
            </w:r>
            <w:r>
              <w:rPr>
                <w:sz w:val="22"/>
                <w:szCs w:val="22"/>
              </w:rPr>
              <w:t xml:space="preserve"> (including a  ‘Quick guide to the Pets Policy’) is published on the website and featured in the tenants magazine Housing Matters. </w:t>
            </w:r>
          </w:p>
          <w:p w:rsidR="004C04F0" w:rsidRPr="00530FBA" w:rsidRDefault="004C04F0">
            <w:pPr>
              <w:pStyle w:val="Header"/>
              <w:tabs>
                <w:tab w:val="clear" w:pos="4153"/>
                <w:tab w:val="clear" w:pos="8306"/>
              </w:tabs>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907C2C">
            <w:pPr>
              <w:pStyle w:val="Heading2"/>
              <w:numPr>
                <w:ilvl w:val="0"/>
                <w:numId w:val="31"/>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16B9" w:rsidRDefault="004F296F">
            <w:pPr>
              <w:rPr>
                <w:rFonts w:cs="Arial"/>
                <w:sz w:val="22"/>
                <w:szCs w:val="22"/>
              </w:rPr>
            </w:pPr>
            <w:r w:rsidRPr="008716B9">
              <w:rPr>
                <w:rFonts w:cs="Arial"/>
                <w:sz w:val="22"/>
                <w:szCs w:val="22"/>
              </w:rPr>
              <w:t xml:space="preserve">Monitor Complaints to </w:t>
            </w:r>
            <w:r w:rsidRPr="008716B9">
              <w:rPr>
                <w:sz w:val="22"/>
                <w:szCs w:val="22"/>
              </w:rPr>
              <w:t>identify any negative trends with regards to the Pets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16B9" w:rsidRDefault="00907C2C">
            <w:pPr>
              <w:jc w:val="center"/>
              <w:rPr>
                <w:rFonts w:cs="Arial"/>
                <w:sz w:val="22"/>
                <w:szCs w:val="22"/>
              </w:rPr>
            </w:pPr>
            <w:r>
              <w:rPr>
                <w:rFonts w:cs="Arial"/>
                <w:sz w:val="22"/>
                <w:szCs w:val="22"/>
              </w:rPr>
              <w:t>Tenancy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8716B9" w:rsidRDefault="00907C2C" w:rsidP="001D624C">
            <w:pPr>
              <w:rPr>
                <w:rFonts w:cs="Arial"/>
                <w:sz w:val="22"/>
                <w:szCs w:val="22"/>
              </w:rPr>
            </w:pPr>
            <w:r>
              <w:rPr>
                <w:rFonts w:cs="Arial"/>
                <w:sz w:val="22"/>
                <w:szCs w:val="22"/>
              </w:rPr>
              <w:t>Ongoing</w:t>
            </w:r>
            <w:r w:rsidR="001D624C">
              <w:rPr>
                <w:rFonts w:cs="Arial"/>
                <w:sz w:val="22"/>
                <w:szCs w:val="22"/>
              </w:rPr>
              <w:t xml:space="preserve"> </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rPr>
                <w:rFonts w:cs="Arial"/>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rPr>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907C2C">
            <w:pPr>
              <w:pStyle w:val="Heading2"/>
              <w:numPr>
                <w:ilvl w:val="0"/>
                <w:numId w:val="31"/>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blPrEx>
          <w:tblCellMar>
            <w:top w:w="0" w:type="dxa"/>
            <w:bottom w:w="0" w:type="dxa"/>
          </w:tblCellMar>
        </w:tblPrEx>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B34F8C" w:rsidRDefault="00B34F8C">
            <w:pPr>
              <w:rPr>
                <w:sz w:val="22"/>
                <w:szCs w:val="22"/>
              </w:rPr>
            </w:pPr>
            <w:r>
              <w:rPr>
                <w:sz w:val="22"/>
                <w:szCs w:val="22"/>
              </w:rPr>
              <w:t>To p</w:t>
            </w:r>
            <w:r w:rsidR="00604BDB" w:rsidRPr="00B34F8C">
              <w:rPr>
                <w:sz w:val="22"/>
                <w:szCs w:val="22"/>
              </w:rPr>
              <w:t>roceed with the implementation of the revised policy.</w:t>
            </w:r>
          </w:p>
          <w:p w:rsidR="004D4385" w:rsidRDefault="004D4385"/>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907C2C">
            <w:pPr>
              <w:pStyle w:val="Heading2"/>
              <w:numPr>
                <w:ilvl w:val="0"/>
                <w:numId w:val="31"/>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Pr="00340B1C" w:rsidRDefault="00907C2C">
            <w:pPr>
              <w:pStyle w:val="CommentText"/>
              <w:rPr>
                <w:rFonts w:cs="Arial"/>
                <w:b/>
                <w:bCs/>
                <w:sz w:val="24"/>
                <w:szCs w:val="24"/>
              </w:rPr>
            </w:pPr>
            <w:r>
              <w:rPr>
                <w:rFonts w:cs="Arial"/>
                <w:b/>
                <w:bCs/>
                <w:sz w:val="24"/>
                <w:szCs w:val="24"/>
              </w:rPr>
              <w:t>Head of Housing</w:t>
            </w:r>
          </w:p>
        </w:tc>
      </w:tr>
      <w:tr w:rsidR="004D4385" w:rsidTr="00340B1C">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907C2C">
            <w:pPr>
              <w:rPr>
                <w:rFonts w:cs="Arial"/>
                <w:b/>
                <w:bCs/>
              </w:rPr>
            </w:pPr>
            <w:r>
              <w:rPr>
                <w:rFonts w:cs="Arial"/>
              </w:rPr>
              <w:t>March 2020</w:t>
            </w: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74C" w:rsidRDefault="00A9774C">
      <w:r>
        <w:separator/>
      </w:r>
    </w:p>
  </w:endnote>
  <w:endnote w:type="continuationSeparator" w:id="0">
    <w:p w:rsidR="00A9774C" w:rsidRDefault="00A9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da">
    <w:altName w:val="Agend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07C2C">
      <w:rPr>
        <w:rStyle w:val="PageNumber"/>
        <w:noProof/>
      </w:rPr>
      <w:t>3</w:t>
    </w:r>
    <w:r>
      <w:rPr>
        <w:rStyle w:val="PageNumber"/>
      </w:rPr>
      <w:fldChar w:fldCharType="end"/>
    </w: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74C" w:rsidRDefault="00A9774C">
      <w:r>
        <w:separator/>
      </w:r>
    </w:p>
  </w:footnote>
  <w:footnote w:type="continuationSeparator" w:id="0">
    <w:p w:rsidR="00A9774C" w:rsidRDefault="00A9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728">
          <v:imagedata r:id="rId1" o:title=""/>
          <w10:wrap type="square"/>
        </v:shape>
        <o:OLEObject Type="Embed" ProgID="Word.Picture.8" ShapeID="_x0000_s2049" DrawAspect="Content" ObjectID="_1659155591" r:id="rId2"/>
      </w:object>
    </w:r>
    <w:r>
      <w:rPr>
        <w:b/>
        <w:bCs/>
        <w:sz w:val="44"/>
      </w:rPr>
      <w:t>Diversity</w:t>
    </w:r>
  </w:p>
  <w:p w:rsidR="00FC5588" w:rsidRDefault="00FC5588">
    <w:pPr>
      <w:pStyle w:val="Header"/>
      <w:jc w:val="center"/>
      <w:rPr>
        <w:b/>
        <w:bCs/>
        <w:sz w:val="36"/>
      </w:rPr>
    </w:pPr>
    <w:r>
      <w:rPr>
        <w:b/>
        <w:bCs/>
        <w:sz w:val="44"/>
      </w:rPr>
      <w:t xml:space="preserve"> </w:t>
    </w:r>
    <w:r w:rsidR="0073418C">
      <w:rPr>
        <w:b/>
        <w:bCs/>
        <w:sz w:val="44"/>
      </w:rPr>
      <w:t>impact</w:t>
    </w:r>
    <w:r>
      <w:rPr>
        <w:b/>
        <w:bCs/>
        <w:sz w:val="44"/>
      </w:rPr>
      <w:t xml:space="preserve"> assessment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FD4"/>
    <w:multiLevelType w:val="hybridMultilevel"/>
    <w:tmpl w:val="7AEAF712"/>
    <w:lvl w:ilvl="0" w:tplc="08090001">
      <w:start w:val="1"/>
      <w:numFmt w:val="bullet"/>
      <w:lvlText w:val=""/>
      <w:lvlJc w:val="left"/>
      <w:pPr>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40E53"/>
    <w:multiLevelType w:val="hybridMultilevel"/>
    <w:tmpl w:val="347A9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695ABA"/>
    <w:multiLevelType w:val="hybridMultilevel"/>
    <w:tmpl w:val="9D2C4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1A74A8"/>
    <w:multiLevelType w:val="hybridMultilevel"/>
    <w:tmpl w:val="3C62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A3128"/>
    <w:multiLevelType w:val="hybridMultilevel"/>
    <w:tmpl w:val="74182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B05AB"/>
    <w:multiLevelType w:val="multilevel"/>
    <w:tmpl w:val="A434F3B8"/>
    <w:lvl w:ilvl="0">
      <w:start w:val="1"/>
      <w:numFmt w:val="decimal"/>
      <w:lvlText w:val="%1."/>
      <w:lvlJc w:val="left"/>
      <w:pPr>
        <w:ind w:left="481" w:hanging="360"/>
      </w:p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841" w:hanging="720"/>
      </w:pPr>
      <w:rPr>
        <w:rFonts w:hint="default"/>
        <w:b w:val="0"/>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abstractNum w:abstractNumId="10"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870377"/>
    <w:multiLevelType w:val="hybridMultilevel"/>
    <w:tmpl w:val="35AC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C77B2"/>
    <w:multiLevelType w:val="hybridMultilevel"/>
    <w:tmpl w:val="03CA94C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D0DE0"/>
    <w:multiLevelType w:val="multilevel"/>
    <w:tmpl w:val="E75EA8EE"/>
    <w:lvl w:ilvl="0">
      <w:start w:val="1"/>
      <w:numFmt w:val="decimal"/>
      <w:lvlText w:val="%1."/>
      <w:lvlJc w:val="left"/>
      <w:pPr>
        <w:ind w:left="720" w:hanging="360"/>
      </w:pPr>
      <w:rPr>
        <w:rFonts w:ascii="Arial" w:hAnsi="Arial" w:cs="Arial" w:hint="default"/>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1"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6" w15:restartNumberingAfterBreak="0">
    <w:nsid w:val="71CD10BD"/>
    <w:multiLevelType w:val="hybridMultilevel"/>
    <w:tmpl w:val="861EA8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A3100"/>
    <w:multiLevelType w:val="multilevel"/>
    <w:tmpl w:val="9D54131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8"/>
  </w:num>
  <w:num w:numId="3">
    <w:abstractNumId w:val="14"/>
  </w:num>
  <w:num w:numId="4">
    <w:abstractNumId w:val="4"/>
  </w:num>
  <w:num w:numId="5">
    <w:abstractNumId w:val="18"/>
  </w:num>
  <w:num w:numId="6">
    <w:abstractNumId w:val="17"/>
  </w:num>
  <w:num w:numId="7">
    <w:abstractNumId w:val="22"/>
  </w:num>
  <w:num w:numId="8">
    <w:abstractNumId w:val="16"/>
  </w:num>
  <w:num w:numId="9">
    <w:abstractNumId w:val="2"/>
  </w:num>
  <w:num w:numId="10">
    <w:abstractNumId w:val="10"/>
  </w:num>
  <w:num w:numId="11">
    <w:abstractNumId w:val="19"/>
  </w:num>
  <w:num w:numId="12">
    <w:abstractNumId w:val="6"/>
  </w:num>
  <w:num w:numId="13">
    <w:abstractNumId w:val="30"/>
  </w:num>
  <w:num w:numId="14">
    <w:abstractNumId w:val="5"/>
  </w:num>
  <w:num w:numId="15">
    <w:abstractNumId w:val="24"/>
  </w:num>
  <w:num w:numId="16">
    <w:abstractNumId w:val="23"/>
  </w:num>
  <w:num w:numId="17">
    <w:abstractNumId w:val="20"/>
  </w:num>
  <w:num w:numId="18">
    <w:abstractNumId w:val="27"/>
  </w:num>
  <w:num w:numId="19">
    <w:abstractNumId w:val="25"/>
  </w:num>
  <w:num w:numId="20">
    <w:abstractNumId w:val="13"/>
  </w:num>
  <w:num w:numId="21">
    <w:abstractNumId w:val="29"/>
  </w:num>
  <w:num w:numId="22">
    <w:abstractNumId w:val="15"/>
  </w:num>
  <w:num w:numId="23">
    <w:abstractNumId w:val="0"/>
  </w:num>
  <w:num w:numId="24">
    <w:abstractNumId w:val="11"/>
  </w:num>
  <w:num w:numId="25">
    <w:abstractNumId w:val="9"/>
  </w:num>
  <w:num w:numId="26">
    <w:abstractNumId w:val="3"/>
  </w:num>
  <w:num w:numId="27">
    <w:abstractNumId w:val="12"/>
  </w:num>
  <w:num w:numId="28">
    <w:abstractNumId w:val="7"/>
  </w:num>
  <w:num w:numId="29">
    <w:abstractNumId w:val="26"/>
  </w:num>
  <w:num w:numId="30">
    <w:abstractNumId w:val="8"/>
  </w:num>
  <w:num w:numId="3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20F25"/>
    <w:rsid w:val="00031054"/>
    <w:rsid w:val="000F0D85"/>
    <w:rsid w:val="000F4878"/>
    <w:rsid w:val="00123277"/>
    <w:rsid w:val="001376C0"/>
    <w:rsid w:val="001D624C"/>
    <w:rsid w:val="00207343"/>
    <w:rsid w:val="00286ECE"/>
    <w:rsid w:val="002B637B"/>
    <w:rsid w:val="002F26E7"/>
    <w:rsid w:val="00340B1C"/>
    <w:rsid w:val="00382148"/>
    <w:rsid w:val="00397E27"/>
    <w:rsid w:val="003E007F"/>
    <w:rsid w:val="00422C8C"/>
    <w:rsid w:val="00435E08"/>
    <w:rsid w:val="00461867"/>
    <w:rsid w:val="004C04F0"/>
    <w:rsid w:val="004C5F24"/>
    <w:rsid w:val="004D4385"/>
    <w:rsid w:val="004D52C2"/>
    <w:rsid w:val="004F296F"/>
    <w:rsid w:val="00503624"/>
    <w:rsid w:val="00523679"/>
    <w:rsid w:val="00530FBA"/>
    <w:rsid w:val="0058248A"/>
    <w:rsid w:val="0059289D"/>
    <w:rsid w:val="00592B51"/>
    <w:rsid w:val="005B3F10"/>
    <w:rsid w:val="00604BDB"/>
    <w:rsid w:val="00694925"/>
    <w:rsid w:val="006F59FB"/>
    <w:rsid w:val="0073418C"/>
    <w:rsid w:val="00736773"/>
    <w:rsid w:val="0077036C"/>
    <w:rsid w:val="00790B91"/>
    <w:rsid w:val="007B3C8C"/>
    <w:rsid w:val="00804CEF"/>
    <w:rsid w:val="0082610F"/>
    <w:rsid w:val="00840F4B"/>
    <w:rsid w:val="00865498"/>
    <w:rsid w:val="00867A46"/>
    <w:rsid w:val="008716B9"/>
    <w:rsid w:val="00874603"/>
    <w:rsid w:val="008B70B6"/>
    <w:rsid w:val="008F3510"/>
    <w:rsid w:val="00907C2C"/>
    <w:rsid w:val="00963BE5"/>
    <w:rsid w:val="0097660D"/>
    <w:rsid w:val="009A3A6A"/>
    <w:rsid w:val="009C03C1"/>
    <w:rsid w:val="00A14685"/>
    <w:rsid w:val="00A24105"/>
    <w:rsid w:val="00A24FA8"/>
    <w:rsid w:val="00A40075"/>
    <w:rsid w:val="00A9774C"/>
    <w:rsid w:val="00AA1C5D"/>
    <w:rsid w:val="00AC6606"/>
    <w:rsid w:val="00B34F8C"/>
    <w:rsid w:val="00B47FA8"/>
    <w:rsid w:val="00B74C6E"/>
    <w:rsid w:val="00BC140B"/>
    <w:rsid w:val="00C414A3"/>
    <w:rsid w:val="00C57D54"/>
    <w:rsid w:val="00C613E0"/>
    <w:rsid w:val="00C62926"/>
    <w:rsid w:val="00CC34DC"/>
    <w:rsid w:val="00CF6854"/>
    <w:rsid w:val="00D24098"/>
    <w:rsid w:val="00D57D67"/>
    <w:rsid w:val="00D63C12"/>
    <w:rsid w:val="00D76B47"/>
    <w:rsid w:val="00D81517"/>
    <w:rsid w:val="00D91BBA"/>
    <w:rsid w:val="00DA22D3"/>
    <w:rsid w:val="00DD06FF"/>
    <w:rsid w:val="00E34A78"/>
    <w:rsid w:val="00E377A5"/>
    <w:rsid w:val="00E567FE"/>
    <w:rsid w:val="00E6665E"/>
    <w:rsid w:val="00EA1825"/>
    <w:rsid w:val="00F21ADD"/>
    <w:rsid w:val="00F36ADE"/>
    <w:rsid w:val="00FB3AB5"/>
    <w:rsid w:val="00FB61E1"/>
    <w:rsid w:val="00FB6D0B"/>
    <w:rsid w:val="00FC5588"/>
    <w:rsid w:val="00FE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665E2646"/>
  <w15:chartTrackingRefBased/>
  <w15:docId w15:val="{FE48AE90-E372-4E33-8AA9-6A04D9EE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23679"/>
    <w:rPr>
      <w:rFonts w:cs="Agenda"/>
      <w:color w:val="000000"/>
      <w:sz w:val="18"/>
      <w:szCs w:val="18"/>
    </w:rPr>
  </w:style>
  <w:style w:type="character" w:customStyle="1" w:styleId="A17">
    <w:name w:val="A17"/>
    <w:uiPriority w:val="99"/>
    <w:rsid w:val="00523679"/>
    <w:rPr>
      <w:rFonts w:cs="Agenda"/>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B484-798F-45B6-A5BB-D83D345A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8725</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2</cp:revision>
  <cp:lastPrinted>2014-04-04T10:41:00Z</cp:lastPrinted>
  <dcterms:created xsi:type="dcterms:W3CDTF">2020-08-17T06:47:00Z</dcterms:created>
  <dcterms:modified xsi:type="dcterms:W3CDTF">2020-08-17T06:47:00Z</dcterms:modified>
</cp:coreProperties>
</file>