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C7463E" w:rsidRDefault="00C7463E" w:rsidP="00A568F6">
            <w:pPr>
              <w:pStyle w:val="Header"/>
              <w:tabs>
                <w:tab w:val="clear" w:pos="4153"/>
                <w:tab w:val="clear" w:pos="8306"/>
              </w:tabs>
              <w:rPr>
                <w:rFonts w:asciiTheme="minorHAnsi" w:hAnsiTheme="minorHAnsi"/>
                <w:sz w:val="22"/>
                <w:szCs w:val="22"/>
              </w:rPr>
            </w:pPr>
            <w:r w:rsidRPr="00C7463E">
              <w:rPr>
                <w:rFonts w:asciiTheme="minorHAnsi" w:hAnsiTheme="minorHAnsi"/>
                <w:sz w:val="22"/>
                <w:szCs w:val="22"/>
              </w:rPr>
              <w:t>Temporary Decant (temporary re-housing)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C7463E" w:rsidRDefault="00C7463E" w:rsidP="00C7463E">
            <w:pPr>
              <w:pStyle w:val="Header"/>
              <w:tabs>
                <w:tab w:val="clear" w:pos="4153"/>
                <w:tab w:val="clear" w:pos="8306"/>
              </w:tabs>
              <w:rPr>
                <w:rFonts w:asciiTheme="minorHAnsi" w:hAnsiTheme="minorHAnsi"/>
                <w:sz w:val="22"/>
                <w:szCs w:val="22"/>
              </w:rPr>
            </w:pPr>
            <w:r w:rsidRPr="00C7463E">
              <w:rPr>
                <w:rFonts w:asciiTheme="minorHAnsi" w:hAnsiTheme="minorHAnsi"/>
                <w:sz w:val="22"/>
                <w:szCs w:val="22"/>
              </w:rPr>
              <w:t xml:space="preserve">First </w:t>
            </w:r>
            <w:r w:rsidRPr="00C7463E">
              <w:rPr>
                <w:rFonts w:asciiTheme="minorHAnsi" w:hAnsiTheme="minorHAnsi"/>
                <w:sz w:val="22"/>
                <w:szCs w:val="22"/>
              </w:rPr>
              <w:t xml:space="preserve">published </w:t>
            </w:r>
            <w:r w:rsidRPr="00C7463E">
              <w:rPr>
                <w:rFonts w:asciiTheme="minorHAnsi" w:hAnsiTheme="minorHAnsi"/>
                <w:sz w:val="22"/>
                <w:szCs w:val="22"/>
              </w:rPr>
              <w:t xml:space="preserve"> 6th February 2018 </w:t>
            </w:r>
          </w:p>
          <w:p w:rsidR="00C7463E" w:rsidRPr="00B007C0" w:rsidRDefault="00C7463E" w:rsidP="00C7463E">
            <w:pPr>
              <w:pStyle w:val="Header"/>
              <w:tabs>
                <w:tab w:val="clear" w:pos="4153"/>
                <w:tab w:val="clear" w:pos="8306"/>
              </w:tabs>
              <w:rPr>
                <w:sz w:val="20"/>
                <w:szCs w:val="20"/>
              </w:rPr>
            </w:pPr>
            <w:r w:rsidRPr="00C7463E">
              <w:rPr>
                <w:rFonts w:asciiTheme="minorHAnsi" w:hAnsiTheme="minorHAnsi"/>
                <w:sz w:val="22"/>
                <w:szCs w:val="22"/>
              </w:rPr>
              <w:t>Reviewed July 2020</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 xml:space="preserve">Name, title and dept of person responsible for carrying out the </w:t>
            </w:r>
            <w:r w:rsidR="00C7463E">
              <w:rPr>
                <w:rFonts w:cs="Arial"/>
                <w:i/>
                <w:iCs/>
                <w:sz w:val="20"/>
              </w:rPr>
              <w:t>t pub</w:t>
            </w:r>
            <w:r>
              <w:rPr>
                <w:rFonts w:cs="Arial"/>
                <w:i/>
                <w:iCs/>
                <w:sz w:val="20"/>
              </w:rPr>
              <w:t>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C7463E" w:rsidRDefault="00C7463E">
            <w:pPr>
              <w:pStyle w:val="Header"/>
              <w:tabs>
                <w:tab w:val="clear" w:pos="4153"/>
                <w:tab w:val="clear" w:pos="8306"/>
              </w:tabs>
              <w:rPr>
                <w:rFonts w:asciiTheme="minorHAnsi" w:hAnsiTheme="minorHAnsi"/>
                <w:sz w:val="22"/>
                <w:szCs w:val="22"/>
              </w:rPr>
            </w:pPr>
            <w:r w:rsidRPr="00C7463E">
              <w:rPr>
                <w:rFonts w:asciiTheme="minorHAnsi" w:hAnsiTheme="minorHAnsi"/>
                <w:sz w:val="22"/>
                <w:szCs w:val="22"/>
              </w:rPr>
              <w:t>Katherine Bishop – Policy and Partnership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Default="004D4385" w:rsidP="008F3510">
            <w:pPr>
              <w:pStyle w:val="Header"/>
              <w:numPr>
                <w:ilvl w:val="0"/>
                <w:numId w:val="12"/>
              </w:numPr>
              <w:tabs>
                <w:tab w:val="clear" w:pos="4153"/>
                <w:tab w:val="clear" w:pos="8306"/>
              </w:tabs>
              <w:rPr>
                <w:i/>
                <w:iCs/>
                <w:sz w:val="20"/>
              </w:rPr>
            </w:pPr>
            <w:r>
              <w:rPr>
                <w:i/>
                <w:iCs/>
                <w:sz w:val="20"/>
              </w:rPr>
              <w:t>What 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C7463E" w:rsidRPr="00C7463E" w:rsidRDefault="00C7463E" w:rsidP="00C7463E">
            <w:pPr>
              <w:rPr>
                <w:rFonts w:asciiTheme="minorHAnsi" w:hAnsiTheme="minorHAnsi"/>
                <w:sz w:val="22"/>
                <w:szCs w:val="22"/>
              </w:rPr>
            </w:pPr>
            <w:r w:rsidRPr="00C7463E">
              <w:rPr>
                <w:rFonts w:asciiTheme="minorHAnsi" w:hAnsiTheme="minorHAnsi"/>
                <w:sz w:val="22"/>
                <w:szCs w:val="22"/>
              </w:rPr>
              <w:t xml:space="preserve">The Temporary Decant Policy has been created to cover situations where one or more tenants of Medway Council are required to move out of their home on a temporary basis, to enable repairs to be carried out that cannot be carried out with the tenants in occupation. </w:t>
            </w:r>
          </w:p>
          <w:p w:rsidR="00C7463E" w:rsidRPr="00C7463E" w:rsidRDefault="00C7463E" w:rsidP="00C7463E">
            <w:pPr>
              <w:rPr>
                <w:rFonts w:asciiTheme="minorHAnsi" w:hAnsiTheme="minorHAnsi"/>
                <w:sz w:val="22"/>
                <w:szCs w:val="22"/>
              </w:rPr>
            </w:pPr>
          </w:p>
          <w:p w:rsidR="00004365" w:rsidRPr="00FA1E0E" w:rsidRDefault="00C7463E" w:rsidP="00C7463E">
            <w:pPr>
              <w:rPr>
                <w:sz w:val="22"/>
                <w:szCs w:val="22"/>
              </w:rPr>
            </w:pPr>
            <w:r w:rsidRPr="00C7463E">
              <w:rPr>
                <w:rFonts w:asciiTheme="minorHAnsi" w:hAnsiTheme="minorHAnsi"/>
                <w:sz w:val="22"/>
                <w:szCs w:val="22"/>
              </w:rPr>
              <w:t>The policy is intended to cover situations where the tenant is required to vacate their home temporarily, but for periods longer than 2 weeks.</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24111D" w:rsidRPr="0024111D" w:rsidRDefault="0024111D" w:rsidP="0024111D">
            <w:pPr>
              <w:pStyle w:val="Default"/>
              <w:rPr>
                <w:sz w:val="20"/>
                <w:szCs w:val="20"/>
              </w:rPr>
            </w:pPr>
            <w:r w:rsidRPr="0024111D">
              <w:rPr>
                <w:sz w:val="20"/>
                <w:szCs w:val="20"/>
              </w:rPr>
              <w:t xml:space="preserve">Current number of lead tenants 2989 (as of 22.01.2018). </w:t>
            </w:r>
          </w:p>
          <w:p w:rsidR="0024111D" w:rsidRPr="0024111D" w:rsidRDefault="0024111D" w:rsidP="0024111D">
            <w:pPr>
              <w:pStyle w:val="Default"/>
              <w:rPr>
                <w:sz w:val="20"/>
                <w:szCs w:val="20"/>
              </w:rPr>
            </w:pPr>
          </w:p>
          <w:p w:rsidR="0024111D" w:rsidRPr="0024111D" w:rsidRDefault="0024111D" w:rsidP="0024111D">
            <w:pPr>
              <w:pStyle w:val="Default"/>
              <w:rPr>
                <w:sz w:val="20"/>
                <w:szCs w:val="20"/>
              </w:rPr>
            </w:pPr>
            <w:r w:rsidRPr="0024111D">
              <w:rPr>
                <w:sz w:val="20"/>
                <w:szCs w:val="20"/>
              </w:rPr>
              <w:t xml:space="preserve">In the last 12 months there has only been 3 temporary decants from council properties. Only 1 of these was placed into council accommodation. </w:t>
            </w:r>
          </w:p>
          <w:p w:rsidR="0024111D" w:rsidRPr="0024111D" w:rsidRDefault="0024111D" w:rsidP="0024111D">
            <w:pPr>
              <w:pStyle w:val="Default"/>
              <w:rPr>
                <w:sz w:val="20"/>
                <w:szCs w:val="20"/>
              </w:rPr>
            </w:pPr>
          </w:p>
          <w:p w:rsidR="00AC2788" w:rsidRDefault="0024111D" w:rsidP="0024111D">
            <w:pPr>
              <w:pStyle w:val="Default"/>
              <w:rPr>
                <w:sz w:val="20"/>
                <w:szCs w:val="20"/>
              </w:rPr>
            </w:pPr>
            <w:r w:rsidRPr="0024111D">
              <w:rPr>
                <w:sz w:val="20"/>
                <w:szCs w:val="20"/>
              </w:rPr>
              <w:t>The Draft Temporary Decant Policy was placed online for customer consultation and reviewed by tenant consultation groups to provide feedback, prior to publication.  There was no objection to the policy.</w:t>
            </w:r>
          </w:p>
          <w:p w:rsidR="00026D4D" w:rsidRDefault="00026D4D" w:rsidP="00F607A8">
            <w:pPr>
              <w:pStyle w:val="Default"/>
              <w:rPr>
                <w:sz w:val="20"/>
                <w:szCs w:val="20"/>
              </w:rPr>
            </w:pPr>
          </w:p>
          <w:p w:rsidR="00C60D40" w:rsidRDefault="00C60D40" w:rsidP="00F607A8">
            <w:pPr>
              <w:pStyle w:val="Default"/>
              <w:rPr>
                <w:sz w:val="20"/>
                <w:szCs w:val="20"/>
              </w:rPr>
            </w:pPr>
          </w:p>
          <w:p w:rsidR="00FA1E0E" w:rsidRDefault="00FA1E0E" w:rsidP="00496B1C">
            <w:pPr>
              <w:pStyle w:val="Default"/>
              <w:rPr>
                <w:b/>
                <w:bCs/>
              </w:rPr>
            </w:pP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24111D">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24111D">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lastRenderedPageBreak/>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24111D">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E25EC" w:rsidRPr="009E25EC" w:rsidRDefault="009E25EC" w:rsidP="009E25EC">
            <w:pPr>
              <w:rPr>
                <w:rFonts w:asciiTheme="minorHAnsi" w:hAnsiTheme="minorHAnsi"/>
                <w:sz w:val="22"/>
                <w:szCs w:val="22"/>
              </w:rPr>
            </w:pPr>
            <w:r w:rsidRPr="009E25EC">
              <w:rPr>
                <w:rFonts w:asciiTheme="minorHAnsi" w:hAnsiTheme="minorHAnsi"/>
                <w:sz w:val="22"/>
                <w:szCs w:val="22"/>
              </w:rPr>
              <w:t>All tenants could potentially be affected by the Decant Policy and may feel concerned that they will be relocated to a property that may not meet their requirements.</w:t>
            </w:r>
          </w:p>
          <w:p w:rsidR="009E25EC" w:rsidRPr="009E25EC" w:rsidRDefault="009E25EC" w:rsidP="009E25EC">
            <w:pPr>
              <w:rPr>
                <w:rFonts w:asciiTheme="minorHAnsi" w:hAnsiTheme="minorHAnsi"/>
                <w:sz w:val="22"/>
                <w:szCs w:val="22"/>
              </w:rPr>
            </w:pPr>
          </w:p>
          <w:p w:rsidR="009E25EC" w:rsidRPr="009E25EC" w:rsidRDefault="009E25EC" w:rsidP="009E25EC">
            <w:pPr>
              <w:rPr>
                <w:rFonts w:asciiTheme="minorHAnsi" w:hAnsiTheme="minorHAnsi"/>
                <w:sz w:val="22"/>
                <w:szCs w:val="22"/>
              </w:rPr>
            </w:pPr>
            <w:r w:rsidRPr="009E25EC">
              <w:rPr>
                <w:rFonts w:asciiTheme="minorHAnsi" w:hAnsiTheme="minorHAnsi"/>
                <w:sz w:val="22"/>
                <w:szCs w:val="22"/>
              </w:rPr>
              <w:t xml:space="preserve">Tenants who are elderly, have a disability, are pregnant, recently had a baby, or families with children may be adversely affected by the requirement to decant from their property, due to their individual property requirements such as adapted housing that maybe required. </w:t>
            </w:r>
          </w:p>
          <w:p w:rsidR="009E25EC" w:rsidRPr="009E25EC" w:rsidRDefault="009E25EC" w:rsidP="009E25EC">
            <w:pPr>
              <w:rPr>
                <w:rFonts w:asciiTheme="minorHAnsi" w:hAnsiTheme="minorHAnsi"/>
                <w:sz w:val="22"/>
                <w:szCs w:val="22"/>
              </w:rPr>
            </w:pPr>
          </w:p>
          <w:p w:rsidR="009E25EC" w:rsidRPr="009E25EC" w:rsidRDefault="009E25EC" w:rsidP="009E25EC">
            <w:pPr>
              <w:rPr>
                <w:rFonts w:asciiTheme="minorHAnsi" w:hAnsiTheme="minorHAnsi"/>
                <w:sz w:val="22"/>
                <w:szCs w:val="22"/>
              </w:rPr>
            </w:pPr>
            <w:r w:rsidRPr="009E25EC">
              <w:rPr>
                <w:rFonts w:asciiTheme="minorHAnsi" w:hAnsiTheme="minorHAnsi"/>
                <w:sz w:val="22"/>
                <w:szCs w:val="22"/>
              </w:rPr>
              <w:t>Tenants that are currently under-occupying may feel that they are disadvantaged as they will generally be offered a property that meets the household’s current needs (i.e.</w:t>
            </w:r>
            <w:r>
              <w:rPr>
                <w:rFonts w:asciiTheme="minorHAnsi" w:hAnsiTheme="minorHAnsi"/>
                <w:sz w:val="22"/>
                <w:szCs w:val="22"/>
              </w:rPr>
              <w:t xml:space="preserve"> a smaller property), rather tha</w:t>
            </w:r>
            <w:r w:rsidRPr="009E25EC">
              <w:rPr>
                <w:rFonts w:asciiTheme="minorHAnsi" w:hAnsiTheme="minorHAnsi"/>
                <w:sz w:val="22"/>
                <w:szCs w:val="22"/>
              </w:rPr>
              <w:t>n that of the current property size.</w:t>
            </w:r>
          </w:p>
          <w:p w:rsidR="009E25EC" w:rsidRPr="009E25EC" w:rsidRDefault="009E25EC" w:rsidP="009E25EC">
            <w:pPr>
              <w:rPr>
                <w:rFonts w:asciiTheme="minorHAnsi" w:hAnsiTheme="minorHAnsi"/>
                <w:sz w:val="22"/>
                <w:szCs w:val="22"/>
              </w:rPr>
            </w:pPr>
          </w:p>
          <w:p w:rsidR="00D234CB" w:rsidRPr="009E25EC" w:rsidRDefault="009E25EC" w:rsidP="009E25EC">
            <w:pPr>
              <w:rPr>
                <w:rFonts w:asciiTheme="minorHAnsi" w:hAnsiTheme="minorHAnsi"/>
                <w:sz w:val="22"/>
                <w:szCs w:val="22"/>
              </w:rPr>
            </w:pPr>
            <w:r w:rsidRPr="009E25EC">
              <w:rPr>
                <w:rFonts w:asciiTheme="minorHAnsi" w:hAnsiTheme="minorHAnsi"/>
                <w:sz w:val="22"/>
                <w:szCs w:val="22"/>
              </w:rPr>
              <w:t>Financial concerns, such as the cost of moving to a new property may affect tenants who are on low incomes.</w:t>
            </w:r>
          </w:p>
          <w:p w:rsidR="004D4385" w:rsidRPr="009E25EC" w:rsidRDefault="004D4385" w:rsidP="00496B1C">
            <w:pPr>
              <w:rPr>
                <w:rFonts w:asciiTheme="minorHAnsi" w:hAnsiTheme="minorHAnsi"/>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9E25EC" w:rsidRPr="009E25EC" w:rsidRDefault="009E25EC" w:rsidP="009E25EC">
            <w:pPr>
              <w:pStyle w:val="Header"/>
              <w:rPr>
                <w:sz w:val="20"/>
                <w:szCs w:val="20"/>
              </w:rPr>
            </w:pPr>
            <w:r w:rsidRPr="009E25EC">
              <w:rPr>
                <w:sz w:val="20"/>
                <w:szCs w:val="20"/>
              </w:rPr>
              <w:lastRenderedPageBreak/>
              <w:t>Although adverse impacts have been identified in the DIA. The Decant policy details the following actions that will be taken to mitigate the adverse impacts.</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Consultation and Information</w:t>
            </w:r>
          </w:p>
          <w:p w:rsidR="009E25EC" w:rsidRPr="009E25EC" w:rsidRDefault="009E25EC" w:rsidP="009E25EC">
            <w:pPr>
              <w:pStyle w:val="Header"/>
              <w:rPr>
                <w:sz w:val="20"/>
                <w:szCs w:val="20"/>
              </w:rPr>
            </w:pPr>
            <w:r w:rsidRPr="009E25EC">
              <w:rPr>
                <w:sz w:val="20"/>
                <w:szCs w:val="20"/>
              </w:rPr>
              <w:t>Affected tenants will be consulted in detail on their requirements. In particular where a tenant has special circumstances that need to be taken into consideration.</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A variety of methods of communication and consultation will be used, which will include letters, leaflets and meetings, and also include websites, email and social media where appropriate.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The Housing Officer will act as the main point of contact for the tenant throughout the process and will provide up to date information, and assistance where required. </w:t>
            </w:r>
          </w:p>
          <w:p w:rsidR="009E25EC" w:rsidRPr="009E25EC" w:rsidRDefault="009E25EC" w:rsidP="009E25EC">
            <w:pPr>
              <w:pStyle w:val="Header"/>
              <w:rPr>
                <w:sz w:val="20"/>
                <w:szCs w:val="20"/>
              </w:rPr>
            </w:pPr>
            <w:r w:rsidRPr="009E25EC">
              <w:rPr>
                <w:sz w:val="20"/>
                <w:szCs w:val="20"/>
              </w:rPr>
              <w:t>Disturbance Expense and Payments</w:t>
            </w:r>
          </w:p>
          <w:p w:rsidR="009E25EC" w:rsidRPr="009E25EC" w:rsidRDefault="009E25EC" w:rsidP="009E25EC">
            <w:pPr>
              <w:pStyle w:val="Header"/>
              <w:rPr>
                <w:sz w:val="20"/>
                <w:szCs w:val="20"/>
              </w:rPr>
            </w:pPr>
            <w:r w:rsidRPr="009E25EC">
              <w:rPr>
                <w:sz w:val="20"/>
                <w:szCs w:val="20"/>
              </w:rPr>
              <w:t xml:space="preserve">To ensure tenants are not at a financial disadvantage expenses will be reimbursed promptly, subject to necessary proofs, receipts etc.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Removals to both temporary accommodation and back to the property will be paid for by Medway Council.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Reasonable expenses will be met by Medway Council. Expenses will be reimbursed promptly – subject to necessary proofs, receipts etc. This ensures tenants are not out of pocket for any longer than necessary.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Claims for reimbursement must be within 28 calendar days of the expenditure being incurred.</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Disturbance payments cover ‘reasonable expenses’ involved in moving. There is no minimum of maximum amount in law for disturbance payments. Examples of reasonable expended include;</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Pr>
                <w:sz w:val="20"/>
                <w:szCs w:val="20"/>
              </w:rPr>
              <w:t>•</w:t>
            </w:r>
            <w:r w:rsidRPr="009E25EC">
              <w:rPr>
                <w:sz w:val="20"/>
                <w:szCs w:val="20"/>
              </w:rPr>
              <w:t>Removal costs</w:t>
            </w:r>
          </w:p>
          <w:p w:rsidR="009E25EC" w:rsidRPr="009E25EC" w:rsidRDefault="009E25EC" w:rsidP="009E25EC">
            <w:pPr>
              <w:pStyle w:val="Header"/>
              <w:rPr>
                <w:sz w:val="20"/>
                <w:szCs w:val="20"/>
              </w:rPr>
            </w:pPr>
            <w:r>
              <w:rPr>
                <w:sz w:val="20"/>
                <w:szCs w:val="20"/>
              </w:rPr>
              <w:t>•</w:t>
            </w:r>
            <w:r w:rsidRPr="009E25EC">
              <w:rPr>
                <w:sz w:val="20"/>
                <w:szCs w:val="20"/>
              </w:rPr>
              <w:t>Temporary storage of possessions and furniture</w:t>
            </w:r>
          </w:p>
          <w:p w:rsidR="009E25EC" w:rsidRPr="009E25EC" w:rsidRDefault="009E25EC" w:rsidP="009E25EC">
            <w:pPr>
              <w:pStyle w:val="Header"/>
              <w:rPr>
                <w:sz w:val="20"/>
                <w:szCs w:val="20"/>
              </w:rPr>
            </w:pPr>
            <w:r>
              <w:rPr>
                <w:sz w:val="20"/>
                <w:szCs w:val="20"/>
              </w:rPr>
              <w:t>•</w:t>
            </w:r>
            <w:r w:rsidRPr="009E25EC">
              <w:rPr>
                <w:sz w:val="20"/>
                <w:szCs w:val="20"/>
              </w:rPr>
              <w:t xml:space="preserve">Redirection of post </w:t>
            </w:r>
          </w:p>
          <w:p w:rsidR="009E25EC" w:rsidRPr="009E25EC" w:rsidRDefault="009E25EC" w:rsidP="009E25EC">
            <w:pPr>
              <w:pStyle w:val="Header"/>
              <w:rPr>
                <w:sz w:val="20"/>
                <w:szCs w:val="20"/>
              </w:rPr>
            </w:pPr>
            <w:r>
              <w:rPr>
                <w:sz w:val="20"/>
                <w:szCs w:val="20"/>
              </w:rPr>
              <w:t>•</w:t>
            </w:r>
            <w:r w:rsidRPr="009E25EC">
              <w:rPr>
                <w:sz w:val="20"/>
                <w:szCs w:val="20"/>
              </w:rPr>
              <w:t>Disconnection and reconnection of appliances and utilities</w:t>
            </w:r>
          </w:p>
          <w:p w:rsidR="009E25EC" w:rsidRPr="009E25EC" w:rsidRDefault="009E25EC" w:rsidP="009E25EC">
            <w:pPr>
              <w:pStyle w:val="Header"/>
              <w:rPr>
                <w:sz w:val="20"/>
                <w:szCs w:val="20"/>
              </w:rPr>
            </w:pPr>
            <w:r>
              <w:rPr>
                <w:sz w:val="20"/>
                <w:szCs w:val="20"/>
              </w:rPr>
              <w:t>•</w:t>
            </w:r>
            <w:r w:rsidRPr="009E25EC">
              <w:rPr>
                <w:sz w:val="20"/>
                <w:szCs w:val="20"/>
              </w:rPr>
              <w:t>Replacing (or re-sizing) flooring, carpets and curtains</w:t>
            </w:r>
          </w:p>
          <w:p w:rsidR="009E25EC" w:rsidRPr="009E25EC" w:rsidRDefault="009E25EC" w:rsidP="009E25EC">
            <w:pPr>
              <w:pStyle w:val="Header"/>
              <w:rPr>
                <w:sz w:val="20"/>
                <w:szCs w:val="20"/>
              </w:rPr>
            </w:pPr>
            <w:r>
              <w:rPr>
                <w:sz w:val="20"/>
                <w:szCs w:val="20"/>
              </w:rPr>
              <w:t>•</w:t>
            </w:r>
            <w:r w:rsidRPr="009E25EC">
              <w:rPr>
                <w:sz w:val="20"/>
                <w:szCs w:val="20"/>
              </w:rPr>
              <w:t xml:space="preserve">Redecoration </w:t>
            </w:r>
          </w:p>
          <w:p w:rsidR="009E25EC" w:rsidRPr="009E25EC" w:rsidRDefault="009E25EC" w:rsidP="009E25EC">
            <w:pPr>
              <w:pStyle w:val="Header"/>
              <w:rPr>
                <w:sz w:val="20"/>
                <w:szCs w:val="20"/>
              </w:rPr>
            </w:pPr>
            <w:r>
              <w:rPr>
                <w:sz w:val="20"/>
                <w:szCs w:val="20"/>
              </w:rPr>
              <w:t>•</w:t>
            </w:r>
            <w:r w:rsidRPr="009E25EC">
              <w:rPr>
                <w:sz w:val="20"/>
                <w:szCs w:val="20"/>
              </w:rPr>
              <w:t xml:space="preserve">Installation of disability adaptations.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Type of property offered</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Suitable properties will always be identified from within Medway Council’s own stock wherever possible.</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Properties offered for a temporary decant will generally be on a ‘like for like’ basis with the tenants main home. Tenants will be required to sign a Temporary Rehousing Agreement.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Tenants that are currently under-occupying will generally be offered a property that meets the households current needs (ie smaller), but will retain the right to return to their original home once the works are complete.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Tenancy Status</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Tenants will have the right to return to their original home once works are complete. There maybe occasions where this is not possible. In these circumstances, options will be explored with the tenant. </w:t>
            </w:r>
          </w:p>
          <w:p w:rsidR="009E25EC" w:rsidRPr="009E25EC" w:rsidRDefault="009E25EC" w:rsidP="009E25EC">
            <w:pPr>
              <w:pStyle w:val="Header"/>
              <w:rPr>
                <w:sz w:val="20"/>
                <w:szCs w:val="20"/>
              </w:rPr>
            </w:pPr>
          </w:p>
          <w:p w:rsidR="009E25EC" w:rsidRPr="009E25EC" w:rsidRDefault="009E25EC" w:rsidP="009E25EC">
            <w:pPr>
              <w:pStyle w:val="Header"/>
              <w:rPr>
                <w:sz w:val="20"/>
                <w:szCs w:val="20"/>
              </w:rPr>
            </w:pPr>
            <w:r w:rsidRPr="009E25EC">
              <w:rPr>
                <w:sz w:val="20"/>
                <w:szCs w:val="20"/>
              </w:rPr>
              <w:t xml:space="preserve">In some cases, on completion of the works to the original property, the tenant may request to remain in the decant property on a permanent basis.  Such requests will be considered by the </w:t>
            </w:r>
            <w:r w:rsidRPr="009E25EC">
              <w:rPr>
                <w:sz w:val="20"/>
                <w:szCs w:val="20"/>
              </w:rPr>
              <w:lastRenderedPageBreak/>
              <w:t xml:space="preserve">Head of Housing Management as a Management Move and will be discretionary.  If a permanent move is authorised, no further costs in relation to the decant will be payable.    </w:t>
            </w:r>
          </w:p>
          <w:p w:rsidR="00246DA8" w:rsidRPr="00DF3C64" w:rsidRDefault="00246DA8" w:rsidP="00496B1C">
            <w:pPr>
              <w:pStyle w:val="Heade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Default="008B1805" w:rsidP="00A8276D">
            <w:pPr>
              <w:rPr>
                <w:rFonts w:cs="Arial"/>
                <w:sz w:val="20"/>
                <w:szCs w:val="20"/>
              </w:rPr>
            </w:pPr>
            <w:r w:rsidRPr="008B1805">
              <w:rPr>
                <w:rFonts w:cs="Arial"/>
                <w:sz w:val="20"/>
                <w:szCs w:val="20"/>
              </w:rPr>
              <w:t>To consult with Tenants regarding Decant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Default="00860086">
            <w:pPr>
              <w:jc w:val="center"/>
              <w:rPr>
                <w:rFonts w:cs="Arial"/>
                <w:sz w:val="20"/>
                <w:szCs w:val="20"/>
              </w:rPr>
            </w:pPr>
            <w:r w:rsidRPr="00860086">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3A15D8" w:rsidRDefault="00D851DC" w:rsidP="00E0333B">
            <w:pPr>
              <w:rPr>
                <w:rFonts w:cs="Arial"/>
                <w:sz w:val="20"/>
                <w:szCs w:val="22"/>
              </w:rPr>
            </w:pPr>
            <w:r w:rsidRPr="00D851DC">
              <w:rPr>
                <w:rFonts w:cs="Arial"/>
                <w:sz w:val="20"/>
                <w:szCs w:val="22"/>
              </w:rPr>
              <w:t>March 2018 Completed</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A8276D" w:rsidRDefault="008B1805" w:rsidP="00A8276D">
            <w:pPr>
              <w:rPr>
                <w:rFonts w:cs="Arial"/>
                <w:sz w:val="20"/>
                <w:szCs w:val="20"/>
              </w:rPr>
            </w:pPr>
            <w:r w:rsidRPr="008B1805">
              <w:rPr>
                <w:rFonts w:cs="Arial"/>
                <w:sz w:val="20"/>
                <w:szCs w:val="20"/>
              </w:rPr>
              <w:t>To review feedback and adapt policy if required.</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860086">
            <w:pPr>
              <w:jc w:val="center"/>
              <w:rPr>
                <w:rFonts w:cs="Arial"/>
                <w:sz w:val="20"/>
                <w:szCs w:val="20"/>
              </w:rPr>
            </w:pPr>
            <w:r w:rsidRPr="00860086">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D851DC" w:rsidRPr="00D851DC" w:rsidRDefault="00D851DC" w:rsidP="00D851DC">
            <w:pPr>
              <w:rPr>
                <w:rFonts w:cs="Arial"/>
                <w:sz w:val="20"/>
                <w:szCs w:val="22"/>
              </w:rPr>
            </w:pPr>
            <w:r w:rsidRPr="00D851DC">
              <w:rPr>
                <w:rFonts w:cs="Arial"/>
                <w:sz w:val="20"/>
                <w:szCs w:val="22"/>
              </w:rPr>
              <w:t>March 2018</w:t>
            </w:r>
          </w:p>
          <w:p w:rsidR="004D4385" w:rsidRPr="003A15D8" w:rsidRDefault="00D851DC" w:rsidP="00D851DC">
            <w:pPr>
              <w:rPr>
                <w:rFonts w:cs="Arial"/>
                <w:sz w:val="20"/>
                <w:szCs w:val="22"/>
              </w:rPr>
            </w:pPr>
            <w:r w:rsidRPr="00D851DC">
              <w:rPr>
                <w:rFonts w:cs="Arial"/>
                <w:sz w:val="20"/>
                <w:szCs w:val="22"/>
              </w:rPr>
              <w:t>Completed</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876AD9" w:rsidRDefault="008B1805">
            <w:pPr>
              <w:rPr>
                <w:rFonts w:cs="Arial"/>
                <w:sz w:val="20"/>
                <w:szCs w:val="20"/>
              </w:rPr>
            </w:pPr>
            <w:r w:rsidRPr="008B1805">
              <w:rPr>
                <w:rFonts w:cs="Arial"/>
                <w:sz w:val="20"/>
                <w:szCs w:val="20"/>
              </w:rPr>
              <w:t>To publish and implement the Decant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5E7FCC" w:rsidRDefault="00D851DC">
            <w:pPr>
              <w:jc w:val="center"/>
              <w:rPr>
                <w:rFonts w:cs="Arial"/>
                <w:sz w:val="20"/>
                <w:szCs w:val="20"/>
              </w:rPr>
            </w:pPr>
            <w:r w:rsidRPr="00D851DC">
              <w:rPr>
                <w:rFonts w:cs="Arial"/>
                <w:sz w:val="20"/>
                <w:szCs w:val="20"/>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3A15D8" w:rsidRDefault="00D851DC" w:rsidP="00601FE2">
            <w:pPr>
              <w:rPr>
                <w:rFonts w:cs="Arial"/>
                <w:sz w:val="20"/>
                <w:szCs w:val="22"/>
              </w:rPr>
            </w:pPr>
            <w:r w:rsidRPr="00D851DC">
              <w:rPr>
                <w:rFonts w:cs="Arial"/>
                <w:sz w:val="20"/>
                <w:szCs w:val="22"/>
              </w:rPr>
              <w:t>April 2018</w:t>
            </w:r>
            <w:r>
              <w:rPr>
                <w:rFonts w:cs="Arial"/>
                <w:sz w:val="20"/>
                <w:szCs w:val="22"/>
              </w:rPr>
              <w:t xml:space="preserve"> Completed</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EA43BC" w:rsidRDefault="00D851DC" w:rsidP="003A5EFB">
            <w:pPr>
              <w:rPr>
                <w:sz w:val="20"/>
                <w:szCs w:val="20"/>
              </w:rPr>
            </w:pPr>
            <w:r w:rsidRPr="00D851DC">
              <w:rPr>
                <w:sz w:val="20"/>
                <w:szCs w:val="20"/>
              </w:rPr>
              <w:t>The recommendation is to proceed with implementing the Decant and complete any actions identified.</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30FBA" w:rsidP="00F607A8">
            <w:pPr>
              <w:pStyle w:val="CommentText"/>
              <w:rPr>
                <w:rFonts w:cs="Arial"/>
                <w:b/>
                <w:bCs/>
                <w:sz w:val="24"/>
                <w:szCs w:val="24"/>
              </w:rPr>
            </w:pPr>
            <w:r w:rsidRPr="00530FBA">
              <w:rPr>
                <w:rFonts w:cs="Arial"/>
                <w:b/>
                <w:bCs/>
                <w:sz w:val="24"/>
                <w:szCs w:val="24"/>
              </w:rPr>
              <w:t xml:space="preserve"> </w:t>
            </w:r>
          </w:p>
          <w:p w:rsidR="00D851DC" w:rsidRPr="00340B1C" w:rsidRDefault="00D851DC" w:rsidP="00F607A8">
            <w:pPr>
              <w:pStyle w:val="CommentText"/>
              <w:rPr>
                <w:rFonts w:cs="Arial"/>
                <w:b/>
                <w:bCs/>
                <w:sz w:val="24"/>
                <w:szCs w:val="24"/>
              </w:rPr>
            </w:pPr>
            <w:r>
              <w:rPr>
                <w:rFonts w:cs="Arial"/>
                <w:b/>
                <w:bCs/>
                <w:sz w:val="24"/>
                <w:szCs w:val="24"/>
              </w:rPr>
              <w:t>Mark Breathwick</w:t>
            </w:r>
            <w:bookmarkStart w:id="0" w:name="_GoBack"/>
            <w:bookmarkEnd w:id="0"/>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D851DC">
      <w:rPr>
        <w:rStyle w:val="PageNumber"/>
        <w:noProof/>
      </w:rPr>
      <w:t>4</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D851DC">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6403001"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101834"/>
    <w:rsid w:val="00102B52"/>
    <w:rsid w:val="001210BF"/>
    <w:rsid w:val="0014197D"/>
    <w:rsid w:val="00144D74"/>
    <w:rsid w:val="00183266"/>
    <w:rsid w:val="00190989"/>
    <w:rsid w:val="001A4E5B"/>
    <w:rsid w:val="001B0B35"/>
    <w:rsid w:val="001E65E4"/>
    <w:rsid w:val="001F28E6"/>
    <w:rsid w:val="002166ED"/>
    <w:rsid w:val="0024111D"/>
    <w:rsid w:val="00246DA8"/>
    <w:rsid w:val="00276096"/>
    <w:rsid w:val="0027719A"/>
    <w:rsid w:val="00286ECE"/>
    <w:rsid w:val="002A6511"/>
    <w:rsid w:val="002C4642"/>
    <w:rsid w:val="00316942"/>
    <w:rsid w:val="00326934"/>
    <w:rsid w:val="00333CDF"/>
    <w:rsid w:val="00340B1C"/>
    <w:rsid w:val="00352A91"/>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E0D45"/>
    <w:rsid w:val="00503624"/>
    <w:rsid w:val="00515D85"/>
    <w:rsid w:val="00516F2C"/>
    <w:rsid w:val="00530FBA"/>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676F"/>
    <w:rsid w:val="0074150B"/>
    <w:rsid w:val="00763C4C"/>
    <w:rsid w:val="0077036C"/>
    <w:rsid w:val="00775CD2"/>
    <w:rsid w:val="00794D07"/>
    <w:rsid w:val="007B4631"/>
    <w:rsid w:val="007C1BFB"/>
    <w:rsid w:val="007F0486"/>
    <w:rsid w:val="007F4D47"/>
    <w:rsid w:val="00814E17"/>
    <w:rsid w:val="00827160"/>
    <w:rsid w:val="00844D2F"/>
    <w:rsid w:val="00860086"/>
    <w:rsid w:val="00863259"/>
    <w:rsid w:val="00865498"/>
    <w:rsid w:val="00876AD9"/>
    <w:rsid w:val="00891F80"/>
    <w:rsid w:val="008B1805"/>
    <w:rsid w:val="008B70B6"/>
    <w:rsid w:val="008F3510"/>
    <w:rsid w:val="00902190"/>
    <w:rsid w:val="00916A29"/>
    <w:rsid w:val="00923ADC"/>
    <w:rsid w:val="00932367"/>
    <w:rsid w:val="00947BC3"/>
    <w:rsid w:val="009B23C0"/>
    <w:rsid w:val="009E0F99"/>
    <w:rsid w:val="009E25EC"/>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7463E"/>
    <w:rsid w:val="00CA3AE0"/>
    <w:rsid w:val="00CF5308"/>
    <w:rsid w:val="00CF754B"/>
    <w:rsid w:val="00D104DC"/>
    <w:rsid w:val="00D234CB"/>
    <w:rsid w:val="00D2415A"/>
    <w:rsid w:val="00D53704"/>
    <w:rsid w:val="00D8382E"/>
    <w:rsid w:val="00D851DC"/>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4E8CA763"/>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921E-6D14-43FC-B672-CFB0F216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1115</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7317</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bishop, katherine</cp:lastModifiedBy>
  <cp:revision>3</cp:revision>
  <cp:lastPrinted>2020-03-06T14:26:00Z</cp:lastPrinted>
  <dcterms:created xsi:type="dcterms:W3CDTF">2020-07-01T07:41:00Z</dcterms:created>
  <dcterms:modified xsi:type="dcterms:W3CDTF">2020-07-16T10:10:00Z</dcterms:modified>
</cp:coreProperties>
</file>