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EF13" w14:textId="2EB005E1" w:rsidR="008C3080" w:rsidRDefault="00CB72F8" w:rsidP="00AA150F">
      <w:pPr>
        <w:pStyle w:val="Title"/>
      </w:pPr>
      <w:r>
        <w:t>Housing Landlord Services</w:t>
      </w:r>
      <w:r w:rsidR="000216EF">
        <w:t xml:space="preserve"> </w:t>
      </w:r>
      <w:r w:rsidR="00A358EC">
        <w:t>Tenancy Fraud Policy</w:t>
      </w:r>
    </w:p>
    <w:p w14:paraId="7B6195EC" w14:textId="77777777" w:rsidR="00AA150F" w:rsidRDefault="00AA150F" w:rsidP="00AA150F"/>
    <w:p w14:paraId="69C17FC2" w14:textId="77777777" w:rsidR="00AA150F" w:rsidRDefault="00AA150F" w:rsidP="00AA150F">
      <w:pPr>
        <w:pStyle w:val="Heading1"/>
        <w:numPr>
          <w:ilvl w:val="0"/>
          <w:numId w:val="1"/>
        </w:numPr>
      </w:pPr>
      <w:r>
        <w:t>Introduction</w:t>
      </w:r>
    </w:p>
    <w:p w14:paraId="3F4F2D96" w14:textId="6B7FB1C6" w:rsidR="00AA150F" w:rsidRPr="00A358EC" w:rsidRDefault="00A358EC" w:rsidP="00A358EC">
      <w:pPr>
        <w:pStyle w:val="ListParagraph"/>
        <w:numPr>
          <w:ilvl w:val="1"/>
          <w:numId w:val="1"/>
        </w:numPr>
        <w:suppressAutoHyphens/>
        <w:spacing w:after="0" w:line="240" w:lineRule="auto"/>
        <w:contextualSpacing w:val="0"/>
        <w:rPr>
          <w:rFonts w:ascii="Arial" w:hAnsi="Arial" w:cs="Arial"/>
          <w:sz w:val="24"/>
          <w:szCs w:val="24"/>
        </w:rPr>
      </w:pPr>
      <w:r w:rsidRPr="00D944D8">
        <w:rPr>
          <w:rFonts w:ascii="Arial" w:hAnsi="Arial" w:cs="Arial"/>
          <w:sz w:val="24"/>
          <w:szCs w:val="24"/>
        </w:rPr>
        <w:t xml:space="preserve">This policy provides the framework for Medway Council </w:t>
      </w:r>
      <w:r w:rsidR="00CB72F8">
        <w:rPr>
          <w:rFonts w:ascii="Arial" w:hAnsi="Arial" w:cs="Arial"/>
          <w:sz w:val="24"/>
          <w:szCs w:val="24"/>
        </w:rPr>
        <w:t xml:space="preserve">Housing Landlord Services </w:t>
      </w:r>
      <w:r w:rsidRPr="00D944D8">
        <w:rPr>
          <w:rFonts w:ascii="Arial" w:hAnsi="Arial" w:cs="Arial"/>
          <w:sz w:val="24"/>
          <w:szCs w:val="24"/>
        </w:rPr>
        <w:t xml:space="preserve">(the ’council’) to prevent, identify and address tenancy fraud within the council’s social housing stock. </w:t>
      </w:r>
    </w:p>
    <w:p w14:paraId="5B94B3D9" w14:textId="77777777" w:rsidR="00A358EC" w:rsidRDefault="00AA150F" w:rsidP="00A358EC">
      <w:pPr>
        <w:pStyle w:val="Heading1"/>
        <w:numPr>
          <w:ilvl w:val="0"/>
          <w:numId w:val="1"/>
        </w:numPr>
      </w:pPr>
      <w:r>
        <w:t>Purpose</w:t>
      </w:r>
    </w:p>
    <w:p w14:paraId="72C47C4C" w14:textId="45876EBF" w:rsidR="00A358EC" w:rsidRPr="00A358EC" w:rsidRDefault="00A358EC" w:rsidP="00A358EC">
      <w:pPr>
        <w:pStyle w:val="ListParagraph"/>
        <w:numPr>
          <w:ilvl w:val="1"/>
          <w:numId w:val="1"/>
        </w:numPr>
        <w:rPr>
          <w:rFonts w:ascii="Arial" w:hAnsi="Arial" w:cs="Arial"/>
          <w:sz w:val="24"/>
          <w:szCs w:val="24"/>
        </w:rPr>
      </w:pPr>
      <w:r w:rsidRPr="00A358EC">
        <w:rPr>
          <w:rFonts w:ascii="Arial" w:hAnsi="Arial" w:cs="Arial"/>
          <w:sz w:val="24"/>
          <w:szCs w:val="24"/>
        </w:rPr>
        <w:t>The purpose of the Tenancy Fraud Policy is to outline Medway Council</w:t>
      </w:r>
      <w:r w:rsidR="00725162">
        <w:rPr>
          <w:rFonts w:ascii="Arial" w:hAnsi="Arial" w:cs="Arial"/>
          <w:sz w:val="24"/>
          <w:szCs w:val="24"/>
        </w:rPr>
        <w:t>’</w:t>
      </w:r>
      <w:r w:rsidRPr="00A358EC">
        <w:rPr>
          <w:rFonts w:ascii="Arial" w:hAnsi="Arial" w:cs="Arial"/>
          <w:sz w:val="24"/>
          <w:szCs w:val="24"/>
        </w:rPr>
        <w:t xml:space="preserve">s approach to tackling social housing tenancy </w:t>
      </w:r>
      <w:proofErr w:type="gramStart"/>
      <w:r w:rsidRPr="00A358EC">
        <w:rPr>
          <w:rFonts w:ascii="Arial" w:hAnsi="Arial" w:cs="Arial"/>
          <w:sz w:val="24"/>
          <w:szCs w:val="24"/>
        </w:rPr>
        <w:t>fraud</w:t>
      </w:r>
      <w:proofErr w:type="gramEnd"/>
    </w:p>
    <w:p w14:paraId="76E16219" w14:textId="77777777" w:rsidR="00A358EC" w:rsidRPr="00A358EC" w:rsidRDefault="00A358EC" w:rsidP="00A358EC">
      <w:pPr>
        <w:pStyle w:val="ListParagraph"/>
        <w:numPr>
          <w:ilvl w:val="1"/>
          <w:numId w:val="1"/>
        </w:numPr>
        <w:rPr>
          <w:rFonts w:ascii="Arial" w:hAnsi="Arial" w:cs="Arial"/>
          <w:sz w:val="24"/>
          <w:szCs w:val="24"/>
        </w:rPr>
      </w:pPr>
      <w:r w:rsidRPr="00A358EC">
        <w:rPr>
          <w:rFonts w:ascii="Arial" w:hAnsi="Arial" w:cs="Arial"/>
          <w:sz w:val="24"/>
          <w:szCs w:val="24"/>
        </w:rPr>
        <w:t>This policy is specifically designed to:</w:t>
      </w:r>
    </w:p>
    <w:p w14:paraId="443C3545" w14:textId="7569F688" w:rsidR="00A358EC" w:rsidRPr="007635DE" w:rsidRDefault="00A358EC" w:rsidP="007635DE">
      <w:pPr>
        <w:pStyle w:val="ListParagraph"/>
        <w:numPr>
          <w:ilvl w:val="0"/>
          <w:numId w:val="4"/>
        </w:numPr>
        <w:suppressAutoHyphens/>
        <w:spacing w:after="0" w:line="240" w:lineRule="auto"/>
        <w:contextualSpacing w:val="0"/>
        <w:rPr>
          <w:rFonts w:ascii="Arial" w:hAnsi="Arial" w:cs="Arial"/>
          <w:sz w:val="24"/>
          <w:szCs w:val="24"/>
        </w:rPr>
      </w:pPr>
      <w:r w:rsidRPr="00A358EC">
        <w:rPr>
          <w:rFonts w:ascii="Arial" w:hAnsi="Arial" w:cs="Arial"/>
          <w:sz w:val="24"/>
          <w:szCs w:val="24"/>
        </w:rPr>
        <w:t>Ensure the fair allocation of the council’s social housing stock to those with the greatest need.</w:t>
      </w:r>
    </w:p>
    <w:p w14:paraId="54D4756D" w14:textId="77777777" w:rsidR="00A358EC" w:rsidRPr="00A358EC" w:rsidRDefault="00A358EC" w:rsidP="00A358EC">
      <w:pPr>
        <w:pStyle w:val="ListParagraph"/>
        <w:numPr>
          <w:ilvl w:val="0"/>
          <w:numId w:val="4"/>
        </w:numPr>
        <w:suppressAutoHyphens/>
        <w:spacing w:after="0" w:line="240" w:lineRule="auto"/>
        <w:contextualSpacing w:val="0"/>
        <w:rPr>
          <w:rFonts w:ascii="Arial" w:hAnsi="Arial" w:cs="Arial"/>
          <w:sz w:val="24"/>
          <w:szCs w:val="24"/>
        </w:rPr>
      </w:pPr>
      <w:r w:rsidRPr="00A358EC">
        <w:rPr>
          <w:rFonts w:ascii="Arial" w:hAnsi="Arial" w:cs="Arial"/>
          <w:sz w:val="24"/>
          <w:szCs w:val="24"/>
        </w:rPr>
        <w:t>Deter people from trying to commit tenancy fraud.</w:t>
      </w:r>
    </w:p>
    <w:p w14:paraId="75A9BCDF" w14:textId="77777777" w:rsidR="00A358EC" w:rsidRPr="00A358EC" w:rsidRDefault="00A358EC" w:rsidP="00A358EC">
      <w:pPr>
        <w:pStyle w:val="ListParagraph"/>
        <w:numPr>
          <w:ilvl w:val="0"/>
          <w:numId w:val="4"/>
        </w:numPr>
        <w:suppressAutoHyphens/>
        <w:spacing w:after="0" w:line="240" w:lineRule="auto"/>
        <w:contextualSpacing w:val="0"/>
        <w:rPr>
          <w:rFonts w:ascii="Arial" w:hAnsi="Arial" w:cs="Arial"/>
          <w:sz w:val="24"/>
          <w:szCs w:val="24"/>
        </w:rPr>
      </w:pPr>
      <w:r w:rsidRPr="00A358EC">
        <w:rPr>
          <w:rFonts w:ascii="Arial" w:hAnsi="Arial" w:cs="Arial"/>
          <w:sz w:val="24"/>
          <w:szCs w:val="24"/>
        </w:rPr>
        <w:t>Raise awareness of social housing tenancy fraud amongst staff and tenants.</w:t>
      </w:r>
    </w:p>
    <w:p w14:paraId="0BBFB4E5" w14:textId="77777777" w:rsidR="00A358EC" w:rsidRPr="00A358EC" w:rsidRDefault="00A358EC" w:rsidP="00A358EC">
      <w:pPr>
        <w:pStyle w:val="ListParagraph"/>
        <w:numPr>
          <w:ilvl w:val="0"/>
          <w:numId w:val="4"/>
        </w:numPr>
        <w:suppressAutoHyphens/>
        <w:spacing w:after="0" w:line="240" w:lineRule="auto"/>
        <w:contextualSpacing w:val="0"/>
        <w:rPr>
          <w:rFonts w:ascii="Arial" w:hAnsi="Arial" w:cs="Arial"/>
          <w:sz w:val="24"/>
          <w:szCs w:val="24"/>
        </w:rPr>
      </w:pPr>
      <w:r w:rsidRPr="00A358EC">
        <w:rPr>
          <w:rFonts w:ascii="Arial" w:hAnsi="Arial" w:cs="Arial"/>
          <w:sz w:val="24"/>
          <w:szCs w:val="24"/>
        </w:rPr>
        <w:t>Recover fraudulently obtained property or property that has been abandoned, passed on or illegally sub-let.</w:t>
      </w:r>
    </w:p>
    <w:p w14:paraId="548B6EA9" w14:textId="77777777" w:rsidR="00A358EC" w:rsidRPr="00A358EC" w:rsidRDefault="00A358EC" w:rsidP="00A358EC">
      <w:pPr>
        <w:pStyle w:val="ListParagraph"/>
        <w:numPr>
          <w:ilvl w:val="0"/>
          <w:numId w:val="4"/>
        </w:numPr>
        <w:suppressAutoHyphens/>
        <w:spacing w:after="0" w:line="240" w:lineRule="auto"/>
        <w:contextualSpacing w:val="0"/>
        <w:rPr>
          <w:rFonts w:ascii="Arial" w:hAnsi="Arial" w:cs="Arial"/>
          <w:sz w:val="24"/>
          <w:szCs w:val="24"/>
        </w:rPr>
      </w:pPr>
      <w:r w:rsidRPr="00A358EC">
        <w:rPr>
          <w:rFonts w:ascii="Arial" w:hAnsi="Arial" w:cs="Arial"/>
          <w:sz w:val="24"/>
          <w:szCs w:val="24"/>
        </w:rPr>
        <w:t>Prevent abuse of the right to buy scheme.</w:t>
      </w:r>
    </w:p>
    <w:p w14:paraId="04212F73" w14:textId="77777777" w:rsidR="00A358EC" w:rsidRPr="00A358EC" w:rsidRDefault="00A358EC" w:rsidP="00A358EC">
      <w:pPr>
        <w:pStyle w:val="ListParagraph"/>
        <w:numPr>
          <w:ilvl w:val="0"/>
          <w:numId w:val="4"/>
        </w:numPr>
        <w:suppressAutoHyphens/>
        <w:spacing w:after="0" w:line="240" w:lineRule="auto"/>
        <w:contextualSpacing w:val="0"/>
        <w:rPr>
          <w:rFonts w:ascii="Arial" w:hAnsi="Arial" w:cs="Arial"/>
          <w:sz w:val="24"/>
          <w:szCs w:val="24"/>
        </w:rPr>
      </w:pPr>
      <w:r w:rsidRPr="00A358EC">
        <w:rPr>
          <w:rFonts w:ascii="Arial" w:hAnsi="Arial" w:cs="Arial"/>
          <w:sz w:val="24"/>
          <w:szCs w:val="24"/>
        </w:rPr>
        <w:t>Outline the actions taken against people who commit tenancy fraud.</w:t>
      </w:r>
    </w:p>
    <w:p w14:paraId="08261164" w14:textId="77777777" w:rsidR="00AA150F" w:rsidRPr="00AA150F" w:rsidRDefault="00AA150F" w:rsidP="00AA150F">
      <w:pPr>
        <w:pStyle w:val="ListParagraph"/>
      </w:pPr>
    </w:p>
    <w:p w14:paraId="3775EF2A" w14:textId="77777777" w:rsidR="00AA150F" w:rsidRDefault="00AA150F" w:rsidP="00AA150F">
      <w:pPr>
        <w:pStyle w:val="Heading1"/>
        <w:numPr>
          <w:ilvl w:val="0"/>
          <w:numId w:val="1"/>
        </w:numPr>
      </w:pPr>
      <w:r>
        <w:t>Scope</w:t>
      </w:r>
    </w:p>
    <w:p w14:paraId="4264DCD3" w14:textId="46461A24" w:rsidR="00AA150F" w:rsidRPr="00A358EC" w:rsidRDefault="00A358EC" w:rsidP="00A358EC">
      <w:pPr>
        <w:pStyle w:val="ListParagraph"/>
        <w:numPr>
          <w:ilvl w:val="1"/>
          <w:numId w:val="1"/>
        </w:numPr>
        <w:suppressAutoHyphens/>
        <w:spacing w:after="0" w:line="240" w:lineRule="auto"/>
        <w:contextualSpacing w:val="0"/>
        <w:rPr>
          <w:rFonts w:ascii="Arial" w:hAnsi="Arial" w:cs="Arial"/>
          <w:sz w:val="24"/>
          <w:szCs w:val="24"/>
        </w:rPr>
      </w:pPr>
      <w:r w:rsidRPr="00D944D8">
        <w:rPr>
          <w:rFonts w:ascii="Arial" w:hAnsi="Arial" w:cs="Arial"/>
          <w:sz w:val="24"/>
          <w:szCs w:val="24"/>
        </w:rPr>
        <w:t xml:space="preserve">This policy extends to </w:t>
      </w:r>
      <w:r w:rsidR="00725162" w:rsidRPr="00D944D8">
        <w:rPr>
          <w:rFonts w:ascii="Arial" w:hAnsi="Arial" w:cs="Arial"/>
          <w:sz w:val="24"/>
          <w:szCs w:val="24"/>
        </w:rPr>
        <w:t>all</w:t>
      </w:r>
      <w:r w:rsidRPr="00D944D8">
        <w:rPr>
          <w:rFonts w:ascii="Arial" w:hAnsi="Arial" w:cs="Arial"/>
          <w:sz w:val="24"/>
          <w:szCs w:val="24"/>
        </w:rPr>
        <w:t xml:space="preserve"> the council’s housing stock, its occupiers, the relevant council </w:t>
      </w:r>
      <w:r>
        <w:rPr>
          <w:rFonts w:ascii="Arial" w:hAnsi="Arial" w:cs="Arial"/>
          <w:sz w:val="24"/>
          <w:szCs w:val="24"/>
        </w:rPr>
        <w:t xml:space="preserve">services </w:t>
      </w:r>
      <w:r w:rsidRPr="00D944D8">
        <w:rPr>
          <w:rFonts w:ascii="Arial" w:hAnsi="Arial" w:cs="Arial"/>
          <w:sz w:val="24"/>
          <w:szCs w:val="24"/>
        </w:rPr>
        <w:t>including Housing and Legal Service</w:t>
      </w:r>
      <w:r>
        <w:rPr>
          <w:rFonts w:ascii="Arial" w:hAnsi="Arial" w:cs="Arial"/>
          <w:sz w:val="24"/>
          <w:szCs w:val="24"/>
        </w:rPr>
        <w:t>s, the Audit and Counter</w:t>
      </w:r>
      <w:r w:rsidRPr="00D944D8">
        <w:rPr>
          <w:rFonts w:ascii="Arial" w:hAnsi="Arial" w:cs="Arial"/>
          <w:sz w:val="24"/>
          <w:szCs w:val="24"/>
        </w:rPr>
        <w:t xml:space="preserve"> Fraud Team and the council’s partners.</w:t>
      </w:r>
    </w:p>
    <w:p w14:paraId="327857D4" w14:textId="77777777" w:rsidR="00AA150F" w:rsidRDefault="00AA150F" w:rsidP="00AA150F">
      <w:pPr>
        <w:pStyle w:val="Heading1"/>
        <w:numPr>
          <w:ilvl w:val="0"/>
          <w:numId w:val="1"/>
        </w:numPr>
      </w:pPr>
      <w:r>
        <w:t>Legislation and Guidance</w:t>
      </w:r>
    </w:p>
    <w:p w14:paraId="4DCE3D4D" w14:textId="77777777" w:rsidR="00A358EC" w:rsidRPr="00CC5263" w:rsidRDefault="00A358EC" w:rsidP="00A358EC">
      <w:pPr>
        <w:pStyle w:val="ListParagraph"/>
        <w:numPr>
          <w:ilvl w:val="1"/>
          <w:numId w:val="3"/>
        </w:numPr>
        <w:tabs>
          <w:tab w:val="clear" w:pos="740"/>
          <w:tab w:val="num" w:pos="567"/>
        </w:tabs>
        <w:suppressAutoHyphens/>
        <w:spacing w:after="0" w:line="240" w:lineRule="auto"/>
        <w:ind w:left="567" w:hanging="567"/>
        <w:contextualSpacing w:val="0"/>
        <w:rPr>
          <w:rFonts w:ascii="Arial" w:hAnsi="Arial" w:cs="Arial"/>
          <w:b/>
          <w:sz w:val="24"/>
          <w:szCs w:val="24"/>
        </w:rPr>
      </w:pPr>
      <w:r w:rsidRPr="00CC5263">
        <w:rPr>
          <w:rFonts w:ascii="Arial" w:hAnsi="Arial" w:cs="Arial"/>
          <w:b/>
          <w:sz w:val="24"/>
          <w:szCs w:val="24"/>
        </w:rPr>
        <w:t>External</w:t>
      </w:r>
    </w:p>
    <w:p w14:paraId="7C129247"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Chartered Institute of Housing; How to tackle tenancy fraud (2012)</w:t>
      </w:r>
    </w:p>
    <w:p w14:paraId="6F82AFCA"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Chartered Institute of Housing; How to prevent right to buy and right to acquire fraud (2013)</w:t>
      </w:r>
    </w:p>
    <w:p w14:paraId="039EDE49"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Prevention of Social Housing Fraud Act 2013;</w:t>
      </w:r>
    </w:p>
    <w:p w14:paraId="00C23A6A"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Housing Act 1985;</w:t>
      </w:r>
    </w:p>
    <w:p w14:paraId="3647A836"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Housing Act 1996 s.171 and s.214</w:t>
      </w:r>
    </w:p>
    <w:p w14:paraId="760CDFD4"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Human Rights Act 1998 and the European Convention on Human Rights</w:t>
      </w:r>
    </w:p>
    <w:p w14:paraId="66F3C6DE"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Regulation of Investigatory Powers Act 2000</w:t>
      </w:r>
    </w:p>
    <w:p w14:paraId="3121206B" w14:textId="645016D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 xml:space="preserve">Data Protection Act </w:t>
      </w:r>
      <w:r w:rsidR="005614ED">
        <w:rPr>
          <w:rFonts w:ascii="Arial" w:hAnsi="Arial" w:cs="Arial"/>
          <w:sz w:val="24"/>
          <w:szCs w:val="24"/>
        </w:rPr>
        <w:t>2018</w:t>
      </w:r>
      <w:r w:rsidRPr="009C5BED">
        <w:rPr>
          <w:rFonts w:ascii="Arial" w:hAnsi="Arial" w:cs="Arial"/>
          <w:sz w:val="24"/>
          <w:szCs w:val="24"/>
        </w:rPr>
        <w:t>;</w:t>
      </w:r>
    </w:p>
    <w:p w14:paraId="5EE586AE"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Law of Property Act 1925;</w:t>
      </w:r>
    </w:p>
    <w:p w14:paraId="266CAAF0"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The Fraud Act 2006;</w:t>
      </w:r>
    </w:p>
    <w:p w14:paraId="31E677FB"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The Proceeds of Crime Act 2002</w:t>
      </w:r>
    </w:p>
    <w:p w14:paraId="719593E6"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The Local Government Counter Fraud and Corruption Strategy 2019 -2019</w:t>
      </w:r>
    </w:p>
    <w:p w14:paraId="1257D5D8" w14:textId="77777777" w:rsidR="00A358EC" w:rsidRPr="009C5BED" w:rsidRDefault="00A358EC" w:rsidP="00A358EC">
      <w:pPr>
        <w:pStyle w:val="ListParagraph"/>
        <w:numPr>
          <w:ilvl w:val="0"/>
          <w:numId w:val="5"/>
        </w:numPr>
        <w:suppressAutoHyphens/>
        <w:spacing w:after="0" w:line="240" w:lineRule="auto"/>
        <w:contextualSpacing w:val="0"/>
        <w:rPr>
          <w:rFonts w:ascii="Arial" w:hAnsi="Arial" w:cs="Arial"/>
          <w:sz w:val="24"/>
          <w:szCs w:val="24"/>
        </w:rPr>
      </w:pPr>
      <w:r w:rsidRPr="009C5BED">
        <w:rPr>
          <w:rFonts w:ascii="Arial" w:hAnsi="Arial" w:cs="Arial"/>
          <w:sz w:val="24"/>
          <w:szCs w:val="24"/>
        </w:rPr>
        <w:t>The Localism Act 2011</w:t>
      </w:r>
    </w:p>
    <w:p w14:paraId="4EB3798A" w14:textId="77777777" w:rsidR="00A358EC" w:rsidRPr="00CC5263" w:rsidRDefault="00A358EC" w:rsidP="00A358EC">
      <w:pPr>
        <w:pStyle w:val="ListParagraph"/>
        <w:numPr>
          <w:ilvl w:val="1"/>
          <w:numId w:val="3"/>
        </w:numPr>
        <w:tabs>
          <w:tab w:val="clear" w:pos="740"/>
          <w:tab w:val="num" w:pos="567"/>
        </w:tabs>
        <w:suppressAutoHyphens/>
        <w:spacing w:after="0" w:line="240" w:lineRule="auto"/>
        <w:ind w:left="567" w:hanging="567"/>
        <w:contextualSpacing w:val="0"/>
        <w:rPr>
          <w:rFonts w:ascii="Arial" w:hAnsi="Arial" w:cs="Arial"/>
          <w:b/>
          <w:sz w:val="24"/>
          <w:szCs w:val="24"/>
        </w:rPr>
      </w:pPr>
      <w:r w:rsidRPr="00CC5263">
        <w:rPr>
          <w:rFonts w:ascii="Arial" w:hAnsi="Arial" w:cs="Arial"/>
          <w:b/>
          <w:sz w:val="24"/>
          <w:szCs w:val="24"/>
        </w:rPr>
        <w:lastRenderedPageBreak/>
        <w:t>Internal</w:t>
      </w:r>
    </w:p>
    <w:p w14:paraId="564A7434" w14:textId="77777777" w:rsidR="00A358EC" w:rsidRPr="009C5BED" w:rsidRDefault="00A358EC" w:rsidP="00A358EC">
      <w:pPr>
        <w:pStyle w:val="ListParagraph"/>
        <w:numPr>
          <w:ilvl w:val="0"/>
          <w:numId w:val="6"/>
        </w:numPr>
        <w:suppressAutoHyphens/>
        <w:spacing w:after="0" w:line="240" w:lineRule="auto"/>
        <w:contextualSpacing w:val="0"/>
        <w:rPr>
          <w:rFonts w:ascii="Arial" w:hAnsi="Arial" w:cs="Arial"/>
          <w:sz w:val="24"/>
          <w:szCs w:val="24"/>
        </w:rPr>
      </w:pPr>
      <w:r w:rsidRPr="009C5BED">
        <w:rPr>
          <w:rFonts w:ascii="Arial" w:hAnsi="Arial" w:cs="Arial"/>
          <w:sz w:val="24"/>
          <w:szCs w:val="24"/>
        </w:rPr>
        <w:t>Medway Council Tenancy Agreement(s)</w:t>
      </w:r>
    </w:p>
    <w:p w14:paraId="0158DD44" w14:textId="6F8914BD" w:rsidR="00A358EC" w:rsidRDefault="00A358EC" w:rsidP="00A358EC">
      <w:pPr>
        <w:pStyle w:val="ListParagraph"/>
        <w:numPr>
          <w:ilvl w:val="0"/>
          <w:numId w:val="6"/>
        </w:numPr>
        <w:suppressAutoHyphens/>
        <w:spacing w:after="0" w:line="240" w:lineRule="auto"/>
        <w:contextualSpacing w:val="0"/>
        <w:rPr>
          <w:rFonts w:ascii="Arial" w:hAnsi="Arial" w:cs="Arial"/>
          <w:sz w:val="24"/>
          <w:szCs w:val="24"/>
        </w:rPr>
      </w:pPr>
      <w:r w:rsidRPr="009C5BED">
        <w:rPr>
          <w:rFonts w:ascii="Arial" w:hAnsi="Arial" w:cs="Arial"/>
          <w:sz w:val="24"/>
          <w:szCs w:val="24"/>
        </w:rPr>
        <w:t xml:space="preserve">Medway Council </w:t>
      </w:r>
      <w:r w:rsidR="005614ED" w:rsidRPr="009C5BED">
        <w:rPr>
          <w:rFonts w:ascii="Arial" w:hAnsi="Arial" w:cs="Arial"/>
          <w:sz w:val="24"/>
          <w:szCs w:val="24"/>
        </w:rPr>
        <w:t>Anti-Fraud</w:t>
      </w:r>
      <w:r w:rsidRPr="009C5BED">
        <w:rPr>
          <w:rFonts w:ascii="Arial" w:hAnsi="Arial" w:cs="Arial"/>
          <w:sz w:val="24"/>
          <w:szCs w:val="24"/>
        </w:rPr>
        <w:t xml:space="preserve"> and Corruption Policy</w:t>
      </w:r>
    </w:p>
    <w:p w14:paraId="323500C8" w14:textId="0FB7A162" w:rsidR="00CB72F8" w:rsidRPr="009C5BED" w:rsidRDefault="00CB72F8" w:rsidP="00A358EC">
      <w:pPr>
        <w:pStyle w:val="ListParagraph"/>
        <w:numPr>
          <w:ilvl w:val="0"/>
          <w:numId w:val="6"/>
        </w:numPr>
        <w:suppressAutoHyphens/>
        <w:spacing w:after="0" w:line="240" w:lineRule="auto"/>
        <w:contextualSpacing w:val="0"/>
        <w:rPr>
          <w:rFonts w:ascii="Arial" w:hAnsi="Arial" w:cs="Arial"/>
          <w:sz w:val="24"/>
          <w:szCs w:val="24"/>
        </w:rPr>
      </w:pPr>
      <w:r>
        <w:rPr>
          <w:rFonts w:ascii="Arial" w:hAnsi="Arial" w:cs="Arial"/>
          <w:sz w:val="24"/>
          <w:szCs w:val="24"/>
        </w:rPr>
        <w:t>Landlord Services Succession Policy</w:t>
      </w:r>
    </w:p>
    <w:p w14:paraId="492D1C2B" w14:textId="77777777" w:rsidR="00AA150F" w:rsidRDefault="00AA150F" w:rsidP="00AA150F">
      <w:pPr>
        <w:pStyle w:val="Heading1"/>
        <w:numPr>
          <w:ilvl w:val="0"/>
          <w:numId w:val="1"/>
        </w:numPr>
      </w:pPr>
      <w:r>
        <w:t>Policy</w:t>
      </w:r>
    </w:p>
    <w:p w14:paraId="629E8CBD" w14:textId="77777777" w:rsidR="00A358EC" w:rsidRPr="00A358EC" w:rsidRDefault="00A358EC" w:rsidP="00A358EC">
      <w:pPr>
        <w:pStyle w:val="Heading2"/>
      </w:pPr>
      <w:r w:rsidRPr="00A358EC">
        <w:t>Types of Housing /Tenancy Fraud</w:t>
      </w:r>
    </w:p>
    <w:p w14:paraId="778A2245" w14:textId="77777777" w:rsidR="00A358EC" w:rsidRPr="00725162" w:rsidRDefault="00A358EC" w:rsidP="00A358EC">
      <w:pPr>
        <w:pStyle w:val="Heading3"/>
        <w:rPr>
          <w:sz w:val="26"/>
          <w:szCs w:val="26"/>
        </w:rPr>
      </w:pPr>
      <w:r w:rsidRPr="00725162">
        <w:rPr>
          <w:sz w:val="26"/>
          <w:szCs w:val="26"/>
        </w:rPr>
        <w:t>5.1 False Applications for Housing</w:t>
      </w:r>
    </w:p>
    <w:p w14:paraId="0951BBB0" w14:textId="77777777" w:rsidR="00A358EC" w:rsidRPr="009C5BED" w:rsidRDefault="00A358EC" w:rsidP="00A358EC">
      <w:pPr>
        <w:pStyle w:val="ListParagraph"/>
        <w:numPr>
          <w:ilvl w:val="0"/>
          <w:numId w:val="7"/>
        </w:numPr>
        <w:suppressAutoHyphens/>
        <w:spacing w:after="0" w:line="240" w:lineRule="auto"/>
        <w:contextualSpacing w:val="0"/>
        <w:rPr>
          <w:rFonts w:ascii="Arial" w:hAnsi="Arial" w:cs="Arial"/>
          <w:sz w:val="24"/>
          <w:szCs w:val="24"/>
        </w:rPr>
      </w:pPr>
      <w:r w:rsidRPr="009C5BED">
        <w:rPr>
          <w:rFonts w:ascii="Arial" w:hAnsi="Arial" w:cs="Arial"/>
          <w:sz w:val="24"/>
          <w:szCs w:val="24"/>
        </w:rPr>
        <w:t>This type of fraud involves the submission of an application for housing containing false or misleading information, which includes the omission of relevant facts, with the intention of increasing eligibility to enter the housing register or to provide an increased priority over those already on the waiting list.</w:t>
      </w:r>
    </w:p>
    <w:p w14:paraId="1F9A03EA" w14:textId="77777777" w:rsidR="00A358EC" w:rsidRPr="00CE33F2" w:rsidRDefault="00A358EC" w:rsidP="00A358EC">
      <w:pPr>
        <w:pStyle w:val="ListParagraph"/>
        <w:ind w:left="740"/>
        <w:rPr>
          <w:rFonts w:ascii="Arial" w:hAnsi="Arial" w:cs="Arial"/>
          <w:sz w:val="16"/>
          <w:szCs w:val="24"/>
        </w:rPr>
      </w:pPr>
    </w:p>
    <w:p w14:paraId="7294EB97" w14:textId="77777777" w:rsidR="00A358EC" w:rsidRPr="00D944D8" w:rsidRDefault="00A358EC" w:rsidP="00A358EC">
      <w:pPr>
        <w:pStyle w:val="ListParagraph"/>
        <w:numPr>
          <w:ilvl w:val="0"/>
          <w:numId w:val="7"/>
        </w:numPr>
        <w:suppressAutoHyphens/>
        <w:spacing w:after="0" w:line="240" w:lineRule="auto"/>
        <w:contextualSpacing w:val="0"/>
        <w:rPr>
          <w:rFonts w:ascii="Arial" w:hAnsi="Arial" w:cs="Arial"/>
          <w:sz w:val="24"/>
          <w:szCs w:val="24"/>
        </w:rPr>
      </w:pPr>
      <w:r w:rsidRPr="00D944D8">
        <w:rPr>
          <w:rFonts w:ascii="Arial" w:hAnsi="Arial" w:cs="Arial"/>
          <w:sz w:val="24"/>
          <w:szCs w:val="24"/>
        </w:rPr>
        <w:t>Examples include failure to declare an existing tenancy, either privately rented or other social housing, falsely claiming to be disabled, giving false information about the number of occupants to increase eligibility or the size of a property to be allocated or falsely claiming to be homeless to qualify for temporary housing.</w:t>
      </w:r>
    </w:p>
    <w:p w14:paraId="561EF9EA" w14:textId="77777777" w:rsidR="00A358EC" w:rsidRPr="00CE33F2" w:rsidRDefault="00A358EC" w:rsidP="00A358EC">
      <w:pPr>
        <w:pStyle w:val="ListParagraph"/>
        <w:ind w:left="740"/>
        <w:rPr>
          <w:rFonts w:ascii="Arial" w:hAnsi="Arial" w:cs="Arial"/>
          <w:sz w:val="16"/>
          <w:szCs w:val="24"/>
        </w:rPr>
      </w:pPr>
    </w:p>
    <w:p w14:paraId="7D665BCC" w14:textId="77777777" w:rsidR="00A358EC" w:rsidRPr="009C5BED" w:rsidRDefault="00A358EC" w:rsidP="00A358EC">
      <w:pPr>
        <w:pStyle w:val="ListParagraph"/>
        <w:numPr>
          <w:ilvl w:val="0"/>
          <w:numId w:val="7"/>
        </w:numPr>
        <w:suppressAutoHyphens/>
        <w:spacing w:after="0" w:line="240" w:lineRule="auto"/>
        <w:contextualSpacing w:val="0"/>
        <w:rPr>
          <w:rFonts w:ascii="Arial" w:hAnsi="Arial" w:cs="Arial"/>
          <w:sz w:val="24"/>
          <w:szCs w:val="24"/>
        </w:rPr>
      </w:pPr>
      <w:r w:rsidRPr="009C5BED">
        <w:rPr>
          <w:rFonts w:ascii="Arial" w:hAnsi="Arial" w:cs="Arial"/>
          <w:sz w:val="24"/>
          <w:szCs w:val="24"/>
        </w:rPr>
        <w:t>Failure to report a change in circumstance that impacts on eligibility or priority would also constitute an offence in relation to the housing application.</w:t>
      </w:r>
    </w:p>
    <w:p w14:paraId="5ADCA07C" w14:textId="77777777" w:rsidR="00A358EC" w:rsidRPr="00CE33F2" w:rsidRDefault="00A358EC" w:rsidP="00A358EC">
      <w:pPr>
        <w:pStyle w:val="ListParagraph"/>
        <w:rPr>
          <w:rFonts w:ascii="Arial" w:hAnsi="Arial" w:cs="Arial"/>
          <w:sz w:val="16"/>
          <w:szCs w:val="24"/>
        </w:rPr>
      </w:pPr>
    </w:p>
    <w:p w14:paraId="5D05AD28" w14:textId="77777777" w:rsidR="00A358EC" w:rsidRPr="00725162" w:rsidRDefault="00A358EC" w:rsidP="00A358EC">
      <w:pPr>
        <w:pStyle w:val="Heading3"/>
        <w:rPr>
          <w:sz w:val="26"/>
          <w:szCs w:val="26"/>
        </w:rPr>
      </w:pPr>
      <w:r w:rsidRPr="00725162">
        <w:rPr>
          <w:sz w:val="26"/>
          <w:szCs w:val="26"/>
        </w:rPr>
        <w:t>5.2 False claims for Succession</w:t>
      </w:r>
    </w:p>
    <w:p w14:paraId="3DD0B7E4" w14:textId="258F76F1" w:rsidR="00A358EC" w:rsidRPr="009C5BED" w:rsidRDefault="00A358EC" w:rsidP="00A358EC">
      <w:pPr>
        <w:pStyle w:val="ListParagraph"/>
        <w:numPr>
          <w:ilvl w:val="0"/>
          <w:numId w:val="8"/>
        </w:numPr>
        <w:suppressAutoHyphens/>
        <w:spacing w:after="0" w:line="240" w:lineRule="auto"/>
        <w:contextualSpacing w:val="0"/>
        <w:rPr>
          <w:rFonts w:ascii="Arial" w:hAnsi="Arial" w:cs="Arial"/>
          <w:sz w:val="24"/>
          <w:szCs w:val="24"/>
        </w:rPr>
      </w:pPr>
      <w:r w:rsidRPr="009C5BED">
        <w:rPr>
          <w:rFonts w:ascii="Arial" w:hAnsi="Arial" w:cs="Arial"/>
          <w:sz w:val="24"/>
          <w:szCs w:val="24"/>
        </w:rPr>
        <w:t xml:space="preserve">Tenancy successions </w:t>
      </w:r>
      <w:r w:rsidR="00CB72F8">
        <w:rPr>
          <w:rFonts w:ascii="Arial" w:hAnsi="Arial" w:cs="Arial"/>
          <w:sz w:val="24"/>
          <w:szCs w:val="24"/>
        </w:rPr>
        <w:t>are subject t</w:t>
      </w:r>
      <w:r w:rsidR="000216EF">
        <w:rPr>
          <w:rFonts w:ascii="Arial" w:hAnsi="Arial" w:cs="Arial"/>
          <w:sz w:val="24"/>
          <w:szCs w:val="24"/>
        </w:rPr>
        <w:t>o the type of tenancy held, and</w:t>
      </w:r>
      <w:r w:rsidR="00CB72F8">
        <w:rPr>
          <w:rFonts w:ascii="Arial" w:hAnsi="Arial" w:cs="Arial"/>
          <w:sz w:val="24"/>
          <w:szCs w:val="24"/>
        </w:rPr>
        <w:t xml:space="preserve"> where</w:t>
      </w:r>
      <w:r w:rsidR="000216EF">
        <w:rPr>
          <w:rFonts w:ascii="Arial" w:hAnsi="Arial" w:cs="Arial"/>
          <w:sz w:val="24"/>
          <w:szCs w:val="24"/>
        </w:rPr>
        <w:t xml:space="preserve"> certain criteria have been met.</w:t>
      </w:r>
      <w:r w:rsidRPr="009C5BED">
        <w:rPr>
          <w:rFonts w:ascii="Arial" w:hAnsi="Arial" w:cs="Arial"/>
          <w:sz w:val="24"/>
          <w:szCs w:val="24"/>
        </w:rPr>
        <w:t xml:space="preserve"> </w:t>
      </w:r>
      <w:r>
        <w:rPr>
          <w:rFonts w:ascii="Arial" w:hAnsi="Arial" w:cs="Arial"/>
          <w:sz w:val="24"/>
          <w:szCs w:val="24"/>
        </w:rPr>
        <w:t>Further information is detailed in the Succession Policy.</w:t>
      </w:r>
    </w:p>
    <w:p w14:paraId="0B2B6FF0" w14:textId="77777777" w:rsidR="00A358EC" w:rsidRPr="00CE33F2" w:rsidRDefault="00A358EC" w:rsidP="00A358EC">
      <w:pPr>
        <w:pStyle w:val="ListParagraph"/>
        <w:ind w:left="740"/>
        <w:rPr>
          <w:rFonts w:ascii="Arial" w:hAnsi="Arial" w:cs="Arial"/>
          <w:sz w:val="16"/>
          <w:szCs w:val="24"/>
        </w:rPr>
      </w:pPr>
    </w:p>
    <w:p w14:paraId="1C71EFF4" w14:textId="77777777" w:rsidR="00A358EC" w:rsidRPr="00D944D8" w:rsidRDefault="00A358EC" w:rsidP="00A358EC">
      <w:pPr>
        <w:pStyle w:val="ListParagraph"/>
        <w:numPr>
          <w:ilvl w:val="0"/>
          <w:numId w:val="8"/>
        </w:numPr>
        <w:suppressAutoHyphens/>
        <w:spacing w:after="0" w:line="240" w:lineRule="auto"/>
        <w:contextualSpacing w:val="0"/>
        <w:rPr>
          <w:rFonts w:ascii="Arial" w:hAnsi="Arial" w:cs="Arial"/>
          <w:sz w:val="24"/>
          <w:szCs w:val="24"/>
        </w:rPr>
      </w:pPr>
      <w:r w:rsidRPr="00D944D8">
        <w:rPr>
          <w:rFonts w:ascii="Arial" w:hAnsi="Arial" w:cs="Arial"/>
          <w:sz w:val="24"/>
          <w:szCs w:val="24"/>
        </w:rPr>
        <w:t xml:space="preserve">Fraudulent applications may be received from persons claiming to have been resident with the deceased tenant, when in fact they have been resident elsewhere or they fail to disclose relevant information that would make them ineligible for succession rights. </w:t>
      </w:r>
    </w:p>
    <w:p w14:paraId="5A0F2C18" w14:textId="77777777" w:rsidR="00A358EC" w:rsidRPr="00CE33F2" w:rsidRDefault="00A358EC" w:rsidP="00A358EC">
      <w:pPr>
        <w:pStyle w:val="ListParagraph"/>
        <w:rPr>
          <w:rFonts w:ascii="Arial" w:hAnsi="Arial" w:cs="Arial"/>
          <w:sz w:val="16"/>
          <w:szCs w:val="24"/>
        </w:rPr>
      </w:pPr>
    </w:p>
    <w:p w14:paraId="131B875D" w14:textId="77777777" w:rsidR="00A358EC" w:rsidRPr="00725162" w:rsidRDefault="00A358EC" w:rsidP="00A358EC">
      <w:pPr>
        <w:pStyle w:val="Heading3"/>
        <w:rPr>
          <w:sz w:val="26"/>
          <w:szCs w:val="26"/>
        </w:rPr>
      </w:pPr>
      <w:r w:rsidRPr="00725162">
        <w:rPr>
          <w:sz w:val="26"/>
          <w:szCs w:val="26"/>
        </w:rPr>
        <w:t>5.3 Key Selling</w:t>
      </w:r>
    </w:p>
    <w:p w14:paraId="73B9D7F5" w14:textId="307373A1" w:rsidR="00A358EC" w:rsidRPr="000216EF" w:rsidRDefault="00A358EC" w:rsidP="000216EF">
      <w:pPr>
        <w:pStyle w:val="ListParagraph"/>
        <w:widowControl w:val="0"/>
        <w:numPr>
          <w:ilvl w:val="0"/>
          <w:numId w:val="9"/>
        </w:numPr>
        <w:suppressAutoHyphens/>
        <w:spacing w:after="0" w:line="240" w:lineRule="auto"/>
        <w:contextualSpacing w:val="0"/>
        <w:rPr>
          <w:rFonts w:ascii="Arial" w:hAnsi="Arial" w:cs="Arial"/>
          <w:sz w:val="16"/>
          <w:szCs w:val="24"/>
        </w:rPr>
      </w:pPr>
      <w:r w:rsidRPr="00CB72F8">
        <w:rPr>
          <w:rFonts w:ascii="Arial" w:hAnsi="Arial" w:cs="Arial"/>
          <w:sz w:val="24"/>
          <w:szCs w:val="24"/>
        </w:rPr>
        <w:t>Key selling involves the tenant passing on their keys to another individual</w:t>
      </w:r>
      <w:r w:rsidR="00CB72F8">
        <w:rPr>
          <w:rFonts w:ascii="Arial" w:hAnsi="Arial" w:cs="Arial"/>
          <w:sz w:val="24"/>
          <w:szCs w:val="24"/>
        </w:rPr>
        <w:t>, usually</w:t>
      </w:r>
      <w:r w:rsidRPr="00CB72F8">
        <w:rPr>
          <w:rFonts w:ascii="Arial" w:hAnsi="Arial" w:cs="Arial"/>
          <w:sz w:val="24"/>
          <w:szCs w:val="24"/>
        </w:rPr>
        <w:t xml:space="preserve"> in return for a </w:t>
      </w:r>
      <w:r w:rsidR="00725162" w:rsidRPr="00CB72F8">
        <w:rPr>
          <w:rFonts w:ascii="Arial" w:hAnsi="Arial" w:cs="Arial"/>
          <w:sz w:val="24"/>
          <w:szCs w:val="24"/>
        </w:rPr>
        <w:t>one-off</w:t>
      </w:r>
      <w:r w:rsidRPr="00CB72F8">
        <w:rPr>
          <w:rFonts w:ascii="Arial" w:hAnsi="Arial" w:cs="Arial"/>
          <w:sz w:val="24"/>
          <w:szCs w:val="24"/>
        </w:rPr>
        <w:t xml:space="preserve"> payment. </w:t>
      </w:r>
    </w:p>
    <w:p w14:paraId="5EA4A6B8" w14:textId="77777777" w:rsidR="000216EF" w:rsidRPr="00CB72F8" w:rsidRDefault="000216EF" w:rsidP="000216EF">
      <w:pPr>
        <w:pStyle w:val="ListParagraph"/>
        <w:widowControl w:val="0"/>
        <w:suppressAutoHyphens/>
        <w:spacing w:after="0" w:line="240" w:lineRule="auto"/>
        <w:contextualSpacing w:val="0"/>
        <w:rPr>
          <w:rFonts w:ascii="Arial" w:hAnsi="Arial" w:cs="Arial"/>
          <w:sz w:val="16"/>
          <w:szCs w:val="24"/>
        </w:rPr>
      </w:pPr>
    </w:p>
    <w:p w14:paraId="3B9ECF82" w14:textId="77777777" w:rsidR="00A358EC" w:rsidRPr="00725162" w:rsidRDefault="00A358EC" w:rsidP="00A358EC">
      <w:pPr>
        <w:pStyle w:val="Heading3"/>
        <w:rPr>
          <w:sz w:val="26"/>
          <w:szCs w:val="26"/>
        </w:rPr>
      </w:pPr>
      <w:r w:rsidRPr="00725162">
        <w:rPr>
          <w:sz w:val="26"/>
          <w:szCs w:val="26"/>
        </w:rPr>
        <w:t>5.4 Subletting, Parting with Possession or Non-Occupation</w:t>
      </w:r>
    </w:p>
    <w:p w14:paraId="435FB54B" w14:textId="46C24FE9" w:rsidR="00A358EC" w:rsidRPr="00725162" w:rsidRDefault="00A358EC" w:rsidP="00DA7500">
      <w:pPr>
        <w:pStyle w:val="ListParagraph"/>
        <w:widowControl w:val="0"/>
        <w:numPr>
          <w:ilvl w:val="0"/>
          <w:numId w:val="9"/>
        </w:numPr>
        <w:suppressAutoHyphens/>
        <w:spacing w:after="0" w:line="240" w:lineRule="auto"/>
        <w:ind w:left="740"/>
        <w:contextualSpacing w:val="0"/>
        <w:rPr>
          <w:rFonts w:ascii="Arial" w:hAnsi="Arial" w:cs="Arial"/>
          <w:sz w:val="16"/>
          <w:szCs w:val="24"/>
        </w:rPr>
      </w:pPr>
      <w:r w:rsidRPr="00725162">
        <w:rPr>
          <w:rFonts w:ascii="Arial" w:hAnsi="Arial" w:cs="Arial"/>
          <w:sz w:val="24"/>
          <w:szCs w:val="24"/>
        </w:rPr>
        <w:t>Under the terms and conditions of a council tenancy</w:t>
      </w:r>
      <w:r w:rsidR="00725162" w:rsidRPr="00725162">
        <w:rPr>
          <w:rFonts w:ascii="Arial" w:hAnsi="Arial" w:cs="Arial"/>
          <w:sz w:val="24"/>
          <w:szCs w:val="24"/>
        </w:rPr>
        <w:t>,</w:t>
      </w:r>
      <w:r w:rsidRPr="00725162">
        <w:rPr>
          <w:rFonts w:ascii="Arial" w:hAnsi="Arial" w:cs="Arial"/>
          <w:sz w:val="24"/>
          <w:szCs w:val="24"/>
        </w:rPr>
        <w:t xml:space="preserve"> the tenant must reside in the property as their principal </w:t>
      </w:r>
      <w:proofErr w:type="gramStart"/>
      <w:r w:rsidRPr="00725162">
        <w:rPr>
          <w:rFonts w:ascii="Arial" w:hAnsi="Arial" w:cs="Arial"/>
          <w:sz w:val="24"/>
          <w:szCs w:val="24"/>
        </w:rPr>
        <w:t>home</w:t>
      </w:r>
      <w:proofErr w:type="gramEnd"/>
    </w:p>
    <w:p w14:paraId="49BAE13A" w14:textId="5E1CC5C1" w:rsidR="00A358EC" w:rsidRPr="009A438F" w:rsidRDefault="00A358EC" w:rsidP="00A358EC">
      <w:pPr>
        <w:pStyle w:val="ListParagraph"/>
        <w:widowControl w:val="0"/>
        <w:numPr>
          <w:ilvl w:val="0"/>
          <w:numId w:val="9"/>
        </w:numPr>
        <w:suppressAutoHyphens/>
        <w:spacing w:after="0" w:line="240" w:lineRule="auto"/>
        <w:contextualSpacing w:val="0"/>
        <w:rPr>
          <w:rFonts w:ascii="Arial" w:hAnsi="Arial" w:cs="Arial"/>
          <w:sz w:val="24"/>
          <w:szCs w:val="24"/>
        </w:rPr>
      </w:pPr>
      <w:r w:rsidRPr="009A438F">
        <w:rPr>
          <w:rFonts w:ascii="Arial" w:hAnsi="Arial" w:cs="Arial"/>
          <w:sz w:val="24"/>
          <w:szCs w:val="24"/>
        </w:rPr>
        <w:t>Subletting the entire property to another individual</w:t>
      </w:r>
      <w:r w:rsidR="00725162">
        <w:rPr>
          <w:rFonts w:ascii="Arial" w:hAnsi="Arial" w:cs="Arial"/>
          <w:sz w:val="24"/>
          <w:szCs w:val="24"/>
        </w:rPr>
        <w:t xml:space="preserve">, </w:t>
      </w:r>
      <w:r w:rsidRPr="009A438F">
        <w:rPr>
          <w:rFonts w:ascii="Arial" w:hAnsi="Arial" w:cs="Arial"/>
          <w:sz w:val="24"/>
          <w:szCs w:val="24"/>
        </w:rPr>
        <w:t>individuals, or moving out and leaving someone else in occupation is not permitted and is a criminal offence. Tenants who sub-let a property often continue to pay rent to the council while letting the property at a much higher level on the private rental market, making significant financial gains from their actions.</w:t>
      </w:r>
    </w:p>
    <w:p w14:paraId="215F45E3" w14:textId="77777777" w:rsidR="00A358EC" w:rsidRDefault="00A358EC" w:rsidP="00A358EC">
      <w:pPr>
        <w:pStyle w:val="ListParagraph"/>
        <w:rPr>
          <w:rFonts w:ascii="Arial" w:hAnsi="Arial" w:cs="Arial"/>
          <w:sz w:val="16"/>
          <w:szCs w:val="24"/>
        </w:rPr>
      </w:pPr>
    </w:p>
    <w:p w14:paraId="5F08EACE" w14:textId="77777777" w:rsidR="00A358EC" w:rsidRPr="00CE33F2" w:rsidRDefault="00A358EC" w:rsidP="00A358EC">
      <w:pPr>
        <w:pStyle w:val="ListParagraph"/>
        <w:rPr>
          <w:rFonts w:ascii="Arial" w:hAnsi="Arial" w:cs="Arial"/>
          <w:sz w:val="16"/>
          <w:szCs w:val="24"/>
        </w:rPr>
      </w:pPr>
    </w:p>
    <w:p w14:paraId="7424DCC4" w14:textId="77777777" w:rsidR="00A358EC" w:rsidRPr="00725162" w:rsidRDefault="00A358EC" w:rsidP="00A358EC">
      <w:pPr>
        <w:pStyle w:val="Heading3"/>
        <w:rPr>
          <w:sz w:val="26"/>
          <w:szCs w:val="26"/>
        </w:rPr>
      </w:pPr>
      <w:r w:rsidRPr="00725162">
        <w:rPr>
          <w:sz w:val="26"/>
          <w:szCs w:val="26"/>
        </w:rPr>
        <w:lastRenderedPageBreak/>
        <w:t>5.5. Right to Buy Fraud</w:t>
      </w:r>
    </w:p>
    <w:p w14:paraId="27F36AC4" w14:textId="77777777" w:rsidR="00A045EB" w:rsidRPr="00A045EB" w:rsidRDefault="00A358EC" w:rsidP="00A045EB">
      <w:pPr>
        <w:pStyle w:val="ListParagraph"/>
        <w:widowControl w:val="0"/>
        <w:numPr>
          <w:ilvl w:val="0"/>
          <w:numId w:val="9"/>
        </w:numPr>
        <w:suppressAutoHyphens/>
        <w:spacing w:after="0" w:line="240" w:lineRule="auto"/>
        <w:contextualSpacing w:val="0"/>
        <w:rPr>
          <w:rFonts w:ascii="Arial" w:hAnsi="Arial" w:cs="Arial"/>
          <w:sz w:val="16"/>
          <w:szCs w:val="24"/>
        </w:rPr>
      </w:pPr>
      <w:r>
        <w:rPr>
          <w:rFonts w:ascii="Arial" w:hAnsi="Arial" w:cs="Arial"/>
          <w:sz w:val="24"/>
          <w:szCs w:val="24"/>
        </w:rPr>
        <w:t xml:space="preserve">Most </w:t>
      </w:r>
      <w:r w:rsidRPr="00157EDC">
        <w:rPr>
          <w:rFonts w:ascii="Arial" w:hAnsi="Arial" w:cs="Arial"/>
          <w:sz w:val="24"/>
          <w:szCs w:val="24"/>
        </w:rPr>
        <w:t>Secure council ten</w:t>
      </w:r>
      <w:r w:rsidR="000216EF">
        <w:rPr>
          <w:rFonts w:ascii="Arial" w:hAnsi="Arial" w:cs="Arial"/>
          <w:sz w:val="24"/>
          <w:szCs w:val="24"/>
        </w:rPr>
        <w:t>ants have the right to purchase</w:t>
      </w:r>
      <w:r>
        <w:rPr>
          <w:rFonts w:ascii="Arial" w:hAnsi="Arial" w:cs="Arial"/>
          <w:sz w:val="24"/>
          <w:szCs w:val="24"/>
        </w:rPr>
        <w:t xml:space="preserve"> </w:t>
      </w:r>
      <w:r w:rsidRPr="00157EDC">
        <w:rPr>
          <w:rFonts w:ascii="Arial" w:hAnsi="Arial" w:cs="Arial"/>
          <w:sz w:val="24"/>
          <w:szCs w:val="24"/>
        </w:rPr>
        <w:t>their council home at a discounted price, the level of discount being dependent on the period of time that the individual has been a tenant.</w:t>
      </w:r>
    </w:p>
    <w:p w14:paraId="4BB60C08" w14:textId="0A422E35" w:rsidR="00A358EC" w:rsidRPr="00A045EB" w:rsidRDefault="00A045EB" w:rsidP="00A045EB">
      <w:pPr>
        <w:widowControl w:val="0"/>
        <w:suppressAutoHyphens/>
        <w:spacing w:after="0" w:line="240" w:lineRule="auto"/>
        <w:ind w:left="360"/>
        <w:rPr>
          <w:rFonts w:ascii="Arial" w:hAnsi="Arial" w:cs="Arial"/>
          <w:sz w:val="16"/>
          <w:szCs w:val="24"/>
        </w:rPr>
      </w:pPr>
      <w:r w:rsidRPr="00A045EB">
        <w:rPr>
          <w:rFonts w:ascii="Arial" w:hAnsi="Arial" w:cs="Arial"/>
          <w:sz w:val="16"/>
          <w:szCs w:val="24"/>
        </w:rPr>
        <w:t xml:space="preserve"> </w:t>
      </w:r>
    </w:p>
    <w:p w14:paraId="21F8751C" w14:textId="39483F5C" w:rsidR="00A358EC" w:rsidRPr="00157EDC" w:rsidRDefault="00A358EC" w:rsidP="00A358EC">
      <w:pPr>
        <w:pStyle w:val="ListParagraph"/>
        <w:widowControl w:val="0"/>
        <w:numPr>
          <w:ilvl w:val="0"/>
          <w:numId w:val="9"/>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Right to Buy fraud </w:t>
      </w:r>
      <w:r w:rsidR="00CB72F8">
        <w:rPr>
          <w:rFonts w:ascii="Arial" w:hAnsi="Arial" w:cs="Arial"/>
          <w:sz w:val="24"/>
          <w:szCs w:val="24"/>
        </w:rPr>
        <w:t xml:space="preserve">can </w:t>
      </w:r>
      <w:r w:rsidRPr="00157EDC">
        <w:rPr>
          <w:rFonts w:ascii="Arial" w:hAnsi="Arial" w:cs="Arial"/>
          <w:sz w:val="24"/>
          <w:szCs w:val="24"/>
        </w:rPr>
        <w:t xml:space="preserve">occur </w:t>
      </w:r>
      <w:r w:rsidR="00CB72F8">
        <w:rPr>
          <w:rFonts w:ascii="Arial" w:hAnsi="Arial" w:cs="Arial"/>
          <w:sz w:val="24"/>
          <w:szCs w:val="24"/>
        </w:rPr>
        <w:t>for example when the applicant does not disclose a previous Right to Buy, they are not using the property as their principal home</w:t>
      </w:r>
      <w:r w:rsidR="00901272">
        <w:rPr>
          <w:rFonts w:ascii="Arial" w:hAnsi="Arial" w:cs="Arial"/>
          <w:sz w:val="24"/>
          <w:szCs w:val="24"/>
        </w:rPr>
        <w:t xml:space="preserve">, or </w:t>
      </w:r>
      <w:r w:rsidRPr="00157EDC">
        <w:rPr>
          <w:rFonts w:ascii="Arial" w:hAnsi="Arial" w:cs="Arial"/>
          <w:sz w:val="24"/>
          <w:szCs w:val="24"/>
        </w:rPr>
        <w:t>lying about their circumstances in order to ensure that they qualify for the discount.</w:t>
      </w:r>
    </w:p>
    <w:p w14:paraId="53B183B8" w14:textId="77777777" w:rsidR="00A358EC" w:rsidRPr="00CE33F2" w:rsidRDefault="00A358EC" w:rsidP="00A358EC">
      <w:pPr>
        <w:pStyle w:val="ListParagraph"/>
        <w:rPr>
          <w:rFonts w:ascii="Arial" w:hAnsi="Arial" w:cs="Arial"/>
          <w:sz w:val="16"/>
          <w:szCs w:val="24"/>
        </w:rPr>
      </w:pPr>
    </w:p>
    <w:p w14:paraId="5C170DCC" w14:textId="77777777" w:rsidR="00A358EC" w:rsidRPr="00D944D8" w:rsidRDefault="005614ED" w:rsidP="005614ED">
      <w:pPr>
        <w:pStyle w:val="Heading2"/>
      </w:pPr>
      <w:r>
        <w:t xml:space="preserve">5.6 </w:t>
      </w:r>
      <w:r w:rsidR="00A358EC" w:rsidRPr="00D944D8">
        <w:t>Culture</w:t>
      </w:r>
    </w:p>
    <w:p w14:paraId="7B7930C9" w14:textId="77777777" w:rsidR="00A358EC" w:rsidRPr="00157EDC" w:rsidRDefault="00A358EC" w:rsidP="00A358EC">
      <w:pPr>
        <w:pStyle w:val="ListParagraph"/>
        <w:widowControl w:val="0"/>
        <w:numPr>
          <w:ilvl w:val="0"/>
          <w:numId w:val="10"/>
        </w:numPr>
        <w:suppressAutoHyphens/>
        <w:spacing w:after="0" w:line="240" w:lineRule="auto"/>
        <w:contextualSpacing w:val="0"/>
        <w:rPr>
          <w:rFonts w:ascii="Arial" w:hAnsi="Arial" w:cs="Arial"/>
          <w:sz w:val="24"/>
          <w:szCs w:val="24"/>
        </w:rPr>
      </w:pPr>
      <w:r w:rsidRPr="00157EDC">
        <w:rPr>
          <w:rFonts w:ascii="Arial" w:hAnsi="Arial" w:cs="Arial"/>
          <w:sz w:val="24"/>
          <w:szCs w:val="24"/>
        </w:rPr>
        <w:t>The council is determined that the culture and tone of the organisation will continue to be one of honesty and opposition to fraud and corruption.</w:t>
      </w:r>
    </w:p>
    <w:p w14:paraId="73517B83" w14:textId="77777777" w:rsidR="00A358EC" w:rsidRPr="00CE33F2" w:rsidRDefault="00A358EC" w:rsidP="00A358EC">
      <w:pPr>
        <w:pStyle w:val="ListParagraph"/>
        <w:widowControl w:val="0"/>
        <w:ind w:left="740"/>
        <w:rPr>
          <w:rFonts w:ascii="Arial" w:hAnsi="Arial" w:cs="Arial"/>
          <w:sz w:val="16"/>
          <w:szCs w:val="24"/>
        </w:rPr>
      </w:pPr>
    </w:p>
    <w:p w14:paraId="17FC5165" w14:textId="77777777" w:rsidR="00A358EC" w:rsidRPr="00157EDC" w:rsidRDefault="00A358EC" w:rsidP="00A358EC">
      <w:pPr>
        <w:pStyle w:val="ListParagraph"/>
        <w:widowControl w:val="0"/>
        <w:numPr>
          <w:ilvl w:val="0"/>
          <w:numId w:val="10"/>
        </w:numPr>
        <w:suppressAutoHyphens/>
        <w:spacing w:after="0" w:line="240" w:lineRule="auto"/>
        <w:contextualSpacing w:val="0"/>
        <w:rPr>
          <w:rFonts w:ascii="Arial" w:hAnsi="Arial" w:cs="Arial"/>
          <w:sz w:val="24"/>
          <w:szCs w:val="24"/>
        </w:rPr>
      </w:pPr>
      <w:r w:rsidRPr="00157EDC">
        <w:rPr>
          <w:rFonts w:ascii="Arial" w:hAnsi="Arial" w:cs="Arial"/>
          <w:sz w:val="24"/>
          <w:szCs w:val="24"/>
        </w:rPr>
        <w:t>The council’s staff and members, at all levels, are an important element in its stance on fraud and corruption and should lead by example. They are encouraged to raise any concerns and can do this in the knowledge that these will be treated in confidence and properly investigated.</w:t>
      </w:r>
    </w:p>
    <w:p w14:paraId="45CB4C75" w14:textId="77777777" w:rsidR="00A358EC" w:rsidRPr="00CE33F2" w:rsidRDefault="00A358EC" w:rsidP="00A358EC">
      <w:pPr>
        <w:pStyle w:val="ListParagraph"/>
        <w:widowControl w:val="0"/>
        <w:ind w:left="740"/>
        <w:rPr>
          <w:rFonts w:ascii="Arial" w:hAnsi="Arial" w:cs="Arial"/>
          <w:sz w:val="16"/>
          <w:szCs w:val="24"/>
        </w:rPr>
      </w:pPr>
    </w:p>
    <w:p w14:paraId="43FF32D5" w14:textId="72DC1C92" w:rsidR="00F30EAF" w:rsidRPr="00F30EAF" w:rsidRDefault="00A358EC" w:rsidP="00A358EC">
      <w:pPr>
        <w:pStyle w:val="ListParagraph"/>
        <w:widowControl w:val="0"/>
        <w:numPr>
          <w:ilvl w:val="0"/>
          <w:numId w:val="10"/>
        </w:numPr>
        <w:suppressAutoHyphens/>
        <w:spacing w:after="0" w:line="240" w:lineRule="auto"/>
        <w:contextualSpacing w:val="0"/>
        <w:rPr>
          <w:rStyle w:val="Hyperlink"/>
          <w:rFonts w:ascii="Arial" w:hAnsi="Arial" w:cs="Arial"/>
          <w:color w:val="auto"/>
          <w:sz w:val="24"/>
          <w:szCs w:val="24"/>
          <w:u w:val="none"/>
        </w:rPr>
      </w:pPr>
      <w:r w:rsidRPr="00157EDC">
        <w:rPr>
          <w:rFonts w:ascii="Arial" w:hAnsi="Arial" w:cs="Arial"/>
          <w:sz w:val="24"/>
          <w:szCs w:val="24"/>
        </w:rPr>
        <w:t xml:space="preserve">Instances of suspected/alleged housing/tenancy fraud should be referred to the Audit &amp; Counter Fraud Team for investigation. </w:t>
      </w:r>
      <w:r w:rsidR="00E409AB">
        <w:rPr>
          <w:rFonts w:ascii="Arial" w:hAnsi="Arial" w:cs="Arial"/>
          <w:sz w:val="24"/>
          <w:szCs w:val="24"/>
        </w:rPr>
        <w:t xml:space="preserve">Information can be left on the hotline number </w:t>
      </w:r>
      <w:r w:rsidRPr="00157EDC">
        <w:rPr>
          <w:rFonts w:ascii="Arial" w:hAnsi="Arial" w:cs="Arial"/>
          <w:sz w:val="24"/>
          <w:szCs w:val="24"/>
        </w:rPr>
        <w:t>01634 33 22 33</w:t>
      </w:r>
      <w:r w:rsidR="00E409AB">
        <w:rPr>
          <w:rFonts w:ascii="Arial" w:hAnsi="Arial" w:cs="Arial"/>
          <w:sz w:val="24"/>
          <w:szCs w:val="24"/>
        </w:rPr>
        <w:t>, or reported</w:t>
      </w:r>
      <w:r w:rsidRPr="00157EDC">
        <w:rPr>
          <w:rFonts w:ascii="Arial" w:hAnsi="Arial" w:cs="Arial"/>
          <w:sz w:val="24"/>
          <w:szCs w:val="24"/>
        </w:rPr>
        <w:t xml:space="preserve"> via email at </w:t>
      </w:r>
      <w:hyperlink r:id="rId10" w:history="1">
        <w:r w:rsidRPr="00157EDC">
          <w:rPr>
            <w:rFonts w:ascii="Arial" w:hAnsi="Arial" w:cs="Arial"/>
            <w:sz w:val="24"/>
            <w:szCs w:val="24"/>
          </w:rPr>
          <w:t>investigation.team@medway.gov.uk</w:t>
        </w:r>
      </w:hyperlink>
      <w:r w:rsidR="00E409AB" w:rsidRPr="00E409AB">
        <w:rPr>
          <w:rFonts w:ascii="Arial" w:hAnsi="Arial" w:cs="Arial"/>
          <w:sz w:val="24"/>
          <w:szCs w:val="24"/>
        </w:rPr>
        <w:t xml:space="preserve"> or online </w:t>
      </w:r>
      <w:hyperlink r:id="rId11" w:tooltip="Online fraud form" w:history="1">
        <w:r w:rsidR="00E409AB" w:rsidRPr="00E409AB">
          <w:rPr>
            <w:rStyle w:val="Hyperlink"/>
            <w:rFonts w:ascii="Arial" w:hAnsi="Arial" w:cs="Arial"/>
            <w:sz w:val="24"/>
            <w:szCs w:val="24"/>
          </w:rPr>
          <w:t>https://www.medway.gov.uk/xfp/form/253</w:t>
        </w:r>
      </w:hyperlink>
    </w:p>
    <w:p w14:paraId="5047A4E8" w14:textId="77777777" w:rsidR="00F30EAF" w:rsidRPr="00F30EAF" w:rsidRDefault="00F30EAF" w:rsidP="00F30EAF">
      <w:pPr>
        <w:pStyle w:val="ListParagraph"/>
        <w:rPr>
          <w:rFonts w:cstheme="minorHAnsi"/>
          <w:i/>
        </w:rPr>
      </w:pPr>
    </w:p>
    <w:p w14:paraId="1C14C390" w14:textId="74B3EBD6" w:rsidR="00A358EC" w:rsidRDefault="00F30EAF" w:rsidP="00A358EC">
      <w:pPr>
        <w:pStyle w:val="ListParagraph"/>
        <w:widowControl w:val="0"/>
        <w:numPr>
          <w:ilvl w:val="0"/>
          <w:numId w:val="10"/>
        </w:numPr>
        <w:suppressAutoHyphens/>
        <w:spacing w:after="0" w:line="240" w:lineRule="auto"/>
        <w:contextualSpacing w:val="0"/>
        <w:rPr>
          <w:rFonts w:ascii="Arial" w:hAnsi="Arial" w:cs="Arial"/>
          <w:sz w:val="24"/>
          <w:szCs w:val="24"/>
        </w:rPr>
      </w:pPr>
      <w:r w:rsidRPr="00F30EAF">
        <w:rPr>
          <w:rFonts w:ascii="Arial" w:hAnsi="Arial" w:cs="Arial"/>
          <w:sz w:val="24"/>
          <w:szCs w:val="24"/>
        </w:rPr>
        <w:t>Any person that gives us evidence or acts as a whistle blower will, where possible, remain anonymous and be supported in their giving of evidence. Anonymity cannot always be guaranteed in taking legal action.</w:t>
      </w:r>
    </w:p>
    <w:p w14:paraId="356B688E" w14:textId="222AE740" w:rsidR="00F30EAF" w:rsidRPr="00F30EAF" w:rsidRDefault="00F30EAF" w:rsidP="00F30EAF">
      <w:pPr>
        <w:widowControl w:val="0"/>
        <w:suppressAutoHyphens/>
        <w:spacing w:after="0" w:line="240" w:lineRule="auto"/>
        <w:rPr>
          <w:rFonts w:ascii="Arial" w:hAnsi="Arial" w:cs="Arial"/>
          <w:sz w:val="24"/>
          <w:szCs w:val="24"/>
        </w:rPr>
      </w:pPr>
    </w:p>
    <w:p w14:paraId="639F2049" w14:textId="77777777" w:rsidR="00A358EC" w:rsidRPr="005614ED" w:rsidRDefault="00A358EC" w:rsidP="005614ED">
      <w:pPr>
        <w:pStyle w:val="Heading2"/>
      </w:pPr>
      <w:r w:rsidRPr="00D944D8">
        <w:t>Prevention</w:t>
      </w:r>
    </w:p>
    <w:p w14:paraId="6AA67A77" w14:textId="77777777" w:rsidR="00A358EC" w:rsidRPr="00725162" w:rsidRDefault="005614ED" w:rsidP="005614ED">
      <w:pPr>
        <w:pStyle w:val="Heading3"/>
        <w:rPr>
          <w:sz w:val="26"/>
          <w:szCs w:val="26"/>
        </w:rPr>
      </w:pPr>
      <w:r w:rsidRPr="00725162">
        <w:rPr>
          <w:sz w:val="26"/>
          <w:szCs w:val="26"/>
        </w:rPr>
        <w:t>5.7 S</w:t>
      </w:r>
      <w:r w:rsidR="00A358EC" w:rsidRPr="00725162">
        <w:rPr>
          <w:sz w:val="26"/>
          <w:szCs w:val="26"/>
        </w:rPr>
        <w:t>taff</w:t>
      </w:r>
    </w:p>
    <w:p w14:paraId="7B2D5046" w14:textId="4B52599A" w:rsidR="00901272" w:rsidRDefault="00901272" w:rsidP="00901272">
      <w:pPr>
        <w:pStyle w:val="ListParagraph"/>
        <w:widowControl w:val="0"/>
        <w:numPr>
          <w:ilvl w:val="0"/>
          <w:numId w:val="11"/>
        </w:numPr>
        <w:suppressAutoHyphens/>
        <w:spacing w:after="0" w:line="240" w:lineRule="auto"/>
        <w:contextualSpacing w:val="0"/>
        <w:rPr>
          <w:rFonts w:ascii="Arial" w:hAnsi="Arial" w:cs="Arial"/>
          <w:sz w:val="24"/>
          <w:szCs w:val="24"/>
        </w:rPr>
      </w:pPr>
      <w:r>
        <w:rPr>
          <w:rFonts w:ascii="Arial" w:hAnsi="Arial" w:cs="Arial"/>
          <w:sz w:val="24"/>
          <w:szCs w:val="24"/>
        </w:rPr>
        <w:t>Landlord Services staff</w:t>
      </w:r>
      <w:r w:rsidR="00A358EC" w:rsidRPr="00157EDC">
        <w:rPr>
          <w:rFonts w:ascii="Arial" w:hAnsi="Arial" w:cs="Arial"/>
          <w:sz w:val="24"/>
          <w:szCs w:val="24"/>
        </w:rPr>
        <w:t xml:space="preserve"> will receive housing fraud awareness training.</w:t>
      </w:r>
    </w:p>
    <w:p w14:paraId="31444C9A" w14:textId="77777777" w:rsidR="00193155" w:rsidRPr="00193155" w:rsidRDefault="00193155" w:rsidP="00193155">
      <w:pPr>
        <w:widowControl w:val="0"/>
        <w:suppressAutoHyphens/>
        <w:spacing w:after="0" w:line="240" w:lineRule="auto"/>
        <w:ind w:left="360"/>
        <w:rPr>
          <w:rFonts w:ascii="Arial" w:hAnsi="Arial" w:cs="Arial"/>
          <w:sz w:val="16"/>
          <w:szCs w:val="16"/>
        </w:rPr>
      </w:pPr>
    </w:p>
    <w:p w14:paraId="4A0C83EF" w14:textId="49AB61C6" w:rsidR="00901272" w:rsidRPr="000216EF" w:rsidRDefault="00901272" w:rsidP="00901272">
      <w:pPr>
        <w:pStyle w:val="ListParagraph"/>
        <w:widowControl w:val="0"/>
        <w:numPr>
          <w:ilvl w:val="0"/>
          <w:numId w:val="11"/>
        </w:numPr>
        <w:suppressAutoHyphens/>
        <w:spacing w:after="0" w:line="240" w:lineRule="auto"/>
        <w:contextualSpacing w:val="0"/>
        <w:rPr>
          <w:rFonts w:ascii="Arial" w:hAnsi="Arial" w:cs="Arial"/>
          <w:sz w:val="24"/>
          <w:szCs w:val="24"/>
        </w:rPr>
      </w:pPr>
      <w:r>
        <w:rPr>
          <w:rFonts w:ascii="Arial" w:hAnsi="Arial" w:cs="Arial"/>
          <w:sz w:val="24"/>
          <w:szCs w:val="24"/>
        </w:rPr>
        <w:t>Housing Team staff will be expected to report all suspicions or credible information received, to the Council</w:t>
      </w:r>
      <w:r w:rsidR="00725162">
        <w:rPr>
          <w:rFonts w:ascii="Arial" w:hAnsi="Arial" w:cs="Arial"/>
          <w:sz w:val="24"/>
          <w:szCs w:val="24"/>
        </w:rPr>
        <w:t>’</w:t>
      </w:r>
      <w:r>
        <w:rPr>
          <w:rFonts w:ascii="Arial" w:hAnsi="Arial" w:cs="Arial"/>
          <w:sz w:val="24"/>
          <w:szCs w:val="24"/>
        </w:rPr>
        <w:t xml:space="preserve">s </w:t>
      </w:r>
      <w:r w:rsidR="00F30EAF">
        <w:rPr>
          <w:rFonts w:ascii="Arial" w:hAnsi="Arial" w:cs="Arial"/>
          <w:sz w:val="24"/>
          <w:szCs w:val="24"/>
        </w:rPr>
        <w:t xml:space="preserve">Audit and Counter </w:t>
      </w:r>
      <w:r>
        <w:rPr>
          <w:rFonts w:ascii="Arial" w:hAnsi="Arial" w:cs="Arial"/>
          <w:sz w:val="24"/>
          <w:szCs w:val="24"/>
        </w:rPr>
        <w:t>Fraud Team</w:t>
      </w:r>
    </w:p>
    <w:p w14:paraId="32CAE99A" w14:textId="77777777" w:rsidR="00A358EC" w:rsidRPr="00CE33F2" w:rsidRDefault="00A358EC" w:rsidP="00A358EC">
      <w:pPr>
        <w:pStyle w:val="ListParagraph"/>
        <w:widowControl w:val="0"/>
        <w:ind w:left="740"/>
        <w:rPr>
          <w:rFonts w:ascii="Arial" w:hAnsi="Arial" w:cs="Arial"/>
          <w:sz w:val="16"/>
          <w:szCs w:val="24"/>
        </w:rPr>
      </w:pPr>
    </w:p>
    <w:p w14:paraId="2D708AFE" w14:textId="0952910A" w:rsidR="00A358EC" w:rsidRPr="00157EDC" w:rsidRDefault="00A358EC" w:rsidP="00A358EC">
      <w:pPr>
        <w:pStyle w:val="ListParagraph"/>
        <w:widowControl w:val="0"/>
        <w:numPr>
          <w:ilvl w:val="0"/>
          <w:numId w:val="11"/>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All </w:t>
      </w:r>
      <w:r w:rsidR="00F30EAF">
        <w:rPr>
          <w:rFonts w:ascii="Arial" w:hAnsi="Arial" w:cs="Arial"/>
          <w:sz w:val="24"/>
          <w:szCs w:val="24"/>
        </w:rPr>
        <w:t xml:space="preserve">Audit and Counter </w:t>
      </w:r>
      <w:r w:rsidRPr="00157EDC">
        <w:rPr>
          <w:rFonts w:ascii="Arial" w:hAnsi="Arial" w:cs="Arial"/>
          <w:sz w:val="24"/>
          <w:szCs w:val="24"/>
        </w:rPr>
        <w:t>F</w:t>
      </w:r>
      <w:r w:rsidR="00F30EAF">
        <w:rPr>
          <w:rFonts w:ascii="Arial" w:hAnsi="Arial" w:cs="Arial"/>
          <w:sz w:val="24"/>
          <w:szCs w:val="24"/>
        </w:rPr>
        <w:t xml:space="preserve">raud </w:t>
      </w:r>
      <w:r w:rsidRPr="00157EDC">
        <w:rPr>
          <w:rFonts w:ascii="Arial" w:hAnsi="Arial" w:cs="Arial"/>
          <w:sz w:val="24"/>
          <w:szCs w:val="24"/>
        </w:rPr>
        <w:t xml:space="preserve">Officers will undertake training </w:t>
      </w:r>
      <w:r w:rsidR="00725162" w:rsidRPr="00157EDC">
        <w:rPr>
          <w:rFonts w:ascii="Arial" w:hAnsi="Arial" w:cs="Arial"/>
          <w:sz w:val="24"/>
          <w:szCs w:val="24"/>
        </w:rPr>
        <w:t>to</w:t>
      </w:r>
      <w:r w:rsidRPr="00157EDC">
        <w:rPr>
          <w:rFonts w:ascii="Arial" w:hAnsi="Arial" w:cs="Arial"/>
          <w:sz w:val="24"/>
          <w:szCs w:val="24"/>
        </w:rPr>
        <w:t xml:space="preserve"> ensure that they carry out their duties in accordance with </w:t>
      </w:r>
      <w:r w:rsidRPr="006B699F">
        <w:rPr>
          <w:rFonts w:ascii="Arial" w:hAnsi="Arial" w:cs="Arial"/>
          <w:sz w:val="24"/>
          <w:szCs w:val="24"/>
        </w:rPr>
        <w:t>Criminal Proce</w:t>
      </w:r>
      <w:r w:rsidR="000216EF" w:rsidRPr="006B699F">
        <w:rPr>
          <w:rFonts w:ascii="Arial" w:hAnsi="Arial" w:cs="Arial"/>
          <w:sz w:val="24"/>
          <w:szCs w:val="24"/>
        </w:rPr>
        <w:t>dures and Investigation Act 199</w:t>
      </w:r>
      <w:r w:rsidR="00F30EAF">
        <w:rPr>
          <w:rFonts w:ascii="Arial" w:hAnsi="Arial" w:cs="Arial"/>
          <w:sz w:val="24"/>
          <w:szCs w:val="24"/>
        </w:rPr>
        <w:t xml:space="preserve">9 and other legislative requirements, </w:t>
      </w:r>
    </w:p>
    <w:p w14:paraId="51910824" w14:textId="77777777" w:rsidR="00A358EC" w:rsidRPr="00CE33F2" w:rsidRDefault="00A358EC" w:rsidP="00A358EC">
      <w:pPr>
        <w:ind w:left="767" w:hanging="750"/>
        <w:rPr>
          <w:rFonts w:ascii="Arial" w:hAnsi="Arial" w:cs="Arial"/>
          <w:sz w:val="16"/>
          <w:szCs w:val="24"/>
        </w:rPr>
      </w:pPr>
    </w:p>
    <w:p w14:paraId="43F22D10" w14:textId="77777777" w:rsidR="00A358EC" w:rsidRPr="00725162" w:rsidRDefault="005614ED" w:rsidP="005614ED">
      <w:pPr>
        <w:pStyle w:val="Heading3"/>
        <w:rPr>
          <w:sz w:val="26"/>
          <w:szCs w:val="26"/>
        </w:rPr>
      </w:pPr>
      <w:r w:rsidRPr="00725162">
        <w:rPr>
          <w:sz w:val="26"/>
          <w:szCs w:val="26"/>
        </w:rPr>
        <w:t xml:space="preserve">5.8 </w:t>
      </w:r>
      <w:r w:rsidR="00A358EC" w:rsidRPr="00725162">
        <w:rPr>
          <w:sz w:val="26"/>
          <w:szCs w:val="26"/>
        </w:rPr>
        <w:t>Systems</w:t>
      </w:r>
    </w:p>
    <w:p w14:paraId="3CB78C70" w14:textId="77777777" w:rsidR="00A358EC" w:rsidRPr="00157EDC" w:rsidRDefault="00A358EC" w:rsidP="00A358EC">
      <w:pPr>
        <w:pStyle w:val="ListParagraph"/>
        <w:widowControl w:val="0"/>
        <w:numPr>
          <w:ilvl w:val="0"/>
          <w:numId w:val="12"/>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All employees with access to the confidential details of applicants will be responsible for ensuring the control of physical access to the data and will be responsible for compliance with the Data Protection Act and the Freedom of Information Act. This responsibility requires managers to ensure that the physical access to equipment is restricted, as far as practical, to authorised users only. </w:t>
      </w:r>
    </w:p>
    <w:p w14:paraId="6893856B" w14:textId="77777777" w:rsidR="00A358EC" w:rsidRPr="00CE33F2" w:rsidRDefault="00A358EC" w:rsidP="00A358EC">
      <w:pPr>
        <w:pStyle w:val="ListParagraph"/>
        <w:widowControl w:val="0"/>
        <w:ind w:left="740"/>
        <w:rPr>
          <w:rFonts w:ascii="Arial" w:hAnsi="Arial" w:cs="Arial"/>
          <w:sz w:val="16"/>
          <w:szCs w:val="24"/>
        </w:rPr>
      </w:pPr>
    </w:p>
    <w:p w14:paraId="7E7246D0" w14:textId="4565E367" w:rsidR="00A358EC" w:rsidRPr="00157EDC" w:rsidRDefault="00A358EC" w:rsidP="00A358EC">
      <w:pPr>
        <w:pStyle w:val="ListParagraph"/>
        <w:widowControl w:val="0"/>
        <w:numPr>
          <w:ilvl w:val="0"/>
          <w:numId w:val="12"/>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All manual Housing Fraud records must be kept securely filed when not in use </w:t>
      </w:r>
      <w:r w:rsidRPr="00157EDC">
        <w:rPr>
          <w:rFonts w:ascii="Arial" w:hAnsi="Arial" w:cs="Arial"/>
          <w:sz w:val="24"/>
          <w:szCs w:val="24"/>
        </w:rPr>
        <w:lastRenderedPageBreak/>
        <w:t xml:space="preserve">and access to these files must be restricted to </w:t>
      </w:r>
      <w:r w:rsidR="00901272">
        <w:rPr>
          <w:rFonts w:ascii="Arial" w:hAnsi="Arial" w:cs="Arial"/>
          <w:sz w:val="24"/>
          <w:szCs w:val="24"/>
        </w:rPr>
        <w:t>relevant staff</w:t>
      </w:r>
      <w:r w:rsidRPr="00157EDC">
        <w:rPr>
          <w:rFonts w:ascii="Arial" w:hAnsi="Arial" w:cs="Arial"/>
          <w:sz w:val="24"/>
          <w:szCs w:val="24"/>
        </w:rPr>
        <w:t xml:space="preserve"> only.</w:t>
      </w:r>
    </w:p>
    <w:p w14:paraId="01139DD1" w14:textId="77777777" w:rsidR="00A358EC" w:rsidRPr="00CE33F2" w:rsidRDefault="00A358EC" w:rsidP="00A358EC">
      <w:pPr>
        <w:pStyle w:val="ListParagraph"/>
        <w:widowControl w:val="0"/>
        <w:ind w:left="740"/>
        <w:rPr>
          <w:rFonts w:ascii="Arial" w:hAnsi="Arial" w:cs="Arial"/>
          <w:sz w:val="16"/>
          <w:szCs w:val="24"/>
        </w:rPr>
      </w:pPr>
    </w:p>
    <w:p w14:paraId="6899FEF7" w14:textId="77777777" w:rsidR="00A358EC" w:rsidRPr="00157EDC" w:rsidRDefault="00A358EC" w:rsidP="00A358EC">
      <w:pPr>
        <w:pStyle w:val="ListParagraph"/>
        <w:widowControl w:val="0"/>
        <w:numPr>
          <w:ilvl w:val="0"/>
          <w:numId w:val="12"/>
        </w:numPr>
        <w:suppressAutoHyphens/>
        <w:spacing w:after="0" w:line="240" w:lineRule="auto"/>
        <w:contextualSpacing w:val="0"/>
        <w:rPr>
          <w:rFonts w:ascii="Arial" w:hAnsi="Arial" w:cs="Arial"/>
          <w:sz w:val="24"/>
          <w:szCs w:val="24"/>
        </w:rPr>
      </w:pPr>
      <w:r w:rsidRPr="00157EDC">
        <w:rPr>
          <w:rFonts w:ascii="Arial" w:hAnsi="Arial" w:cs="Arial"/>
          <w:sz w:val="24"/>
          <w:szCs w:val="24"/>
        </w:rPr>
        <w:t>All telephone calls received in relation to Housing Fraud will be recorded and a note of the content of the conversation will be kept on file.</w:t>
      </w:r>
    </w:p>
    <w:p w14:paraId="76D731BB" w14:textId="77777777" w:rsidR="00A358EC" w:rsidRPr="00AD7DA6" w:rsidRDefault="00A358EC" w:rsidP="00A358EC">
      <w:pPr>
        <w:widowControl w:val="0"/>
        <w:rPr>
          <w:rFonts w:ascii="Arial" w:hAnsi="Arial" w:cs="Arial"/>
          <w:sz w:val="16"/>
          <w:szCs w:val="24"/>
        </w:rPr>
      </w:pPr>
    </w:p>
    <w:p w14:paraId="389BBCBC" w14:textId="77777777" w:rsidR="00A358EC" w:rsidRPr="00B76EAA" w:rsidRDefault="005614ED" w:rsidP="005614ED">
      <w:pPr>
        <w:pStyle w:val="Heading3"/>
        <w:rPr>
          <w:sz w:val="26"/>
          <w:szCs w:val="26"/>
        </w:rPr>
      </w:pPr>
      <w:r w:rsidRPr="00B76EAA">
        <w:rPr>
          <w:sz w:val="26"/>
          <w:szCs w:val="26"/>
        </w:rPr>
        <w:t xml:space="preserve">5.9 </w:t>
      </w:r>
      <w:r w:rsidR="00A358EC" w:rsidRPr="00B76EAA">
        <w:rPr>
          <w:sz w:val="26"/>
          <w:szCs w:val="26"/>
        </w:rPr>
        <w:t>Verification</w:t>
      </w:r>
    </w:p>
    <w:p w14:paraId="49A43E0E" w14:textId="77777777" w:rsidR="00A358EC" w:rsidRPr="00157EDC" w:rsidRDefault="00A358EC" w:rsidP="00A358EC">
      <w:pPr>
        <w:pStyle w:val="ListParagraph"/>
        <w:widowControl w:val="0"/>
        <w:numPr>
          <w:ilvl w:val="0"/>
          <w:numId w:val="13"/>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It is important to detect and prevent fraud in the first instance and as such the council has adopted a framework to check and verify all original documents. </w:t>
      </w:r>
    </w:p>
    <w:p w14:paraId="3CED7D0C" w14:textId="77777777" w:rsidR="00A358EC" w:rsidRPr="00431458" w:rsidRDefault="00A358EC" w:rsidP="00A358EC">
      <w:pPr>
        <w:pStyle w:val="ListParagraph"/>
        <w:widowControl w:val="0"/>
        <w:ind w:left="740"/>
        <w:rPr>
          <w:rFonts w:ascii="Arial" w:hAnsi="Arial" w:cs="Arial"/>
          <w:szCs w:val="24"/>
        </w:rPr>
      </w:pPr>
    </w:p>
    <w:p w14:paraId="7DE306A7" w14:textId="212E26DB" w:rsidR="00A358EC" w:rsidRPr="00157EDC" w:rsidRDefault="00A358EC" w:rsidP="00A358EC">
      <w:pPr>
        <w:pStyle w:val="ListParagraph"/>
        <w:widowControl w:val="0"/>
        <w:numPr>
          <w:ilvl w:val="0"/>
          <w:numId w:val="13"/>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All applications for housing, </w:t>
      </w:r>
      <w:r w:rsidR="00B76EAA" w:rsidRPr="00157EDC">
        <w:rPr>
          <w:rFonts w:ascii="Arial" w:hAnsi="Arial" w:cs="Arial"/>
          <w:sz w:val="24"/>
          <w:szCs w:val="24"/>
        </w:rPr>
        <w:t>succession,</w:t>
      </w:r>
      <w:r w:rsidRPr="00157EDC">
        <w:rPr>
          <w:rFonts w:ascii="Arial" w:hAnsi="Arial" w:cs="Arial"/>
          <w:sz w:val="24"/>
          <w:szCs w:val="24"/>
        </w:rPr>
        <w:t xml:space="preserve"> or other assignment, and Right to Buy will be subject to verification checks to ensure that all the details provided and accurate and true. This is to prevent fraudulent applications for housing entering the system and ensure that those applying for succession or Right to Buy have genuine entitlement.</w:t>
      </w:r>
    </w:p>
    <w:p w14:paraId="098337F2" w14:textId="77777777" w:rsidR="00A358EC" w:rsidRPr="00CE33F2" w:rsidRDefault="00A358EC" w:rsidP="00A358EC">
      <w:pPr>
        <w:pStyle w:val="ListParagraph"/>
        <w:widowControl w:val="0"/>
        <w:ind w:left="740"/>
        <w:rPr>
          <w:rFonts w:ascii="Arial" w:hAnsi="Arial" w:cs="Arial"/>
          <w:sz w:val="16"/>
          <w:szCs w:val="24"/>
        </w:rPr>
      </w:pPr>
    </w:p>
    <w:p w14:paraId="0A05FB63" w14:textId="0134F3B0" w:rsidR="00A358EC" w:rsidRPr="00157EDC" w:rsidRDefault="00A358EC" w:rsidP="00A358EC">
      <w:pPr>
        <w:pStyle w:val="ListParagraph"/>
        <w:widowControl w:val="0"/>
        <w:numPr>
          <w:ilvl w:val="0"/>
          <w:numId w:val="13"/>
        </w:numPr>
        <w:suppressAutoHyphens/>
        <w:spacing w:after="0" w:line="240" w:lineRule="auto"/>
        <w:contextualSpacing w:val="0"/>
        <w:rPr>
          <w:rFonts w:ascii="Arial" w:hAnsi="Arial" w:cs="Arial"/>
          <w:sz w:val="24"/>
          <w:szCs w:val="24"/>
        </w:rPr>
      </w:pPr>
      <w:r w:rsidRPr="00157EDC">
        <w:rPr>
          <w:rFonts w:ascii="Arial" w:hAnsi="Arial" w:cs="Arial"/>
          <w:sz w:val="24"/>
          <w:szCs w:val="24"/>
        </w:rPr>
        <w:t>Such verification may include checks of declared address history, household occupants</w:t>
      </w:r>
      <w:r w:rsidR="00901272">
        <w:rPr>
          <w:rFonts w:ascii="Arial" w:hAnsi="Arial" w:cs="Arial"/>
          <w:sz w:val="24"/>
          <w:szCs w:val="24"/>
        </w:rPr>
        <w:t>,</w:t>
      </w:r>
      <w:r w:rsidRPr="00157EDC">
        <w:rPr>
          <w:rFonts w:ascii="Arial" w:hAnsi="Arial" w:cs="Arial"/>
          <w:sz w:val="24"/>
          <w:szCs w:val="24"/>
        </w:rPr>
        <w:t xml:space="preserve"> and home visits to establish occupancy.</w:t>
      </w:r>
      <w:r w:rsidR="00901272">
        <w:rPr>
          <w:rFonts w:ascii="Arial" w:hAnsi="Arial" w:cs="Arial"/>
          <w:sz w:val="24"/>
          <w:szCs w:val="24"/>
        </w:rPr>
        <w:t xml:space="preserve"> This may include the use of external agencies such as Experian.</w:t>
      </w:r>
    </w:p>
    <w:p w14:paraId="2289A87C" w14:textId="77777777" w:rsidR="00A358EC" w:rsidRPr="00CE33F2" w:rsidRDefault="00A358EC" w:rsidP="00A358EC">
      <w:pPr>
        <w:pStyle w:val="ListParagraph"/>
        <w:rPr>
          <w:rFonts w:ascii="Arial" w:hAnsi="Arial" w:cs="Arial"/>
          <w:sz w:val="16"/>
          <w:szCs w:val="24"/>
        </w:rPr>
      </w:pPr>
    </w:p>
    <w:p w14:paraId="16115446" w14:textId="77777777" w:rsidR="00A358EC" w:rsidRPr="00B76EAA" w:rsidRDefault="005614ED" w:rsidP="005614ED">
      <w:pPr>
        <w:pStyle w:val="Heading3"/>
        <w:rPr>
          <w:sz w:val="26"/>
          <w:szCs w:val="26"/>
        </w:rPr>
      </w:pPr>
      <w:r w:rsidRPr="00B76EAA">
        <w:rPr>
          <w:sz w:val="26"/>
          <w:szCs w:val="26"/>
        </w:rPr>
        <w:t xml:space="preserve">5.10 </w:t>
      </w:r>
      <w:r w:rsidR="00A358EC" w:rsidRPr="00B76EAA">
        <w:rPr>
          <w:sz w:val="26"/>
          <w:szCs w:val="26"/>
        </w:rPr>
        <w:t>Identification</w:t>
      </w:r>
    </w:p>
    <w:p w14:paraId="31DAAFE3" w14:textId="37E3AB81" w:rsidR="00A358EC" w:rsidRPr="00157EDC" w:rsidRDefault="00A358EC" w:rsidP="00A358EC">
      <w:pPr>
        <w:pStyle w:val="ListParagraph"/>
        <w:widowControl w:val="0"/>
        <w:numPr>
          <w:ilvl w:val="0"/>
          <w:numId w:val="14"/>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Obtaining evidence of identity can prevent </w:t>
      </w:r>
      <w:r w:rsidR="00901272">
        <w:rPr>
          <w:rFonts w:ascii="Arial" w:hAnsi="Arial" w:cs="Arial"/>
          <w:sz w:val="24"/>
          <w:szCs w:val="24"/>
        </w:rPr>
        <w:t>housing fraud.</w:t>
      </w:r>
    </w:p>
    <w:p w14:paraId="2D9A629F" w14:textId="77777777" w:rsidR="00A358EC" w:rsidRPr="00CE33F2" w:rsidRDefault="00A358EC" w:rsidP="00A358EC">
      <w:pPr>
        <w:pStyle w:val="ListParagraph"/>
        <w:widowControl w:val="0"/>
        <w:ind w:left="740"/>
        <w:rPr>
          <w:rFonts w:ascii="Arial" w:hAnsi="Arial" w:cs="Arial"/>
          <w:sz w:val="16"/>
          <w:szCs w:val="24"/>
        </w:rPr>
      </w:pPr>
    </w:p>
    <w:p w14:paraId="16C6285C" w14:textId="3437533F" w:rsidR="00A358EC" w:rsidRPr="00157EDC" w:rsidRDefault="00A358EC" w:rsidP="00A358EC">
      <w:pPr>
        <w:pStyle w:val="ListParagraph"/>
        <w:widowControl w:val="0"/>
        <w:numPr>
          <w:ilvl w:val="0"/>
          <w:numId w:val="14"/>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As a consequence, housing applicants will be asked to provide ID when signing their tenancy and collecting the keys to a property. </w:t>
      </w:r>
    </w:p>
    <w:p w14:paraId="4B07068C" w14:textId="77777777" w:rsidR="00A358EC" w:rsidRPr="00CE33F2" w:rsidRDefault="00A358EC" w:rsidP="00A358EC">
      <w:pPr>
        <w:pStyle w:val="ListParagraph"/>
        <w:widowControl w:val="0"/>
        <w:ind w:left="740"/>
        <w:rPr>
          <w:rFonts w:ascii="Arial" w:hAnsi="Arial" w:cs="Arial"/>
          <w:sz w:val="16"/>
          <w:szCs w:val="24"/>
        </w:rPr>
      </w:pPr>
    </w:p>
    <w:p w14:paraId="6792FA61" w14:textId="69EA221D" w:rsidR="00A358EC" w:rsidRPr="00157EDC" w:rsidRDefault="00A358EC" w:rsidP="00A358EC">
      <w:pPr>
        <w:pStyle w:val="ListParagraph"/>
        <w:widowControl w:val="0"/>
        <w:numPr>
          <w:ilvl w:val="0"/>
          <w:numId w:val="14"/>
        </w:numPr>
        <w:suppressAutoHyphens/>
        <w:spacing w:after="0" w:line="240" w:lineRule="auto"/>
        <w:contextualSpacing w:val="0"/>
        <w:rPr>
          <w:rFonts w:ascii="Arial" w:hAnsi="Arial" w:cs="Arial"/>
          <w:sz w:val="24"/>
          <w:szCs w:val="24"/>
        </w:rPr>
      </w:pPr>
      <w:r w:rsidRPr="00157EDC">
        <w:rPr>
          <w:rFonts w:ascii="Arial" w:hAnsi="Arial" w:cs="Arial"/>
          <w:sz w:val="24"/>
          <w:szCs w:val="24"/>
        </w:rPr>
        <w:t xml:space="preserve">Applicants will be asked consent to having a digital photograph taken at the </w:t>
      </w:r>
      <w:r w:rsidR="00B76EAA" w:rsidRPr="00157EDC">
        <w:rPr>
          <w:rFonts w:ascii="Arial" w:hAnsi="Arial" w:cs="Arial"/>
          <w:sz w:val="24"/>
          <w:szCs w:val="24"/>
        </w:rPr>
        <w:t>sign-up</w:t>
      </w:r>
      <w:r w:rsidRPr="00157EDC">
        <w:rPr>
          <w:rFonts w:ascii="Arial" w:hAnsi="Arial" w:cs="Arial"/>
          <w:sz w:val="24"/>
          <w:szCs w:val="24"/>
        </w:rPr>
        <w:t xml:space="preserve"> appointment.</w:t>
      </w:r>
      <w:r w:rsidR="00901272">
        <w:rPr>
          <w:rFonts w:ascii="Arial" w:hAnsi="Arial" w:cs="Arial"/>
          <w:sz w:val="24"/>
          <w:szCs w:val="24"/>
        </w:rPr>
        <w:t xml:space="preserve"> The offer of the tenancy will be conditional on consent being given.</w:t>
      </w:r>
    </w:p>
    <w:p w14:paraId="0C9C4D0F" w14:textId="77777777" w:rsidR="00A358EC" w:rsidRPr="00CE33F2" w:rsidRDefault="00A358EC" w:rsidP="00A358EC">
      <w:pPr>
        <w:pStyle w:val="ListParagraph"/>
        <w:widowControl w:val="0"/>
        <w:ind w:left="740"/>
        <w:rPr>
          <w:rFonts w:ascii="Arial" w:hAnsi="Arial" w:cs="Arial"/>
          <w:sz w:val="16"/>
          <w:szCs w:val="24"/>
        </w:rPr>
      </w:pPr>
    </w:p>
    <w:p w14:paraId="6344E88D" w14:textId="77777777" w:rsidR="00A358EC" w:rsidRPr="00157EDC" w:rsidRDefault="00A358EC" w:rsidP="00A358EC">
      <w:pPr>
        <w:pStyle w:val="ListParagraph"/>
        <w:widowControl w:val="0"/>
        <w:numPr>
          <w:ilvl w:val="0"/>
          <w:numId w:val="14"/>
        </w:numPr>
        <w:suppressAutoHyphens/>
        <w:spacing w:after="0" w:line="240" w:lineRule="auto"/>
        <w:contextualSpacing w:val="0"/>
        <w:rPr>
          <w:rFonts w:ascii="Arial" w:hAnsi="Arial" w:cs="Arial"/>
          <w:sz w:val="24"/>
          <w:szCs w:val="24"/>
        </w:rPr>
      </w:pPr>
      <w:r w:rsidRPr="00157EDC">
        <w:rPr>
          <w:rFonts w:ascii="Arial" w:hAnsi="Arial" w:cs="Arial"/>
          <w:sz w:val="24"/>
          <w:szCs w:val="24"/>
        </w:rPr>
        <w:t>The reasons for requesting a photograph will be clearly explained.  The Council complies with all data protection requirements regarding the use of personal information.</w:t>
      </w:r>
    </w:p>
    <w:p w14:paraId="659A5A96" w14:textId="77777777" w:rsidR="00A358EC" w:rsidRPr="00CE33F2" w:rsidRDefault="00A358EC" w:rsidP="00A358EC">
      <w:pPr>
        <w:pStyle w:val="ListParagraph"/>
        <w:widowControl w:val="0"/>
        <w:ind w:left="740"/>
        <w:rPr>
          <w:rFonts w:ascii="Arial" w:hAnsi="Arial" w:cs="Arial"/>
          <w:sz w:val="16"/>
          <w:szCs w:val="24"/>
        </w:rPr>
      </w:pPr>
    </w:p>
    <w:p w14:paraId="6D9225E0" w14:textId="77777777" w:rsidR="00A358EC" w:rsidRPr="00157EDC" w:rsidRDefault="00A358EC" w:rsidP="00A358EC">
      <w:pPr>
        <w:pStyle w:val="ListParagraph"/>
        <w:widowControl w:val="0"/>
        <w:numPr>
          <w:ilvl w:val="0"/>
          <w:numId w:val="14"/>
        </w:numPr>
        <w:suppressAutoHyphens/>
        <w:spacing w:after="0" w:line="240" w:lineRule="auto"/>
        <w:contextualSpacing w:val="0"/>
        <w:rPr>
          <w:rFonts w:ascii="Arial" w:hAnsi="Arial" w:cs="Arial"/>
          <w:sz w:val="24"/>
          <w:szCs w:val="24"/>
        </w:rPr>
      </w:pPr>
      <w:r w:rsidRPr="00157EDC">
        <w:rPr>
          <w:rFonts w:ascii="Arial" w:hAnsi="Arial" w:cs="Arial"/>
          <w:sz w:val="24"/>
          <w:szCs w:val="24"/>
        </w:rPr>
        <w:t>All such photographs taken will be electronically stored on the applicant(s) tenancy file. The tenant will be asked to sign a consent form which states that they agree to the storing of their photograph on file.</w:t>
      </w:r>
    </w:p>
    <w:p w14:paraId="1AC3E61B" w14:textId="77777777" w:rsidR="00A358EC" w:rsidRPr="00CE33F2" w:rsidRDefault="00A358EC" w:rsidP="00A358EC">
      <w:pPr>
        <w:ind w:left="767"/>
        <w:rPr>
          <w:rFonts w:ascii="Arial" w:hAnsi="Arial" w:cs="Arial"/>
          <w:sz w:val="16"/>
          <w:szCs w:val="24"/>
        </w:rPr>
      </w:pPr>
    </w:p>
    <w:p w14:paraId="685F6AA7" w14:textId="37EC8FAD" w:rsidR="00A358EC" w:rsidRDefault="00A358EC" w:rsidP="005614ED">
      <w:pPr>
        <w:pStyle w:val="Heading2"/>
      </w:pPr>
      <w:r w:rsidRPr="00D944D8">
        <w:t>Detection and Investigation</w:t>
      </w:r>
    </w:p>
    <w:p w14:paraId="0950A935" w14:textId="71AAB1B3" w:rsidR="000216EF" w:rsidRPr="00B76EAA" w:rsidRDefault="000216EF" w:rsidP="000216EF">
      <w:pPr>
        <w:pStyle w:val="Heading3"/>
        <w:rPr>
          <w:sz w:val="26"/>
          <w:szCs w:val="26"/>
        </w:rPr>
      </w:pPr>
      <w:r w:rsidRPr="00B76EAA">
        <w:rPr>
          <w:sz w:val="26"/>
          <w:szCs w:val="26"/>
        </w:rPr>
        <w:t>5.11 Detection</w:t>
      </w:r>
    </w:p>
    <w:p w14:paraId="00709584" w14:textId="52B8E2FC" w:rsidR="00A358EC" w:rsidRPr="00485B4C" w:rsidRDefault="00901272" w:rsidP="001D6055">
      <w:pPr>
        <w:pStyle w:val="ListParagraph"/>
        <w:widowControl w:val="0"/>
        <w:numPr>
          <w:ilvl w:val="0"/>
          <w:numId w:val="15"/>
        </w:numPr>
        <w:suppressAutoHyphens/>
        <w:spacing w:after="0" w:line="240" w:lineRule="auto"/>
        <w:contextualSpacing w:val="0"/>
        <w:rPr>
          <w:rFonts w:ascii="Arial" w:hAnsi="Arial" w:cs="Arial"/>
          <w:sz w:val="24"/>
          <w:szCs w:val="24"/>
        </w:rPr>
      </w:pPr>
      <w:r w:rsidRPr="00485B4C">
        <w:rPr>
          <w:rFonts w:ascii="Arial" w:hAnsi="Arial" w:cs="Arial"/>
          <w:sz w:val="24"/>
          <w:szCs w:val="24"/>
        </w:rPr>
        <w:t>T</w:t>
      </w:r>
      <w:r w:rsidR="00A358EC" w:rsidRPr="00485B4C">
        <w:rPr>
          <w:rFonts w:ascii="Arial" w:hAnsi="Arial" w:cs="Arial"/>
          <w:sz w:val="24"/>
          <w:szCs w:val="24"/>
        </w:rPr>
        <w:t xml:space="preserve">he council has adopted a number of initiatives to </w:t>
      </w:r>
      <w:r w:rsidRPr="00485B4C">
        <w:rPr>
          <w:rFonts w:ascii="Arial" w:hAnsi="Arial" w:cs="Arial"/>
          <w:sz w:val="24"/>
          <w:szCs w:val="24"/>
        </w:rPr>
        <w:t>assist in the detection of tenancy fraud</w:t>
      </w:r>
      <w:r w:rsidR="00485B4C">
        <w:rPr>
          <w:rFonts w:ascii="Arial" w:hAnsi="Arial" w:cs="Arial"/>
          <w:sz w:val="24"/>
          <w:szCs w:val="24"/>
        </w:rPr>
        <w:t xml:space="preserve">. </w:t>
      </w:r>
      <w:r w:rsidR="00A358EC" w:rsidRPr="00485B4C">
        <w:rPr>
          <w:rFonts w:ascii="Arial" w:hAnsi="Arial" w:cs="Arial"/>
          <w:sz w:val="24"/>
          <w:szCs w:val="24"/>
        </w:rPr>
        <w:t>These methods include;</w:t>
      </w:r>
    </w:p>
    <w:p w14:paraId="678C90E9" w14:textId="77777777" w:rsidR="00A358EC" w:rsidRPr="00157EDC" w:rsidRDefault="00A358EC" w:rsidP="00A358EC">
      <w:pPr>
        <w:pStyle w:val="ListParagraph"/>
        <w:numPr>
          <w:ilvl w:val="0"/>
          <w:numId w:val="15"/>
        </w:numPr>
        <w:suppressAutoHyphens/>
        <w:spacing w:after="0" w:line="240" w:lineRule="auto"/>
        <w:ind w:left="1134"/>
        <w:contextualSpacing w:val="0"/>
        <w:rPr>
          <w:rFonts w:ascii="Arial" w:hAnsi="Arial" w:cs="Arial"/>
          <w:sz w:val="24"/>
          <w:szCs w:val="24"/>
        </w:rPr>
      </w:pPr>
      <w:r w:rsidRPr="00157EDC">
        <w:rPr>
          <w:rFonts w:ascii="Arial" w:hAnsi="Arial" w:cs="Arial"/>
          <w:sz w:val="24"/>
          <w:szCs w:val="24"/>
        </w:rPr>
        <w:t>Tenancy Audits.</w:t>
      </w:r>
    </w:p>
    <w:p w14:paraId="16A02C77" w14:textId="6BBFBB34" w:rsidR="00A358EC" w:rsidRPr="00157EDC" w:rsidRDefault="00A358EC" w:rsidP="00A358EC">
      <w:pPr>
        <w:pStyle w:val="ListParagraph"/>
        <w:numPr>
          <w:ilvl w:val="0"/>
          <w:numId w:val="15"/>
        </w:numPr>
        <w:suppressAutoHyphens/>
        <w:spacing w:after="0" w:line="240" w:lineRule="auto"/>
        <w:ind w:left="1134"/>
        <w:contextualSpacing w:val="0"/>
        <w:rPr>
          <w:rFonts w:ascii="Arial" w:hAnsi="Arial" w:cs="Arial"/>
          <w:sz w:val="24"/>
          <w:szCs w:val="24"/>
        </w:rPr>
      </w:pPr>
      <w:r w:rsidRPr="00157EDC">
        <w:rPr>
          <w:rFonts w:ascii="Arial" w:hAnsi="Arial" w:cs="Arial"/>
          <w:sz w:val="24"/>
          <w:szCs w:val="24"/>
        </w:rPr>
        <w:t>Participation in the National Fraud Initi</w:t>
      </w:r>
      <w:r w:rsidR="00F30EAF">
        <w:rPr>
          <w:rFonts w:ascii="Arial" w:hAnsi="Arial" w:cs="Arial"/>
          <w:sz w:val="24"/>
          <w:szCs w:val="24"/>
        </w:rPr>
        <w:t>ative run by the Cabinet Office and the Kent Intelligence Network (KIN),</w:t>
      </w:r>
    </w:p>
    <w:p w14:paraId="19D68156" w14:textId="2408FF37" w:rsidR="00A358EC" w:rsidRPr="00157EDC" w:rsidRDefault="00A358EC" w:rsidP="00A358EC">
      <w:pPr>
        <w:pStyle w:val="ListParagraph"/>
        <w:numPr>
          <w:ilvl w:val="0"/>
          <w:numId w:val="15"/>
        </w:numPr>
        <w:suppressAutoHyphens/>
        <w:spacing w:after="0" w:line="240" w:lineRule="auto"/>
        <w:ind w:left="1134"/>
        <w:contextualSpacing w:val="0"/>
        <w:rPr>
          <w:rFonts w:ascii="Arial" w:hAnsi="Arial" w:cs="Arial"/>
          <w:sz w:val="24"/>
          <w:szCs w:val="24"/>
        </w:rPr>
      </w:pPr>
      <w:r w:rsidRPr="00157EDC">
        <w:rPr>
          <w:rFonts w:ascii="Arial" w:hAnsi="Arial" w:cs="Arial"/>
          <w:sz w:val="24"/>
          <w:szCs w:val="24"/>
        </w:rPr>
        <w:t xml:space="preserve">Carrying out joint fraud investigations with other bodies such as the Single Fraud Investigation Service, Border Agency, Kent Police, other Local </w:t>
      </w:r>
      <w:r w:rsidR="00B76EAA" w:rsidRPr="00157EDC">
        <w:rPr>
          <w:rFonts w:ascii="Arial" w:hAnsi="Arial" w:cs="Arial"/>
          <w:sz w:val="24"/>
          <w:szCs w:val="24"/>
        </w:rPr>
        <w:t>Authorities,</w:t>
      </w:r>
      <w:r w:rsidRPr="00157EDC">
        <w:rPr>
          <w:rFonts w:ascii="Arial" w:hAnsi="Arial" w:cs="Arial"/>
          <w:sz w:val="24"/>
          <w:szCs w:val="24"/>
        </w:rPr>
        <w:t xml:space="preserve"> and other investigation departments.</w:t>
      </w:r>
    </w:p>
    <w:p w14:paraId="552C8B3F" w14:textId="77777777" w:rsidR="00A358EC" w:rsidRPr="00157EDC" w:rsidRDefault="00A358EC" w:rsidP="00A358EC">
      <w:pPr>
        <w:pStyle w:val="ListParagraph"/>
        <w:numPr>
          <w:ilvl w:val="0"/>
          <w:numId w:val="15"/>
        </w:numPr>
        <w:suppressAutoHyphens/>
        <w:spacing w:after="0" w:line="240" w:lineRule="auto"/>
        <w:ind w:left="1134"/>
        <w:contextualSpacing w:val="0"/>
        <w:rPr>
          <w:rFonts w:ascii="Arial" w:hAnsi="Arial" w:cs="Arial"/>
          <w:sz w:val="24"/>
          <w:szCs w:val="24"/>
        </w:rPr>
      </w:pPr>
      <w:r w:rsidRPr="00157EDC">
        <w:rPr>
          <w:rFonts w:ascii="Arial" w:hAnsi="Arial" w:cs="Arial"/>
          <w:sz w:val="24"/>
          <w:szCs w:val="24"/>
        </w:rPr>
        <w:t>Checks of and visits to tenants applying for Right to Buy to ensure that they continue to occupy the tenancy address.</w:t>
      </w:r>
    </w:p>
    <w:p w14:paraId="28E6C2E9" w14:textId="77777777" w:rsidR="00A358EC" w:rsidRPr="00CE33F2" w:rsidRDefault="00A358EC" w:rsidP="00A358EC">
      <w:pPr>
        <w:widowControl w:val="0"/>
        <w:rPr>
          <w:rFonts w:ascii="Arial" w:hAnsi="Arial" w:cs="Arial"/>
          <w:sz w:val="16"/>
          <w:szCs w:val="24"/>
        </w:rPr>
      </w:pPr>
    </w:p>
    <w:p w14:paraId="37D02203" w14:textId="1FD29D82" w:rsidR="00A358EC" w:rsidRPr="00157EDC" w:rsidRDefault="00A358EC" w:rsidP="00A358EC">
      <w:pPr>
        <w:pStyle w:val="ListParagraph"/>
        <w:widowControl w:val="0"/>
        <w:numPr>
          <w:ilvl w:val="0"/>
          <w:numId w:val="15"/>
        </w:numPr>
        <w:suppressAutoHyphens/>
        <w:spacing w:after="0" w:line="240" w:lineRule="auto"/>
        <w:contextualSpacing w:val="0"/>
        <w:rPr>
          <w:rFonts w:ascii="Arial" w:hAnsi="Arial" w:cs="Arial"/>
          <w:sz w:val="24"/>
          <w:szCs w:val="24"/>
        </w:rPr>
      </w:pPr>
      <w:r w:rsidRPr="00157EDC">
        <w:rPr>
          <w:rFonts w:ascii="Arial" w:hAnsi="Arial" w:cs="Arial"/>
          <w:sz w:val="24"/>
          <w:szCs w:val="24"/>
        </w:rPr>
        <w:t>Members of staff within Landlord Services are also able</w:t>
      </w:r>
      <w:r w:rsidR="00901272">
        <w:rPr>
          <w:rFonts w:ascii="Arial" w:hAnsi="Arial" w:cs="Arial"/>
          <w:sz w:val="24"/>
          <w:szCs w:val="24"/>
        </w:rPr>
        <w:t xml:space="preserve"> – and expected - </w:t>
      </w:r>
      <w:r w:rsidRPr="00157EDC">
        <w:rPr>
          <w:rFonts w:ascii="Arial" w:hAnsi="Arial" w:cs="Arial"/>
          <w:sz w:val="24"/>
          <w:szCs w:val="24"/>
        </w:rPr>
        <w:t>to refer suspected cases of fraud to the Audit &amp; Counter Fraud team.</w:t>
      </w:r>
    </w:p>
    <w:p w14:paraId="46B59DDD" w14:textId="77777777" w:rsidR="00A358EC" w:rsidRPr="00CE33F2" w:rsidRDefault="00A358EC" w:rsidP="00A358EC">
      <w:pPr>
        <w:pStyle w:val="ListParagraph"/>
        <w:widowControl w:val="0"/>
        <w:rPr>
          <w:rFonts w:ascii="Arial" w:hAnsi="Arial" w:cs="Arial"/>
          <w:sz w:val="16"/>
          <w:szCs w:val="24"/>
        </w:rPr>
      </w:pPr>
    </w:p>
    <w:p w14:paraId="08FC46F9" w14:textId="18B4747B" w:rsidR="00A358EC" w:rsidRPr="00B76EAA" w:rsidRDefault="00A358EC" w:rsidP="00B76EAA">
      <w:pPr>
        <w:pStyle w:val="ListParagraph"/>
        <w:widowControl w:val="0"/>
        <w:numPr>
          <w:ilvl w:val="0"/>
          <w:numId w:val="15"/>
        </w:numPr>
        <w:suppressAutoHyphens/>
        <w:spacing w:after="0" w:line="240" w:lineRule="auto"/>
        <w:ind w:left="709" w:hanging="425"/>
        <w:contextualSpacing w:val="0"/>
        <w:rPr>
          <w:rFonts w:ascii="Arial" w:hAnsi="Arial" w:cs="Arial"/>
          <w:sz w:val="24"/>
          <w:szCs w:val="24"/>
        </w:rPr>
      </w:pPr>
      <w:r w:rsidRPr="00B76EAA">
        <w:rPr>
          <w:rFonts w:ascii="Arial" w:hAnsi="Arial" w:cs="Arial"/>
          <w:sz w:val="24"/>
          <w:szCs w:val="24"/>
        </w:rPr>
        <w:t>As well as identifying fraud through pro-active initiatives, the council</w:t>
      </w:r>
      <w:r w:rsidR="00B76EAA" w:rsidRPr="00B76EAA">
        <w:rPr>
          <w:rFonts w:ascii="Arial" w:hAnsi="Arial" w:cs="Arial"/>
          <w:sz w:val="24"/>
          <w:szCs w:val="24"/>
        </w:rPr>
        <w:t xml:space="preserve"> </w:t>
      </w:r>
      <w:r w:rsidR="00B76EAA">
        <w:rPr>
          <w:rFonts w:ascii="Arial" w:hAnsi="Arial" w:cs="Arial"/>
          <w:sz w:val="24"/>
          <w:szCs w:val="24"/>
        </w:rPr>
        <w:t>o</w:t>
      </w:r>
      <w:r w:rsidRPr="00B76EAA">
        <w:rPr>
          <w:rFonts w:ascii="Arial" w:hAnsi="Arial" w:cs="Arial"/>
          <w:sz w:val="24"/>
          <w:szCs w:val="24"/>
        </w:rPr>
        <w:t>perates a fraud ‘hotline’ for members of the public to report suspicions or concerns – 01634 332233.</w:t>
      </w:r>
      <w:r w:rsidR="00F30EAF" w:rsidRPr="00B76EAA">
        <w:rPr>
          <w:rFonts w:ascii="Arial" w:hAnsi="Arial" w:cs="Arial"/>
          <w:sz w:val="24"/>
          <w:szCs w:val="24"/>
        </w:rPr>
        <w:t xml:space="preserve"> Reports can also be made by email to </w:t>
      </w:r>
      <w:hyperlink r:id="rId12" w:history="1">
        <w:r w:rsidR="00F30EAF" w:rsidRPr="00B76EAA">
          <w:rPr>
            <w:rStyle w:val="Hyperlink"/>
            <w:rFonts w:ascii="Arial" w:hAnsi="Arial" w:cs="Arial"/>
            <w:sz w:val="24"/>
            <w:szCs w:val="24"/>
          </w:rPr>
          <w:t>investigation.team@medway.gov.uk</w:t>
        </w:r>
      </w:hyperlink>
      <w:r w:rsidR="00F30EAF" w:rsidRPr="00B76EAA">
        <w:rPr>
          <w:rFonts w:ascii="Arial" w:hAnsi="Arial" w:cs="Arial"/>
          <w:sz w:val="24"/>
          <w:szCs w:val="24"/>
        </w:rPr>
        <w:t xml:space="preserve"> or online: </w:t>
      </w:r>
      <w:hyperlink r:id="rId13" w:tooltip="Online fraud form" w:history="1">
        <w:r w:rsidR="00F30EAF" w:rsidRPr="00B76EAA">
          <w:rPr>
            <w:rStyle w:val="Hyperlink"/>
            <w:rFonts w:ascii="Arial" w:hAnsi="Arial" w:cs="Arial"/>
            <w:sz w:val="24"/>
            <w:szCs w:val="24"/>
          </w:rPr>
          <w:t>https://www.medway.gov.uk/xfp/form/253</w:t>
        </w:r>
      </w:hyperlink>
    </w:p>
    <w:p w14:paraId="73858D5A" w14:textId="77777777" w:rsidR="00A358EC" w:rsidRDefault="00A358EC" w:rsidP="00A358EC">
      <w:pPr>
        <w:pStyle w:val="ListParagraph"/>
        <w:numPr>
          <w:ilvl w:val="0"/>
          <w:numId w:val="16"/>
        </w:numPr>
        <w:suppressAutoHyphens/>
        <w:spacing w:after="0" w:line="240" w:lineRule="auto"/>
        <w:contextualSpacing w:val="0"/>
        <w:rPr>
          <w:rFonts w:ascii="Arial" w:hAnsi="Arial" w:cs="Arial"/>
          <w:sz w:val="24"/>
          <w:szCs w:val="24"/>
        </w:rPr>
      </w:pPr>
      <w:r w:rsidRPr="009F43FC">
        <w:rPr>
          <w:rFonts w:ascii="Arial" w:hAnsi="Arial" w:cs="Arial"/>
          <w:sz w:val="24"/>
          <w:szCs w:val="24"/>
        </w:rPr>
        <w:t>Publicises anti-fraud initiatives and press releases related to successful prosecutions for fraud.</w:t>
      </w:r>
    </w:p>
    <w:p w14:paraId="658CA7A9" w14:textId="77777777" w:rsidR="00A358EC" w:rsidRPr="00AD7DA6" w:rsidRDefault="00A358EC" w:rsidP="00A358EC">
      <w:pPr>
        <w:pStyle w:val="ListParagraph"/>
        <w:rPr>
          <w:rFonts w:ascii="Arial" w:hAnsi="Arial" w:cs="Arial"/>
          <w:sz w:val="16"/>
          <w:szCs w:val="24"/>
        </w:rPr>
      </w:pPr>
    </w:p>
    <w:p w14:paraId="6008E2DF" w14:textId="77777777" w:rsidR="00A358EC" w:rsidRPr="009F43FC" w:rsidRDefault="00A358EC" w:rsidP="00A358EC">
      <w:pPr>
        <w:pStyle w:val="ListParagraph"/>
        <w:numPr>
          <w:ilvl w:val="0"/>
          <w:numId w:val="16"/>
        </w:numPr>
        <w:suppressAutoHyphens/>
        <w:spacing w:after="0" w:line="240" w:lineRule="auto"/>
        <w:contextualSpacing w:val="0"/>
        <w:rPr>
          <w:rFonts w:ascii="Arial" w:hAnsi="Arial" w:cs="Arial"/>
          <w:sz w:val="24"/>
          <w:szCs w:val="24"/>
        </w:rPr>
      </w:pPr>
      <w:r w:rsidRPr="009F43FC">
        <w:rPr>
          <w:rFonts w:ascii="Arial" w:hAnsi="Arial" w:cs="Arial"/>
          <w:sz w:val="24"/>
          <w:szCs w:val="24"/>
        </w:rPr>
        <w:t>Encourages members of the public to come forward and report their suspicions or concerns regarding housing or tenancy fraud.</w:t>
      </w:r>
    </w:p>
    <w:p w14:paraId="4FF4751B" w14:textId="77777777" w:rsidR="00A358EC" w:rsidRPr="00664330" w:rsidRDefault="00A358EC" w:rsidP="00A358EC">
      <w:pPr>
        <w:widowControl w:val="0"/>
        <w:ind w:left="720"/>
        <w:rPr>
          <w:rFonts w:ascii="Arial" w:hAnsi="Arial" w:cs="Arial"/>
          <w:sz w:val="16"/>
          <w:szCs w:val="24"/>
        </w:rPr>
      </w:pPr>
    </w:p>
    <w:p w14:paraId="703D5C74" w14:textId="52C78613" w:rsidR="00A358EC" w:rsidRDefault="00A358EC" w:rsidP="00A358EC">
      <w:pPr>
        <w:pStyle w:val="ListParagraph"/>
        <w:widowControl w:val="0"/>
        <w:numPr>
          <w:ilvl w:val="0"/>
          <w:numId w:val="16"/>
        </w:numPr>
        <w:suppressAutoHyphens/>
        <w:spacing w:after="0" w:line="240" w:lineRule="auto"/>
        <w:contextualSpacing w:val="0"/>
        <w:rPr>
          <w:rFonts w:ascii="Arial" w:hAnsi="Arial" w:cs="Arial"/>
          <w:sz w:val="24"/>
          <w:szCs w:val="24"/>
        </w:rPr>
      </w:pPr>
      <w:r w:rsidRPr="009F43FC">
        <w:rPr>
          <w:rFonts w:ascii="Arial" w:hAnsi="Arial" w:cs="Arial"/>
          <w:sz w:val="24"/>
          <w:szCs w:val="24"/>
        </w:rPr>
        <w:t>All re</w:t>
      </w:r>
      <w:r w:rsidR="00592FBC">
        <w:rPr>
          <w:rFonts w:ascii="Arial" w:hAnsi="Arial" w:cs="Arial"/>
          <w:sz w:val="24"/>
          <w:szCs w:val="24"/>
        </w:rPr>
        <w:t xml:space="preserve">ferrals passed to the Audit &amp; </w:t>
      </w:r>
      <w:r w:rsidRPr="009F43FC">
        <w:rPr>
          <w:rFonts w:ascii="Arial" w:hAnsi="Arial" w:cs="Arial"/>
          <w:sz w:val="24"/>
          <w:szCs w:val="24"/>
        </w:rPr>
        <w:t xml:space="preserve">Counter Fraud Team will be sifted and vetted for strength of evidence. All those cases where it is considered that there are sufficient grounds to investigate will be progressed to establish whether any criminal </w:t>
      </w:r>
      <w:r w:rsidR="00F30EAF">
        <w:rPr>
          <w:rFonts w:ascii="Arial" w:hAnsi="Arial" w:cs="Arial"/>
          <w:sz w:val="24"/>
          <w:szCs w:val="24"/>
        </w:rPr>
        <w:t xml:space="preserve">or civil </w:t>
      </w:r>
      <w:r w:rsidRPr="009F43FC">
        <w:rPr>
          <w:rFonts w:ascii="Arial" w:hAnsi="Arial" w:cs="Arial"/>
          <w:sz w:val="24"/>
          <w:szCs w:val="24"/>
        </w:rPr>
        <w:t>offences have been committed and, in the case of any form of suspected non-occupation or subletting, whether there has been any breach of tenancy terms and conditions.</w:t>
      </w:r>
    </w:p>
    <w:p w14:paraId="7D10D190" w14:textId="77777777" w:rsidR="005614ED" w:rsidRPr="005614ED" w:rsidRDefault="005614ED" w:rsidP="005614ED">
      <w:pPr>
        <w:widowControl w:val="0"/>
        <w:suppressAutoHyphens/>
        <w:spacing w:after="0" w:line="240" w:lineRule="auto"/>
        <w:rPr>
          <w:rFonts w:ascii="Arial" w:hAnsi="Arial" w:cs="Arial"/>
          <w:sz w:val="24"/>
          <w:szCs w:val="24"/>
        </w:rPr>
      </w:pPr>
    </w:p>
    <w:p w14:paraId="0944723C" w14:textId="77777777" w:rsidR="00A358EC" w:rsidRPr="005C540F" w:rsidRDefault="00A358EC" w:rsidP="005614ED">
      <w:pPr>
        <w:pStyle w:val="Heading2"/>
      </w:pPr>
      <w:r w:rsidRPr="005C540F">
        <w:t>Supporting victims of unlawful subletting</w:t>
      </w:r>
    </w:p>
    <w:p w14:paraId="21DF1116" w14:textId="77777777" w:rsidR="00A358EC" w:rsidRPr="009F43FC" w:rsidRDefault="00A358EC" w:rsidP="00A358EC">
      <w:pPr>
        <w:pStyle w:val="ListParagraph"/>
        <w:widowControl w:val="0"/>
        <w:numPr>
          <w:ilvl w:val="0"/>
          <w:numId w:val="17"/>
        </w:numPr>
        <w:suppressAutoHyphens/>
        <w:spacing w:after="0" w:line="240" w:lineRule="auto"/>
        <w:contextualSpacing w:val="0"/>
        <w:rPr>
          <w:rFonts w:ascii="Arial" w:hAnsi="Arial" w:cs="Arial"/>
          <w:sz w:val="24"/>
          <w:szCs w:val="24"/>
        </w:rPr>
      </w:pPr>
      <w:r w:rsidRPr="009F43FC">
        <w:rPr>
          <w:rFonts w:ascii="Arial" w:hAnsi="Arial" w:cs="Arial"/>
          <w:sz w:val="24"/>
          <w:szCs w:val="24"/>
        </w:rPr>
        <w:t>Some unlawful sub-tenants may be unaware of their unlawful status and could be vulnerable to illegal eviction by the tenant at little or no notice when the situation has been uncovered. Unlawful sub-tenants are also vulnerable to eviction by the Council when it sets about recovering the property.</w:t>
      </w:r>
    </w:p>
    <w:p w14:paraId="059F2FB2" w14:textId="77777777" w:rsidR="00A358EC" w:rsidRPr="00CE33F2" w:rsidRDefault="00A358EC" w:rsidP="00A358EC">
      <w:pPr>
        <w:pStyle w:val="ListParagraph"/>
        <w:widowControl w:val="0"/>
        <w:ind w:left="740"/>
        <w:rPr>
          <w:rFonts w:ascii="Arial" w:hAnsi="Arial" w:cs="Arial"/>
          <w:sz w:val="16"/>
          <w:szCs w:val="24"/>
        </w:rPr>
      </w:pPr>
    </w:p>
    <w:p w14:paraId="46F563B4" w14:textId="77777777" w:rsidR="00A358EC" w:rsidRDefault="00A358EC" w:rsidP="00A358EC">
      <w:pPr>
        <w:pStyle w:val="ListParagraph"/>
        <w:widowControl w:val="0"/>
        <w:numPr>
          <w:ilvl w:val="0"/>
          <w:numId w:val="17"/>
        </w:numPr>
        <w:suppressAutoHyphens/>
        <w:spacing w:after="0" w:line="240" w:lineRule="auto"/>
        <w:contextualSpacing w:val="0"/>
        <w:rPr>
          <w:rFonts w:ascii="Arial" w:hAnsi="Arial" w:cs="Arial"/>
          <w:sz w:val="24"/>
          <w:szCs w:val="24"/>
        </w:rPr>
      </w:pPr>
      <w:r w:rsidRPr="009F43FC">
        <w:rPr>
          <w:rFonts w:ascii="Arial" w:hAnsi="Arial" w:cs="Arial"/>
          <w:sz w:val="24"/>
          <w:szCs w:val="24"/>
        </w:rPr>
        <w:t>Victims of unlawful subletting will be offered advice from the Housing Options and Private Sector team in relation to their future housing options and rights.</w:t>
      </w:r>
    </w:p>
    <w:p w14:paraId="4EFED864" w14:textId="77777777" w:rsidR="00A358EC" w:rsidRPr="005614ED" w:rsidRDefault="00A358EC" w:rsidP="005614ED">
      <w:pPr>
        <w:widowControl w:val="0"/>
        <w:rPr>
          <w:rFonts w:ascii="Arial" w:hAnsi="Arial" w:cs="Arial"/>
          <w:sz w:val="24"/>
          <w:szCs w:val="24"/>
        </w:rPr>
      </w:pPr>
    </w:p>
    <w:p w14:paraId="21C052AA" w14:textId="77777777" w:rsidR="00A358EC" w:rsidRPr="00E51C9F" w:rsidRDefault="00A358EC" w:rsidP="005614ED">
      <w:pPr>
        <w:pStyle w:val="Heading2"/>
      </w:pPr>
      <w:r w:rsidRPr="00E51C9F">
        <w:t xml:space="preserve">Action taken regarding tenancy </w:t>
      </w:r>
      <w:proofErr w:type="gramStart"/>
      <w:r w:rsidRPr="00E51C9F">
        <w:t>fraud</w:t>
      </w:r>
      <w:proofErr w:type="gramEnd"/>
    </w:p>
    <w:p w14:paraId="6A301188" w14:textId="77777777" w:rsidR="00A358EC" w:rsidRPr="009F43FC" w:rsidRDefault="00A358EC" w:rsidP="00A358EC">
      <w:pPr>
        <w:pStyle w:val="ListParagraph"/>
        <w:widowControl w:val="0"/>
        <w:numPr>
          <w:ilvl w:val="0"/>
          <w:numId w:val="18"/>
        </w:numPr>
        <w:suppressAutoHyphens/>
        <w:spacing w:after="0" w:line="240" w:lineRule="auto"/>
        <w:contextualSpacing w:val="0"/>
        <w:rPr>
          <w:rFonts w:ascii="Arial" w:hAnsi="Arial" w:cs="Arial"/>
          <w:sz w:val="24"/>
          <w:szCs w:val="24"/>
        </w:rPr>
      </w:pPr>
      <w:r w:rsidRPr="009F43FC">
        <w:rPr>
          <w:rFonts w:ascii="Arial" w:hAnsi="Arial" w:cs="Arial"/>
          <w:sz w:val="24"/>
          <w:szCs w:val="24"/>
        </w:rPr>
        <w:t>Landlord Services always take enforcement action where fraud has been detected.</w:t>
      </w:r>
    </w:p>
    <w:p w14:paraId="511D7D13" w14:textId="77777777" w:rsidR="00A358EC" w:rsidRPr="00CE33F2" w:rsidRDefault="00A358EC" w:rsidP="00A358EC">
      <w:pPr>
        <w:widowControl w:val="0"/>
        <w:ind w:left="720" w:hanging="720"/>
        <w:rPr>
          <w:rFonts w:ascii="Arial" w:hAnsi="Arial" w:cs="Arial"/>
          <w:sz w:val="16"/>
          <w:szCs w:val="24"/>
        </w:rPr>
      </w:pPr>
    </w:p>
    <w:p w14:paraId="4751B102" w14:textId="77777777" w:rsidR="000216EF" w:rsidRDefault="00A358EC" w:rsidP="000216EF">
      <w:pPr>
        <w:pStyle w:val="ListParagraph"/>
        <w:widowControl w:val="0"/>
        <w:numPr>
          <w:ilvl w:val="0"/>
          <w:numId w:val="18"/>
        </w:numPr>
        <w:suppressAutoHyphens/>
        <w:spacing w:after="0" w:line="240" w:lineRule="auto"/>
        <w:contextualSpacing w:val="0"/>
        <w:rPr>
          <w:rFonts w:ascii="Arial" w:hAnsi="Arial" w:cs="Arial"/>
          <w:sz w:val="24"/>
          <w:szCs w:val="24"/>
        </w:rPr>
      </w:pPr>
      <w:r w:rsidRPr="009F43FC">
        <w:rPr>
          <w:rFonts w:ascii="Arial" w:hAnsi="Arial" w:cs="Arial"/>
          <w:sz w:val="24"/>
          <w:szCs w:val="24"/>
        </w:rPr>
        <w:t>Tenancy fraud investigations will be carried out by trained investigators from the Council’s Audit &amp; Counter Fraud Team and where tenancy misuse is discovered then appropriate action will be taken against the perpetrators.</w:t>
      </w:r>
    </w:p>
    <w:p w14:paraId="79B6A267" w14:textId="77777777" w:rsidR="000216EF" w:rsidRPr="000216EF" w:rsidRDefault="000216EF" w:rsidP="000216EF">
      <w:pPr>
        <w:pStyle w:val="ListParagraph"/>
        <w:rPr>
          <w:rFonts w:ascii="Arial" w:hAnsi="Arial" w:cs="Arial"/>
          <w:sz w:val="24"/>
          <w:szCs w:val="24"/>
        </w:rPr>
      </w:pPr>
    </w:p>
    <w:p w14:paraId="25CA3CB6" w14:textId="77777777" w:rsidR="000216EF" w:rsidRDefault="00A358EC" w:rsidP="000216EF">
      <w:pPr>
        <w:pStyle w:val="ListParagraph"/>
        <w:widowControl w:val="0"/>
        <w:numPr>
          <w:ilvl w:val="0"/>
          <w:numId w:val="18"/>
        </w:numPr>
        <w:suppressAutoHyphens/>
        <w:spacing w:after="0" w:line="240" w:lineRule="auto"/>
        <w:contextualSpacing w:val="0"/>
        <w:rPr>
          <w:rFonts w:ascii="Arial" w:hAnsi="Arial" w:cs="Arial"/>
          <w:sz w:val="24"/>
          <w:szCs w:val="24"/>
        </w:rPr>
      </w:pPr>
      <w:r w:rsidRPr="000216EF">
        <w:rPr>
          <w:rFonts w:ascii="Arial" w:hAnsi="Arial" w:cs="Arial"/>
          <w:sz w:val="24"/>
          <w:szCs w:val="24"/>
        </w:rPr>
        <w:t xml:space="preserve">Where tenancy fraud has been detected and thoroughly investigated </w:t>
      </w:r>
      <w:r w:rsidR="00F70277" w:rsidRPr="000216EF">
        <w:rPr>
          <w:rFonts w:ascii="Arial" w:hAnsi="Arial" w:cs="Arial"/>
          <w:sz w:val="24"/>
          <w:szCs w:val="24"/>
        </w:rPr>
        <w:t>legal</w:t>
      </w:r>
      <w:r w:rsidRPr="000216EF">
        <w:rPr>
          <w:rFonts w:ascii="Arial" w:hAnsi="Arial" w:cs="Arial"/>
          <w:sz w:val="24"/>
          <w:szCs w:val="24"/>
        </w:rPr>
        <w:t xml:space="preserve"> action may be taken to </w:t>
      </w:r>
      <w:r w:rsidR="00F70277" w:rsidRPr="000216EF">
        <w:rPr>
          <w:rFonts w:ascii="Arial" w:hAnsi="Arial" w:cs="Arial"/>
          <w:sz w:val="24"/>
          <w:szCs w:val="24"/>
        </w:rPr>
        <w:t xml:space="preserve">bring the tenancy to an end and </w:t>
      </w:r>
      <w:r w:rsidRPr="000216EF">
        <w:rPr>
          <w:rFonts w:ascii="Arial" w:hAnsi="Arial" w:cs="Arial"/>
          <w:sz w:val="24"/>
          <w:szCs w:val="24"/>
        </w:rPr>
        <w:t xml:space="preserve">repossess the </w:t>
      </w:r>
      <w:r w:rsidR="00F70277" w:rsidRPr="000216EF">
        <w:rPr>
          <w:rFonts w:ascii="Arial" w:hAnsi="Arial" w:cs="Arial"/>
          <w:sz w:val="24"/>
          <w:szCs w:val="24"/>
        </w:rPr>
        <w:t>property.</w:t>
      </w:r>
      <w:r w:rsidR="000216EF">
        <w:rPr>
          <w:rFonts w:ascii="Arial" w:hAnsi="Arial" w:cs="Arial"/>
          <w:sz w:val="24"/>
          <w:szCs w:val="24"/>
        </w:rPr>
        <w:t xml:space="preserve"> </w:t>
      </w:r>
      <w:r w:rsidRPr="000216EF">
        <w:rPr>
          <w:rFonts w:ascii="Arial" w:hAnsi="Arial" w:cs="Arial"/>
          <w:sz w:val="24"/>
          <w:szCs w:val="24"/>
        </w:rPr>
        <w:t>This will be done</w:t>
      </w:r>
      <w:r w:rsidR="00F70277" w:rsidRPr="000216EF">
        <w:rPr>
          <w:rFonts w:ascii="Arial" w:hAnsi="Arial" w:cs="Arial"/>
          <w:sz w:val="24"/>
          <w:szCs w:val="24"/>
        </w:rPr>
        <w:t xml:space="preserve"> bas</w:t>
      </w:r>
      <w:r w:rsidR="000216EF">
        <w:rPr>
          <w:rFonts w:ascii="Arial" w:hAnsi="Arial" w:cs="Arial"/>
          <w:sz w:val="24"/>
          <w:szCs w:val="24"/>
        </w:rPr>
        <w:t>e</w:t>
      </w:r>
      <w:r w:rsidR="00F70277" w:rsidRPr="000216EF">
        <w:rPr>
          <w:rFonts w:ascii="Arial" w:hAnsi="Arial" w:cs="Arial"/>
          <w:sz w:val="24"/>
          <w:szCs w:val="24"/>
        </w:rPr>
        <w:t>d on advice received from Legal Services.</w:t>
      </w:r>
      <w:r w:rsidRPr="000216EF">
        <w:rPr>
          <w:rFonts w:ascii="Arial" w:hAnsi="Arial" w:cs="Arial"/>
          <w:sz w:val="24"/>
          <w:szCs w:val="24"/>
        </w:rPr>
        <w:t xml:space="preserve"> </w:t>
      </w:r>
    </w:p>
    <w:p w14:paraId="20BF335F" w14:textId="77777777" w:rsidR="000216EF" w:rsidRDefault="000216EF" w:rsidP="000216EF">
      <w:pPr>
        <w:pStyle w:val="ListParagraph"/>
      </w:pPr>
    </w:p>
    <w:p w14:paraId="57FDDB95" w14:textId="1EEA039B" w:rsidR="00AA150F" w:rsidRPr="000216EF" w:rsidRDefault="00AA150F" w:rsidP="000216EF">
      <w:pPr>
        <w:pStyle w:val="Heading1"/>
        <w:numPr>
          <w:ilvl w:val="0"/>
          <w:numId w:val="1"/>
        </w:numPr>
        <w:rPr>
          <w:rFonts w:ascii="Arial" w:hAnsi="Arial" w:cs="Arial"/>
          <w:sz w:val="24"/>
          <w:szCs w:val="24"/>
        </w:rPr>
      </w:pPr>
      <w:r>
        <w:t xml:space="preserve">Role, </w:t>
      </w:r>
      <w:r w:rsidR="00B76EAA">
        <w:t>responsibilities,</w:t>
      </w:r>
      <w:r>
        <w:t xml:space="preserve"> and authority</w:t>
      </w:r>
    </w:p>
    <w:p w14:paraId="40DDD5D8" w14:textId="77777777" w:rsidR="005614ED" w:rsidRDefault="005614ED" w:rsidP="005614ED">
      <w:pPr>
        <w:pStyle w:val="ListParagraph"/>
        <w:widowControl w:val="0"/>
        <w:numPr>
          <w:ilvl w:val="1"/>
          <w:numId w:val="1"/>
        </w:numPr>
        <w:suppressAutoHyphens/>
        <w:spacing w:after="0" w:line="240" w:lineRule="auto"/>
        <w:rPr>
          <w:rFonts w:ascii="Arial" w:hAnsi="Arial" w:cs="Arial"/>
          <w:sz w:val="24"/>
          <w:szCs w:val="24"/>
        </w:rPr>
      </w:pPr>
      <w:r w:rsidRPr="005614ED">
        <w:rPr>
          <w:rFonts w:ascii="Arial" w:hAnsi="Arial" w:cs="Arial"/>
          <w:sz w:val="24"/>
          <w:szCs w:val="24"/>
        </w:rPr>
        <w:t>The Assistant Director of Physical and Cultural Regeneration retains the overall responsibility for the implementation of this policy prior to involvement from the Audit &amp; Counter Fraud Team.</w:t>
      </w:r>
    </w:p>
    <w:p w14:paraId="19619CD5" w14:textId="024B90E6" w:rsidR="005614ED" w:rsidRDefault="005614ED" w:rsidP="005614ED">
      <w:pPr>
        <w:pStyle w:val="ListParagraph"/>
        <w:widowControl w:val="0"/>
        <w:numPr>
          <w:ilvl w:val="1"/>
          <w:numId w:val="1"/>
        </w:numPr>
        <w:suppressAutoHyphens/>
        <w:spacing w:after="0" w:line="240" w:lineRule="auto"/>
        <w:rPr>
          <w:rFonts w:ascii="Arial" w:hAnsi="Arial" w:cs="Arial"/>
          <w:sz w:val="24"/>
          <w:szCs w:val="24"/>
        </w:rPr>
      </w:pPr>
      <w:r w:rsidRPr="005614ED">
        <w:rPr>
          <w:rFonts w:ascii="Arial" w:hAnsi="Arial" w:cs="Arial"/>
          <w:sz w:val="24"/>
          <w:szCs w:val="24"/>
        </w:rPr>
        <w:lastRenderedPageBreak/>
        <w:t xml:space="preserve">The </w:t>
      </w:r>
      <w:r w:rsidR="00B76EAA">
        <w:rPr>
          <w:rFonts w:ascii="Arial" w:hAnsi="Arial" w:cs="Arial"/>
          <w:sz w:val="24"/>
          <w:szCs w:val="24"/>
        </w:rPr>
        <w:t>Head of Tenant Services</w:t>
      </w:r>
      <w:r w:rsidRPr="005614ED">
        <w:rPr>
          <w:rFonts w:ascii="Arial" w:hAnsi="Arial" w:cs="Arial"/>
          <w:sz w:val="24"/>
          <w:szCs w:val="24"/>
        </w:rPr>
        <w:t xml:space="preserve"> is responsible for the operational delivery of this policy and the associated procedures prior to referrals to the Audit &amp; Counter Fraud Team.</w:t>
      </w:r>
    </w:p>
    <w:p w14:paraId="50CA574B" w14:textId="77777777" w:rsidR="005614ED" w:rsidRPr="005614ED" w:rsidRDefault="005614ED" w:rsidP="005614ED">
      <w:pPr>
        <w:pStyle w:val="ListParagraph"/>
        <w:widowControl w:val="0"/>
        <w:numPr>
          <w:ilvl w:val="1"/>
          <w:numId w:val="1"/>
        </w:numPr>
        <w:suppressAutoHyphens/>
        <w:spacing w:after="0" w:line="240" w:lineRule="auto"/>
        <w:rPr>
          <w:rFonts w:ascii="Arial" w:hAnsi="Arial" w:cs="Arial"/>
          <w:sz w:val="24"/>
          <w:szCs w:val="24"/>
        </w:rPr>
      </w:pPr>
      <w:r>
        <w:rPr>
          <w:rFonts w:ascii="Arial" w:hAnsi="Arial" w:cs="Arial"/>
          <w:sz w:val="24"/>
          <w:szCs w:val="24"/>
        </w:rPr>
        <w:t xml:space="preserve"> </w:t>
      </w:r>
      <w:r w:rsidRPr="005614ED">
        <w:rPr>
          <w:rFonts w:ascii="Arial" w:hAnsi="Arial" w:cs="Arial"/>
          <w:sz w:val="24"/>
          <w:szCs w:val="24"/>
        </w:rPr>
        <w:t>All employees involved in Tenancy Management are responsible for implementing this policy.</w:t>
      </w:r>
    </w:p>
    <w:p w14:paraId="7D83AFC2" w14:textId="77777777" w:rsidR="00CB11CD" w:rsidRPr="00CB11CD" w:rsidRDefault="00CB11CD" w:rsidP="00CB11CD"/>
    <w:p w14:paraId="3FFAABAC" w14:textId="229DBD9E" w:rsidR="00AA150F" w:rsidRDefault="00AA150F" w:rsidP="000216EF">
      <w:pPr>
        <w:pStyle w:val="Heading1"/>
        <w:numPr>
          <w:ilvl w:val="0"/>
          <w:numId w:val="1"/>
        </w:numPr>
      </w:pPr>
      <w:r>
        <w:t xml:space="preserve">Monitoring, </w:t>
      </w:r>
      <w:r w:rsidR="00A84DF8">
        <w:t>review,</w:t>
      </w:r>
      <w:r>
        <w:t xml:space="preserve"> and evaluation</w:t>
      </w:r>
    </w:p>
    <w:p w14:paraId="0E98CB9D" w14:textId="77777777" w:rsidR="005614ED" w:rsidRDefault="005614ED" w:rsidP="005614ED">
      <w:pPr>
        <w:pStyle w:val="ListParagraph"/>
        <w:widowControl w:val="0"/>
        <w:numPr>
          <w:ilvl w:val="1"/>
          <w:numId w:val="1"/>
        </w:numPr>
        <w:suppressAutoHyphens/>
        <w:spacing w:after="0" w:line="240" w:lineRule="auto"/>
        <w:rPr>
          <w:rFonts w:ascii="Arial" w:hAnsi="Arial" w:cs="Arial"/>
          <w:sz w:val="24"/>
          <w:szCs w:val="24"/>
        </w:rPr>
      </w:pPr>
      <w:r w:rsidRPr="005614ED">
        <w:rPr>
          <w:rFonts w:ascii="Arial" w:hAnsi="Arial" w:cs="Arial"/>
          <w:sz w:val="24"/>
          <w:szCs w:val="24"/>
        </w:rPr>
        <w:t>Senior management will monitor the effectiveness of this policy.</w:t>
      </w:r>
    </w:p>
    <w:p w14:paraId="16C80F9E" w14:textId="77777777" w:rsidR="005614ED" w:rsidRPr="005614ED" w:rsidRDefault="005614ED" w:rsidP="005614ED">
      <w:pPr>
        <w:pStyle w:val="ListParagraph"/>
        <w:widowControl w:val="0"/>
        <w:numPr>
          <w:ilvl w:val="1"/>
          <w:numId w:val="1"/>
        </w:numPr>
        <w:suppressAutoHyphens/>
        <w:spacing w:after="0" w:line="240" w:lineRule="auto"/>
        <w:rPr>
          <w:rFonts w:ascii="Arial" w:hAnsi="Arial" w:cs="Arial"/>
          <w:sz w:val="24"/>
          <w:szCs w:val="24"/>
        </w:rPr>
      </w:pPr>
      <w:r w:rsidRPr="005614ED">
        <w:rPr>
          <w:rFonts w:ascii="Arial" w:hAnsi="Arial" w:cs="Arial"/>
          <w:sz w:val="24"/>
          <w:szCs w:val="24"/>
        </w:rPr>
        <w:t>This policy will be reviewed every two years or in line with legislative or regulatory changes.</w:t>
      </w:r>
    </w:p>
    <w:p w14:paraId="140BE21D" w14:textId="77777777" w:rsidR="00CB11CD" w:rsidRDefault="00CB11CD" w:rsidP="00CB11CD">
      <w:pPr>
        <w:pStyle w:val="BodyText"/>
        <w:tabs>
          <w:tab w:val="left" w:pos="540"/>
        </w:tabs>
        <w:ind w:left="720"/>
        <w:rPr>
          <w:lang w:val="en-GB"/>
        </w:rPr>
      </w:pPr>
    </w:p>
    <w:p w14:paraId="26EE317A" w14:textId="77777777" w:rsidR="00CB11CD" w:rsidRDefault="00CB11CD" w:rsidP="00AA150F">
      <w:pPr>
        <w:rPr>
          <w:rFonts w:ascii="Arial" w:eastAsia="Times New Roman" w:hAnsi="Arial" w:cs="Arial"/>
          <w:sz w:val="24"/>
          <w:szCs w:val="24"/>
        </w:rPr>
      </w:pPr>
    </w:p>
    <w:p w14:paraId="1AECDEFA" w14:textId="504A13AC" w:rsidR="00AA150F" w:rsidRDefault="005614ED" w:rsidP="00AA150F">
      <w:r>
        <w:t xml:space="preserve">This version published: </w:t>
      </w:r>
      <w:r w:rsidR="00A84DF8">
        <w:t>April 2023</w:t>
      </w:r>
    </w:p>
    <w:p w14:paraId="0C32E581" w14:textId="0C296A84" w:rsidR="00AA150F" w:rsidRDefault="005614ED" w:rsidP="00AA150F">
      <w:r>
        <w:t xml:space="preserve">Next review due: </w:t>
      </w:r>
      <w:r w:rsidR="00A84DF8">
        <w:t>April 2025</w:t>
      </w:r>
    </w:p>
    <w:p w14:paraId="179B40AF" w14:textId="77777777" w:rsidR="00AA150F" w:rsidRPr="00AA150F" w:rsidRDefault="00AA150F" w:rsidP="00AA150F"/>
    <w:sectPr w:rsidR="00AA150F" w:rsidRPr="00AA150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D98F" w14:textId="77777777" w:rsidR="00846681" w:rsidRDefault="00846681" w:rsidP="004B135C">
      <w:pPr>
        <w:spacing w:after="0" w:line="240" w:lineRule="auto"/>
      </w:pPr>
      <w:r>
        <w:separator/>
      </w:r>
    </w:p>
  </w:endnote>
  <w:endnote w:type="continuationSeparator" w:id="0">
    <w:p w14:paraId="0C6598EE" w14:textId="77777777" w:rsidR="00846681" w:rsidRDefault="00846681"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56869A63" w14:textId="078EEF11"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03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030A">
              <w:rPr>
                <w:b/>
                <w:bCs/>
                <w:noProof/>
              </w:rPr>
              <w:t>6</w:t>
            </w:r>
            <w:r>
              <w:rPr>
                <w:b/>
                <w:bCs/>
                <w:sz w:val="24"/>
                <w:szCs w:val="24"/>
              </w:rPr>
              <w:fldChar w:fldCharType="end"/>
            </w:r>
          </w:p>
        </w:sdtContent>
      </w:sdt>
    </w:sdtContent>
  </w:sdt>
  <w:p w14:paraId="04DD9CA3"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9256" w14:textId="77777777" w:rsidR="00846681" w:rsidRDefault="00846681" w:rsidP="004B135C">
      <w:pPr>
        <w:spacing w:after="0" w:line="240" w:lineRule="auto"/>
      </w:pPr>
      <w:r>
        <w:separator/>
      </w:r>
    </w:p>
  </w:footnote>
  <w:footnote w:type="continuationSeparator" w:id="0">
    <w:p w14:paraId="21E233B5" w14:textId="77777777" w:rsidR="00846681" w:rsidRDefault="00846681"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5E5CACA3"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14DC90AE"/>
    <w:lvl w:ilvl="0">
      <w:start w:val="1"/>
      <w:numFmt w:val="decimal"/>
      <w:lvlText w:val="%1."/>
      <w:lvlJc w:val="left"/>
      <w:pPr>
        <w:tabs>
          <w:tab w:val="num" w:pos="380"/>
        </w:tabs>
        <w:ind w:left="380" w:hanging="360"/>
      </w:pPr>
      <w:rPr>
        <w:rFonts w:ascii="Arial" w:hAnsi="Arial"/>
        <w:b/>
        <w:bCs w:val="0"/>
        <w:sz w:val="22"/>
        <w:szCs w:val="22"/>
      </w:rPr>
    </w:lvl>
    <w:lvl w:ilvl="1">
      <w:start w:val="1"/>
      <w:numFmt w:val="decimal"/>
      <w:lvlText w:val="%1.%2"/>
      <w:lvlJc w:val="left"/>
      <w:pPr>
        <w:tabs>
          <w:tab w:val="num" w:pos="740"/>
        </w:tabs>
        <w:ind w:left="740" w:hanging="360"/>
      </w:pPr>
      <w:rPr>
        <w:rFonts w:ascii="Arial" w:hAnsi="Arial"/>
        <w:b w:val="0"/>
        <w:bCs w:val="0"/>
        <w:sz w:val="24"/>
        <w:szCs w:val="24"/>
      </w:rPr>
    </w:lvl>
    <w:lvl w:ilvl="2">
      <w:start w:val="1"/>
      <w:numFmt w:val="decimal"/>
      <w:lvlText w:val="%1.%2.%3."/>
      <w:lvlJc w:val="left"/>
      <w:pPr>
        <w:tabs>
          <w:tab w:val="num" w:pos="1100"/>
        </w:tabs>
        <w:ind w:left="1100" w:hanging="360"/>
      </w:pPr>
    </w:lvl>
    <w:lvl w:ilvl="3">
      <w:start w:val="1"/>
      <w:numFmt w:val="decimal"/>
      <w:lvlText w:val="%1.%2.%3.%4."/>
      <w:lvlJc w:val="left"/>
      <w:pPr>
        <w:tabs>
          <w:tab w:val="num" w:pos="1460"/>
        </w:tabs>
        <w:ind w:left="1460" w:hanging="360"/>
      </w:pPr>
    </w:lvl>
    <w:lvl w:ilvl="4">
      <w:start w:val="1"/>
      <w:numFmt w:val="decimal"/>
      <w:lvlText w:val="%1.%2.%3.%4.%5."/>
      <w:lvlJc w:val="left"/>
      <w:pPr>
        <w:tabs>
          <w:tab w:val="num" w:pos="1820"/>
        </w:tabs>
        <w:ind w:left="1820" w:hanging="360"/>
      </w:pPr>
    </w:lvl>
    <w:lvl w:ilvl="5">
      <w:start w:val="1"/>
      <w:numFmt w:val="decimal"/>
      <w:lvlText w:val="%1.%2.%3.%4.%5.%6."/>
      <w:lvlJc w:val="left"/>
      <w:pPr>
        <w:tabs>
          <w:tab w:val="num" w:pos="2180"/>
        </w:tabs>
        <w:ind w:left="2180" w:hanging="360"/>
      </w:pPr>
    </w:lvl>
    <w:lvl w:ilvl="6">
      <w:start w:val="1"/>
      <w:numFmt w:val="decimal"/>
      <w:lvlText w:val="%1.%2.%3.%4.%5.%6.%7."/>
      <w:lvlJc w:val="left"/>
      <w:pPr>
        <w:tabs>
          <w:tab w:val="num" w:pos="2540"/>
        </w:tabs>
        <w:ind w:left="2540" w:hanging="360"/>
      </w:pPr>
    </w:lvl>
    <w:lvl w:ilvl="7">
      <w:start w:val="1"/>
      <w:numFmt w:val="decimal"/>
      <w:lvlText w:val="%1.%2.%3.%4.%5.%6.%7.%8."/>
      <w:lvlJc w:val="left"/>
      <w:pPr>
        <w:tabs>
          <w:tab w:val="num" w:pos="2900"/>
        </w:tabs>
        <w:ind w:left="2900" w:hanging="360"/>
      </w:pPr>
    </w:lvl>
    <w:lvl w:ilvl="8">
      <w:start w:val="1"/>
      <w:numFmt w:val="decimal"/>
      <w:lvlText w:val="%1.%2.%3.%4.%5.%6.%7.%8.%9."/>
      <w:lvlJc w:val="left"/>
      <w:pPr>
        <w:tabs>
          <w:tab w:val="num" w:pos="3260"/>
        </w:tabs>
        <w:ind w:left="3260" w:hanging="360"/>
      </w:pPr>
    </w:lvl>
  </w:abstractNum>
  <w:abstractNum w:abstractNumId="1" w15:restartNumberingAfterBreak="0">
    <w:nsid w:val="045C5B95"/>
    <w:multiLevelType w:val="hybridMultilevel"/>
    <w:tmpl w:val="168E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6E1F"/>
    <w:multiLevelType w:val="hybridMultilevel"/>
    <w:tmpl w:val="7010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0025"/>
    <w:multiLevelType w:val="hybridMultilevel"/>
    <w:tmpl w:val="202C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5566C"/>
    <w:multiLevelType w:val="hybridMultilevel"/>
    <w:tmpl w:val="5EB2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8635A"/>
    <w:multiLevelType w:val="hybridMultilevel"/>
    <w:tmpl w:val="6D02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E7EA2"/>
    <w:multiLevelType w:val="hybridMultilevel"/>
    <w:tmpl w:val="680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9" w15:restartNumberingAfterBreak="0">
    <w:nsid w:val="2B2577C0"/>
    <w:multiLevelType w:val="hybridMultilevel"/>
    <w:tmpl w:val="4B1E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469D4"/>
    <w:multiLevelType w:val="hybridMultilevel"/>
    <w:tmpl w:val="2A12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22D82"/>
    <w:multiLevelType w:val="hybridMultilevel"/>
    <w:tmpl w:val="699C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90546"/>
    <w:multiLevelType w:val="hybridMultilevel"/>
    <w:tmpl w:val="22B6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668D3"/>
    <w:multiLevelType w:val="hybridMultilevel"/>
    <w:tmpl w:val="F2D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A7684"/>
    <w:multiLevelType w:val="hybridMultilevel"/>
    <w:tmpl w:val="1B28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A432E"/>
    <w:multiLevelType w:val="hybridMultilevel"/>
    <w:tmpl w:val="CC32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E5DAF"/>
    <w:multiLevelType w:val="hybridMultilevel"/>
    <w:tmpl w:val="9F86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71E3C"/>
    <w:multiLevelType w:val="hybridMultilevel"/>
    <w:tmpl w:val="489E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711C7"/>
    <w:multiLevelType w:val="hybridMultilevel"/>
    <w:tmpl w:val="2002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E78FE"/>
    <w:multiLevelType w:val="hybridMultilevel"/>
    <w:tmpl w:val="DF9C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074468">
    <w:abstractNumId w:val="7"/>
  </w:num>
  <w:num w:numId="2" w16cid:durableId="1501920839">
    <w:abstractNumId w:val="8"/>
  </w:num>
  <w:num w:numId="3" w16cid:durableId="508060467">
    <w:abstractNumId w:val="0"/>
  </w:num>
  <w:num w:numId="4" w16cid:durableId="668102028">
    <w:abstractNumId w:val="4"/>
  </w:num>
  <w:num w:numId="5" w16cid:durableId="132870650">
    <w:abstractNumId w:val="2"/>
  </w:num>
  <w:num w:numId="6" w16cid:durableId="1504935693">
    <w:abstractNumId w:val="10"/>
  </w:num>
  <w:num w:numId="7" w16cid:durableId="290021999">
    <w:abstractNumId w:val="11"/>
  </w:num>
  <w:num w:numId="8" w16cid:durableId="1606693128">
    <w:abstractNumId w:val="12"/>
  </w:num>
  <w:num w:numId="9" w16cid:durableId="2001421359">
    <w:abstractNumId w:val="17"/>
  </w:num>
  <w:num w:numId="10" w16cid:durableId="672417565">
    <w:abstractNumId w:val="16"/>
  </w:num>
  <w:num w:numId="11" w16cid:durableId="734818648">
    <w:abstractNumId w:val="13"/>
  </w:num>
  <w:num w:numId="12" w16cid:durableId="105201612">
    <w:abstractNumId w:val="15"/>
  </w:num>
  <w:num w:numId="13" w16cid:durableId="331297057">
    <w:abstractNumId w:val="9"/>
  </w:num>
  <w:num w:numId="14" w16cid:durableId="1699621021">
    <w:abstractNumId w:val="5"/>
  </w:num>
  <w:num w:numId="15" w16cid:durableId="620720727">
    <w:abstractNumId w:val="1"/>
  </w:num>
  <w:num w:numId="16" w16cid:durableId="19091775">
    <w:abstractNumId w:val="6"/>
  </w:num>
  <w:num w:numId="17" w16cid:durableId="2107997148">
    <w:abstractNumId w:val="3"/>
  </w:num>
  <w:num w:numId="18" w16cid:durableId="1533879264">
    <w:abstractNumId w:val="18"/>
  </w:num>
  <w:num w:numId="19" w16cid:durableId="1235821846">
    <w:abstractNumId w:val="14"/>
  </w:num>
  <w:num w:numId="20" w16cid:durableId="3324929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216EF"/>
    <w:rsid w:val="00046942"/>
    <w:rsid w:val="00072269"/>
    <w:rsid w:val="00072657"/>
    <w:rsid w:val="00193155"/>
    <w:rsid w:val="002F0FCD"/>
    <w:rsid w:val="0039161F"/>
    <w:rsid w:val="00485B4C"/>
    <w:rsid w:val="004B135C"/>
    <w:rsid w:val="004E1AEF"/>
    <w:rsid w:val="005614ED"/>
    <w:rsid w:val="00592FBC"/>
    <w:rsid w:val="00612008"/>
    <w:rsid w:val="006B699F"/>
    <w:rsid w:val="007062ED"/>
    <w:rsid w:val="00725162"/>
    <w:rsid w:val="007635DE"/>
    <w:rsid w:val="00835EB0"/>
    <w:rsid w:val="00846681"/>
    <w:rsid w:val="00850BDE"/>
    <w:rsid w:val="008B0E10"/>
    <w:rsid w:val="00901272"/>
    <w:rsid w:val="00906BE9"/>
    <w:rsid w:val="00A045EB"/>
    <w:rsid w:val="00A056B0"/>
    <w:rsid w:val="00A358EC"/>
    <w:rsid w:val="00A36E66"/>
    <w:rsid w:val="00A84DF8"/>
    <w:rsid w:val="00A9030A"/>
    <w:rsid w:val="00AA150F"/>
    <w:rsid w:val="00B724B4"/>
    <w:rsid w:val="00B76EAA"/>
    <w:rsid w:val="00CB11CD"/>
    <w:rsid w:val="00CB72F8"/>
    <w:rsid w:val="00E409AB"/>
    <w:rsid w:val="00EF387B"/>
    <w:rsid w:val="00F30EAF"/>
    <w:rsid w:val="00F70277"/>
    <w:rsid w:val="00FC05C0"/>
    <w:rsid w:val="00FC2FF3"/>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53D6A"/>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5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58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A358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58E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B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2F8"/>
    <w:rPr>
      <w:rFonts w:ascii="Segoe UI" w:hAnsi="Segoe UI" w:cs="Segoe UI"/>
      <w:sz w:val="18"/>
      <w:szCs w:val="18"/>
    </w:rPr>
  </w:style>
  <w:style w:type="character" w:styleId="CommentReference">
    <w:name w:val="annotation reference"/>
    <w:basedOn w:val="DefaultParagraphFont"/>
    <w:uiPriority w:val="99"/>
    <w:semiHidden/>
    <w:unhideWhenUsed/>
    <w:rsid w:val="00901272"/>
    <w:rPr>
      <w:sz w:val="16"/>
      <w:szCs w:val="16"/>
    </w:rPr>
  </w:style>
  <w:style w:type="paragraph" w:styleId="CommentText">
    <w:name w:val="annotation text"/>
    <w:basedOn w:val="Normal"/>
    <w:link w:val="CommentTextChar"/>
    <w:uiPriority w:val="99"/>
    <w:semiHidden/>
    <w:unhideWhenUsed/>
    <w:rsid w:val="00901272"/>
    <w:pPr>
      <w:spacing w:line="240" w:lineRule="auto"/>
    </w:pPr>
    <w:rPr>
      <w:sz w:val="20"/>
      <w:szCs w:val="20"/>
    </w:rPr>
  </w:style>
  <w:style w:type="character" w:customStyle="1" w:styleId="CommentTextChar">
    <w:name w:val="Comment Text Char"/>
    <w:basedOn w:val="DefaultParagraphFont"/>
    <w:link w:val="CommentText"/>
    <w:uiPriority w:val="99"/>
    <w:semiHidden/>
    <w:rsid w:val="00901272"/>
    <w:rPr>
      <w:sz w:val="20"/>
      <w:szCs w:val="20"/>
    </w:rPr>
  </w:style>
  <w:style w:type="paragraph" w:styleId="CommentSubject">
    <w:name w:val="annotation subject"/>
    <w:basedOn w:val="CommentText"/>
    <w:next w:val="CommentText"/>
    <w:link w:val="CommentSubjectChar"/>
    <w:uiPriority w:val="99"/>
    <w:semiHidden/>
    <w:unhideWhenUsed/>
    <w:rsid w:val="00901272"/>
    <w:rPr>
      <w:b/>
      <w:bCs/>
    </w:rPr>
  </w:style>
  <w:style w:type="character" w:customStyle="1" w:styleId="CommentSubjectChar">
    <w:name w:val="Comment Subject Char"/>
    <w:basedOn w:val="CommentTextChar"/>
    <w:link w:val="CommentSubject"/>
    <w:uiPriority w:val="99"/>
    <w:semiHidden/>
    <w:rsid w:val="00901272"/>
    <w:rPr>
      <w:b/>
      <w:bCs/>
      <w:sz w:val="20"/>
      <w:szCs w:val="20"/>
    </w:rPr>
  </w:style>
  <w:style w:type="character" w:styleId="Hyperlink">
    <w:name w:val="Hyperlink"/>
    <w:basedOn w:val="DefaultParagraphFont"/>
    <w:uiPriority w:val="99"/>
    <w:unhideWhenUsed/>
    <w:rsid w:val="00193155"/>
    <w:rPr>
      <w:color w:val="0000FF"/>
      <w:u w:val="single"/>
    </w:rPr>
  </w:style>
  <w:style w:type="paragraph" w:customStyle="1" w:styleId="Default">
    <w:name w:val="Default"/>
    <w:rsid w:val="0019315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F38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5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way.gov.uk/xfp/form/2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igation.team@medway.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xfp/form/25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vestigation.team@medw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63792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D5782"/>
    <w:rsid w:val="00605B72"/>
    <w:rsid w:val="00637921"/>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949D5F8AA754E8ACC9865701C7783" ma:contentTypeVersion="13" ma:contentTypeDescription="Create a new document." ma:contentTypeScope="" ma:versionID="7f5357e8f2908701a3d252547e129cfc">
  <xsd:schema xmlns:xsd="http://www.w3.org/2001/XMLSchema" xmlns:xs="http://www.w3.org/2001/XMLSchema" xmlns:p="http://schemas.microsoft.com/office/2006/metadata/properties" xmlns:ns3="5ba62248-902a-44d1-9b52-28ac06b42455" xmlns:ns4="c4508e2c-6468-4e00-93f4-0cf6ccdc176b" targetNamespace="http://schemas.microsoft.com/office/2006/metadata/properties" ma:root="true" ma:fieldsID="f7a99e75ec8965581491ed48cb8875e2" ns3:_="" ns4:_="">
    <xsd:import namespace="5ba62248-902a-44d1-9b52-28ac06b42455"/>
    <xsd:import namespace="c4508e2c-6468-4e00-93f4-0cf6ccdc17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2248-902a-44d1-9b52-28ac06b42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08e2c-6468-4e00-93f4-0cf6ccdc17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FC35B-E16F-42D1-95AA-C843FD2DFC94}">
  <ds:schemaRefs>
    <ds:schemaRef ds:uri="http://purl.org/dc/dcmitype/"/>
    <ds:schemaRef ds:uri="http://schemas.microsoft.com/office/2006/documentManagement/types"/>
    <ds:schemaRef ds:uri="http://purl.org/dc/terms/"/>
    <ds:schemaRef ds:uri="http://www.w3.org/XML/1998/namespace"/>
    <ds:schemaRef ds:uri="5ba62248-902a-44d1-9b52-28ac06b42455"/>
    <ds:schemaRef ds:uri="http://purl.org/dc/elements/1.1/"/>
    <ds:schemaRef ds:uri="http://schemas.microsoft.com/office/infopath/2007/PartnerControls"/>
    <ds:schemaRef ds:uri="http://schemas.openxmlformats.org/package/2006/metadata/core-properties"/>
    <ds:schemaRef ds:uri="c4508e2c-6468-4e00-93f4-0cf6ccdc176b"/>
    <ds:schemaRef ds:uri="http://schemas.microsoft.com/office/2006/metadata/properties"/>
  </ds:schemaRefs>
</ds:datastoreItem>
</file>

<file path=customXml/itemProps2.xml><?xml version="1.0" encoding="utf-8"?>
<ds:datastoreItem xmlns:ds="http://schemas.openxmlformats.org/officeDocument/2006/customXml" ds:itemID="{45CAB863-E5E1-496C-83AE-646D4B15B12A}">
  <ds:schemaRefs>
    <ds:schemaRef ds:uri="http://schemas.microsoft.com/sharepoint/v3/contenttype/forms"/>
  </ds:schemaRefs>
</ds:datastoreItem>
</file>

<file path=customXml/itemProps3.xml><?xml version="1.0" encoding="utf-8"?>
<ds:datastoreItem xmlns:ds="http://schemas.openxmlformats.org/officeDocument/2006/customXml" ds:itemID="{FE584513-6DE5-4BE2-8168-C4F9539C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2248-902a-44d1-9b52-28ac06b42455"/>
    <ds:schemaRef ds:uri="c4508e2c-6468-4e00-93f4-0cf6ccdc1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2023-04-21T11:15:00Z</dcterms:created>
  <dcterms:modified xsi:type="dcterms:W3CDTF">2023-04-21T11:15:00Z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0x01010048B949D5F8AA754E8ACC9865701C7783</vt:lpwstr>
  </property>
</Properties>
</file>