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723"/>
        <w:gridCol w:w="180"/>
        <w:gridCol w:w="1440"/>
        <w:gridCol w:w="107"/>
        <w:gridCol w:w="1333"/>
        <w:gridCol w:w="720"/>
        <w:gridCol w:w="1594"/>
      </w:tblGrid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bookmarkStart w:id="0" w:name="_GoBack" w:colFirst="0" w:colLast="2"/>
            <w:r>
              <w:rPr>
                <w:b/>
                <w:bCs/>
              </w:rPr>
              <w:t>TITLE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Name / description of the issue being assessed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CC4191" w:rsidRDefault="007F4D47" w:rsidP="00C03DE5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CC4191">
              <w:rPr>
                <w:sz w:val="22"/>
                <w:szCs w:val="22"/>
              </w:rPr>
              <w:t xml:space="preserve"> </w:t>
            </w:r>
            <w:r w:rsidR="00C03DE5" w:rsidRPr="00CC4191">
              <w:rPr>
                <w:sz w:val="22"/>
                <w:szCs w:val="22"/>
              </w:rPr>
              <w:t>Former Tenant Arrears Policy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Date the DIA is completed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CC4191" w:rsidRDefault="00C03DE5" w:rsidP="00E67519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CC4191">
              <w:rPr>
                <w:sz w:val="22"/>
                <w:szCs w:val="22"/>
              </w:rPr>
              <w:t>20</w:t>
            </w:r>
            <w:r w:rsidRPr="00CC4191">
              <w:rPr>
                <w:sz w:val="22"/>
                <w:szCs w:val="22"/>
                <w:vertAlign w:val="superscript"/>
              </w:rPr>
              <w:t>th</w:t>
            </w:r>
            <w:r w:rsidR="007560EB">
              <w:rPr>
                <w:sz w:val="22"/>
                <w:szCs w:val="22"/>
              </w:rPr>
              <w:t xml:space="preserve"> May 2020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LEAD OFFICER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rFonts w:cs="Arial"/>
                <w:i/>
                <w:iCs/>
                <w:sz w:val="20"/>
              </w:rPr>
              <w:t>Name, title and dept of person responsible for carrying out the DIA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CC4191" w:rsidRDefault="007560EB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Aisling Sims – Policy and Partnerships Manager</w:t>
            </w:r>
            <w:r w:rsidR="00BD2660" w:rsidRPr="00CC4191">
              <w:rPr>
                <w:sz w:val="22"/>
                <w:szCs w:val="22"/>
              </w:rPr>
              <w:t xml:space="preserve">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C438AB" w:rsidRDefault="004D4385" w:rsidP="00C438AB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Summary description of the proposed change</w:t>
            </w:r>
          </w:p>
          <w:p w:rsidR="004D4385" w:rsidRDefault="004D4385" w:rsidP="00C438AB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is the change to policy / service / new project that is being proposed?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How does it compare with the current situation?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39189F" w:rsidRPr="00BD05A9" w:rsidRDefault="004C0C59" w:rsidP="009B08A6">
            <w:pPr>
              <w:pStyle w:val="Default"/>
              <w:rPr>
                <w:sz w:val="22"/>
                <w:szCs w:val="22"/>
              </w:rPr>
            </w:pPr>
            <w:r w:rsidRPr="00BD05A9">
              <w:rPr>
                <w:sz w:val="22"/>
                <w:szCs w:val="22"/>
              </w:rPr>
              <w:t xml:space="preserve">The policy sets out how Medway Council Landlord Services intends to collect and manage all Former Tenant Arrears. The policy </w:t>
            </w:r>
            <w:r w:rsidR="0048408B">
              <w:rPr>
                <w:sz w:val="22"/>
                <w:szCs w:val="22"/>
              </w:rPr>
              <w:t xml:space="preserve">was updated in July 2017 </w:t>
            </w:r>
            <w:r w:rsidRPr="00BD05A9">
              <w:rPr>
                <w:sz w:val="22"/>
                <w:szCs w:val="22"/>
              </w:rPr>
              <w:t>to include th</w:t>
            </w:r>
            <w:r w:rsidR="0039189F">
              <w:rPr>
                <w:sz w:val="22"/>
                <w:szCs w:val="22"/>
              </w:rPr>
              <w:t>e making a money claim online (MCOL</w:t>
            </w:r>
            <w:r w:rsidRPr="00BD05A9">
              <w:rPr>
                <w:sz w:val="22"/>
                <w:szCs w:val="22"/>
              </w:rPr>
              <w:t xml:space="preserve">) </w:t>
            </w:r>
            <w:r w:rsidR="00545706" w:rsidRPr="00BD05A9">
              <w:rPr>
                <w:sz w:val="22"/>
                <w:szCs w:val="22"/>
              </w:rPr>
              <w:t>via the HM Courts &amp; Tribunals</w:t>
            </w:r>
            <w:r w:rsidR="008556E2">
              <w:rPr>
                <w:sz w:val="22"/>
                <w:szCs w:val="22"/>
              </w:rPr>
              <w:t xml:space="preserve"> Service Internet based service, however, this has now been removed as it wasn’t an ecomically viable process.</w:t>
            </w:r>
            <w:r w:rsidR="009B08A6">
              <w:rPr>
                <w:sz w:val="22"/>
                <w:szCs w:val="22"/>
              </w:rPr>
              <w:t xml:space="preserve"> </w:t>
            </w:r>
            <w:r w:rsidR="0039189F">
              <w:rPr>
                <w:sz w:val="22"/>
                <w:szCs w:val="22"/>
              </w:rPr>
              <w:t xml:space="preserve">The policy has also been updated to reflect current legislation including GDPR.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C438AB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evidence used to support this assessment  </w:t>
            </w:r>
          </w:p>
          <w:p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Eg: Feedback from consultation, performance information, service user records etc.</w:t>
            </w:r>
          </w:p>
          <w:p w:rsidR="004D4385" w:rsidRDefault="004D4385" w:rsidP="0040025B">
            <w:pPr>
              <w:pStyle w:val="Header"/>
              <w:numPr>
                <w:ilvl w:val="0"/>
                <w:numId w:val="9"/>
              </w:numPr>
              <w:tabs>
                <w:tab w:val="clear" w:pos="360"/>
                <w:tab w:val="clear" w:pos="4153"/>
                <w:tab w:val="clear" w:pos="8306"/>
                <w:tab w:val="num" w:pos="0"/>
              </w:tabs>
              <w:rPr>
                <w:rFonts w:cs="Arial"/>
                <w:b/>
                <w:bCs/>
              </w:rPr>
            </w:pPr>
            <w:r>
              <w:rPr>
                <w:i/>
                <w:iCs/>
                <w:sz w:val="20"/>
              </w:rPr>
              <w:t>Eg: Comp</w:t>
            </w:r>
            <w:r w:rsidR="00F663B9">
              <w:rPr>
                <w:i/>
                <w:iCs/>
                <w:sz w:val="20"/>
              </w:rPr>
              <w:t>arison of service user profile with Medway Community Profile</w:t>
            </w:r>
            <w:r w:rsidR="00F663B9">
              <w:rPr>
                <w:sz w:val="20"/>
              </w:rPr>
              <w:t xml:space="preserve"> </w:t>
            </w:r>
          </w:p>
        </w:tc>
      </w:tr>
      <w:tr w:rsidR="004D4385" w:rsidTr="0028368F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0F2021" w:rsidRDefault="00BD2660" w:rsidP="008A7DFD">
            <w:pPr>
              <w:pStyle w:val="Default"/>
            </w:pPr>
            <w:r>
              <w:t xml:space="preserve"> </w:t>
            </w:r>
          </w:p>
          <w:p w:rsidR="000F2021" w:rsidRDefault="00C438AB" w:rsidP="008A7DFD">
            <w:pPr>
              <w:pStyle w:val="Defaul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5269230" cy="3208020"/>
                  <wp:effectExtent l="0" t="0" r="7620" b="0"/>
                  <wp:docPr id="13" name="Picture 13" title="FTA Char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230" cy="320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2021" w:rsidRDefault="000F2021" w:rsidP="008A7DFD">
            <w:pPr>
              <w:pStyle w:val="Default"/>
            </w:pPr>
          </w:p>
          <w:p w:rsidR="000F2021" w:rsidRDefault="000F2021" w:rsidP="008A7DFD">
            <w:pPr>
              <w:pStyle w:val="Default"/>
            </w:pPr>
          </w:p>
          <w:p w:rsidR="000F2021" w:rsidRDefault="00C438AB" w:rsidP="008A7DFD">
            <w:pPr>
              <w:pStyle w:val="Default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5269230" cy="3368675"/>
                  <wp:effectExtent l="0" t="0" r="7620" b="3175"/>
                  <wp:docPr id="15" name="Picture 15" title="Garage arr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230" cy="336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4191" w:rsidRDefault="00CC4191" w:rsidP="008A7DFD">
            <w:pPr>
              <w:pStyle w:val="Default"/>
            </w:pPr>
          </w:p>
          <w:p w:rsidR="009B08A6" w:rsidRPr="00CC4191" w:rsidRDefault="00C438AB" w:rsidP="009B08A6">
            <w:pPr>
              <w:pStyle w:val="Defaul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5240655" cy="3323590"/>
                  <wp:effectExtent l="0" t="0" r="0" b="0"/>
                  <wp:docPr id="16" name="Picture 16" title="General Fund arr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655" cy="332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3C64" w:rsidRPr="00CC4191" w:rsidRDefault="00DF3C64" w:rsidP="00BF752F">
            <w:pPr>
              <w:pStyle w:val="Default"/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  <w:vAlign w:val="center"/>
          </w:tcPr>
          <w:p w:rsidR="004D4385" w:rsidRDefault="004D4385" w:rsidP="00C438AB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What is the likely impact of the proposed change?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Is it likely to :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Adversely impact on one or more of the protected characteristic groups? 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Advance equality of opportunity for one or more of the protected characteristic groups?</w:t>
            </w:r>
          </w:p>
          <w:p w:rsidR="004D4385" w:rsidRPr="00C438AB" w:rsidRDefault="004D4385" w:rsidP="00C438AB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Foster good relations between people who share a protected characteristic and those who don’t?</w:t>
            </w:r>
            <w:r w:rsidRPr="00C438AB">
              <w:rPr>
                <w:b/>
                <w:bCs/>
                <w:i/>
                <w:iCs/>
                <w:sz w:val="16"/>
              </w:rPr>
              <w:t xml:space="preserve">(insert </w:t>
            </w:r>
            <w:r>
              <w:rPr>
                <w:b/>
                <w:bCs/>
              </w:rPr>
              <w:sym w:font="Wingdings" w:char="F0FC"/>
            </w:r>
            <w:r w:rsidRPr="00C438AB">
              <w:rPr>
                <w:b/>
                <w:bCs/>
                <w:i/>
                <w:iCs/>
                <w:sz w:val="16"/>
              </w:rPr>
              <w:t xml:space="preserve"> in one or more boxes)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Protected characteristic groups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Adverse impact</w:t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Advance equality</w:t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Foster good relations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Age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Disabilty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Gender reassignment</w:t>
            </w:r>
            <w:r w:rsidR="00020F25"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Marriage/civil partnership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Pregnancy/maternity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Race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 w:rsidP="00020F25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>Religion/belief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Sexual orientation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B6727B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B6727B" w:rsidRDefault="00B6727B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Low Income Groups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B6727B" w:rsidRDefault="00B6727B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B6727B" w:rsidRDefault="00B6727B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B6727B" w:rsidRDefault="00B6727B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3076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People in exceptional housing need</w:t>
            </w:r>
            <w:r w:rsidR="009E1F82">
              <w:rPr>
                <w:rFonts w:cs="Arial"/>
                <w:b/>
                <w:bCs/>
                <w:sz w:val="22"/>
              </w:rPr>
              <w:t xml:space="preserve"> who are</w:t>
            </w:r>
            <w:r>
              <w:rPr>
                <w:rFonts w:cs="Arial"/>
                <w:b/>
                <w:bCs/>
                <w:sz w:val="22"/>
              </w:rPr>
              <w:t xml:space="preserve"> in arrears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3076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C438AB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the likely impacts 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Who will be affected?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i/>
                <w:iCs/>
                <w:sz w:val="20"/>
              </w:rPr>
              <w:t>How will they be affected?</w:t>
            </w:r>
            <w:r>
              <w:rPr>
                <w:sz w:val="20"/>
              </w:rPr>
              <w:t xml:space="preserve">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563EA8" w:rsidRDefault="00563EA8" w:rsidP="00084BE7">
            <w:pPr>
              <w:rPr>
                <w:b/>
                <w:sz w:val="22"/>
                <w:szCs w:val="22"/>
              </w:rPr>
            </w:pPr>
            <w:r w:rsidRPr="00563EA8">
              <w:rPr>
                <w:b/>
                <w:sz w:val="22"/>
                <w:szCs w:val="22"/>
              </w:rPr>
              <w:t>Low Income Groups</w:t>
            </w:r>
          </w:p>
          <w:p w:rsidR="00E34018" w:rsidRDefault="00E34018" w:rsidP="00E30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Tenants on low incomes are at greater risk of falling into rent arrears and therefore are more likely to be adversely affected by aspects of this policy.</w:t>
            </w:r>
            <w:r w:rsidR="009B08A6">
              <w:rPr>
                <w:sz w:val="22"/>
                <w:szCs w:val="22"/>
              </w:rPr>
              <w:t xml:space="preserve"> </w:t>
            </w:r>
          </w:p>
          <w:p w:rsidR="00E34018" w:rsidRDefault="00E34018" w:rsidP="00E3401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E3078E">
              <w:rPr>
                <w:b/>
                <w:sz w:val="22"/>
                <w:szCs w:val="22"/>
              </w:rPr>
              <w:t>People in housing need who are in arrears</w:t>
            </w:r>
          </w:p>
          <w:p w:rsidR="005656AF" w:rsidRDefault="0046407D" w:rsidP="0046407D">
            <w:pPr>
              <w:pStyle w:val="Header"/>
              <w:rPr>
                <w:sz w:val="22"/>
                <w:szCs w:val="22"/>
              </w:rPr>
            </w:pPr>
            <w:r w:rsidRPr="0046407D">
              <w:rPr>
                <w:sz w:val="22"/>
                <w:szCs w:val="22"/>
              </w:rPr>
              <w:t>The Council does not allow tenants to transfer within our stock if they</w:t>
            </w:r>
            <w:r>
              <w:rPr>
                <w:sz w:val="22"/>
                <w:szCs w:val="22"/>
              </w:rPr>
              <w:t xml:space="preserve"> </w:t>
            </w:r>
            <w:r w:rsidRPr="0046407D">
              <w:rPr>
                <w:sz w:val="22"/>
                <w:szCs w:val="22"/>
              </w:rPr>
              <w:t xml:space="preserve">owe debt unless exceptional circumstances apply. </w:t>
            </w:r>
            <w:r w:rsidR="0048408B">
              <w:rPr>
                <w:sz w:val="22"/>
                <w:szCs w:val="22"/>
              </w:rPr>
              <w:t>This would limit the ability for some households to move property within our stock.</w:t>
            </w:r>
          </w:p>
          <w:p w:rsidR="005656AF" w:rsidRDefault="005656AF" w:rsidP="005656AF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656AF" w:rsidRPr="00DF3C64" w:rsidRDefault="005656AF" w:rsidP="00E34018">
            <w:pPr>
              <w:rPr>
                <w:sz w:val="22"/>
                <w:szCs w:val="22"/>
              </w:rPr>
            </w:pPr>
          </w:p>
        </w:tc>
      </w:tr>
      <w:tr w:rsidR="004D4385" w:rsidTr="002A7120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C438AB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What actions can be taken to mitigate likely adverse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</w:rPr>
              <w:t>impacts, improve equality of opportunity or foster good relations?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Are there alternative providers?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alternative ways can the Council provide the service?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Can demand for services be managed differently?</w:t>
            </w:r>
          </w:p>
        </w:tc>
      </w:tr>
      <w:tr w:rsidR="004D4385" w:rsidTr="002A7120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E3078E" w:rsidRPr="00E3078E" w:rsidRDefault="00E3078E" w:rsidP="00A05E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3078E">
              <w:rPr>
                <w:sz w:val="22"/>
                <w:szCs w:val="22"/>
              </w:rPr>
              <w:t xml:space="preserve">Although adverse impacts have been identified in the DIA. The </w:t>
            </w:r>
            <w:r>
              <w:rPr>
                <w:sz w:val="22"/>
                <w:szCs w:val="22"/>
              </w:rPr>
              <w:t xml:space="preserve">Former Tenant </w:t>
            </w:r>
            <w:r w:rsidR="005656AF">
              <w:rPr>
                <w:sz w:val="22"/>
                <w:szCs w:val="22"/>
              </w:rPr>
              <w:t xml:space="preserve">Arrears </w:t>
            </w:r>
            <w:r w:rsidR="005656AF" w:rsidRPr="00E3078E">
              <w:rPr>
                <w:sz w:val="22"/>
                <w:szCs w:val="22"/>
              </w:rPr>
              <w:t>policy</w:t>
            </w:r>
            <w:r w:rsidRPr="00E3078E">
              <w:rPr>
                <w:sz w:val="22"/>
                <w:szCs w:val="22"/>
              </w:rPr>
              <w:t xml:space="preserve"> details the following actions that will be taken to mitigate the adverse impacts.</w:t>
            </w:r>
            <w:r w:rsidR="00026C1A">
              <w:rPr>
                <w:sz w:val="22"/>
                <w:szCs w:val="22"/>
              </w:rPr>
              <w:t xml:space="preserve"> </w:t>
            </w:r>
          </w:p>
          <w:p w:rsidR="005656AF" w:rsidRDefault="005656AF" w:rsidP="00E3078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</w:p>
          <w:p w:rsidR="00E3078E" w:rsidRPr="00563EA8" w:rsidRDefault="00E3078E" w:rsidP="00E3078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563EA8">
              <w:rPr>
                <w:b/>
                <w:sz w:val="22"/>
                <w:szCs w:val="22"/>
              </w:rPr>
              <w:t>Low Income Groups</w:t>
            </w:r>
          </w:p>
          <w:p w:rsidR="002F4DC5" w:rsidRDefault="002F4DC5" w:rsidP="002F4DC5">
            <w:pPr>
              <w:rPr>
                <w:sz w:val="22"/>
                <w:szCs w:val="22"/>
              </w:rPr>
            </w:pPr>
            <w:r w:rsidRPr="00563EA8">
              <w:rPr>
                <w:sz w:val="22"/>
                <w:szCs w:val="22"/>
              </w:rPr>
              <w:lastRenderedPageBreak/>
              <w:t>Landlord Service consider write offs where exceptional circumstances apply.  Exceptional circumstance may arise from the former tenant’s mental capacity, a terminal illness, domestic violence or debt due to long-term imprisonment.</w:t>
            </w:r>
          </w:p>
          <w:p w:rsidR="00E31983" w:rsidRDefault="00E31983" w:rsidP="00A05E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E31983" w:rsidRDefault="00BF752F" w:rsidP="00A05E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Tenants struggling with rent payments will be signposted to the Income officers who</w:t>
            </w:r>
            <w:r w:rsidR="00E31983" w:rsidRPr="00E31983">
              <w:rPr>
                <w:sz w:val="22"/>
                <w:szCs w:val="22"/>
              </w:rPr>
              <w:t xml:space="preserve"> provide support, advice and information to assist in all aspe</w:t>
            </w:r>
            <w:r>
              <w:rPr>
                <w:sz w:val="22"/>
                <w:szCs w:val="22"/>
              </w:rPr>
              <w:t>cts of financial management. I</w:t>
            </w:r>
            <w:r w:rsidR="00E31983" w:rsidRPr="00E31983">
              <w:rPr>
                <w:sz w:val="22"/>
                <w:szCs w:val="22"/>
              </w:rPr>
              <w:t>ncome officers assist our tenants with maintaining their rent accounts in accordance</w:t>
            </w:r>
            <w:r w:rsidR="00E31983">
              <w:rPr>
                <w:sz w:val="22"/>
                <w:szCs w:val="22"/>
              </w:rPr>
              <w:t xml:space="preserve"> with the terms of the</w:t>
            </w:r>
            <w:r>
              <w:rPr>
                <w:sz w:val="22"/>
                <w:szCs w:val="22"/>
              </w:rPr>
              <w:t>ir</w:t>
            </w:r>
            <w:r w:rsidR="00E31983">
              <w:rPr>
                <w:sz w:val="22"/>
                <w:szCs w:val="22"/>
              </w:rPr>
              <w:t xml:space="preserve"> tenancy to assist in the prevention of arrears. </w:t>
            </w:r>
          </w:p>
          <w:p w:rsidR="00E31983" w:rsidRDefault="00E31983" w:rsidP="00A05E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63EA8" w:rsidRDefault="00E31983" w:rsidP="00A05E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31983">
              <w:rPr>
                <w:sz w:val="22"/>
                <w:szCs w:val="22"/>
              </w:rPr>
              <w:t>Where appropriate the Income Team will refer tenants and leaseholders to the Welfare Reform Team where more in-depth financial assistance and budgeting advice can be provided</w:t>
            </w:r>
            <w:r w:rsidR="00E3078E">
              <w:rPr>
                <w:sz w:val="22"/>
                <w:szCs w:val="22"/>
              </w:rPr>
              <w:t>.</w:t>
            </w:r>
          </w:p>
          <w:p w:rsidR="00563EA8" w:rsidRDefault="00563EA8" w:rsidP="00A05E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E34018" w:rsidRDefault="004E5A60" w:rsidP="00E3401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Housing Services use a range of communications to promote debt advice and support including our website, social media, monthly newsletters, tenants’ handbook and periodic rent campaigns. </w:t>
            </w:r>
            <w:r w:rsidR="00CC0D4B">
              <w:rPr>
                <w:sz w:val="22"/>
                <w:szCs w:val="22"/>
              </w:rPr>
              <w:t>Welfare advice surgeries are also held in various locations within the council housing stock, to enable tenants to drop in for one to one advice.</w:t>
            </w:r>
            <w:r w:rsidR="009B08A6">
              <w:rPr>
                <w:b/>
                <w:sz w:val="22"/>
                <w:szCs w:val="22"/>
              </w:rPr>
              <w:t xml:space="preserve"> </w:t>
            </w:r>
          </w:p>
          <w:p w:rsidR="00E34018" w:rsidRDefault="00E34018" w:rsidP="00E3401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E3078E">
              <w:rPr>
                <w:b/>
                <w:sz w:val="22"/>
                <w:szCs w:val="22"/>
              </w:rPr>
              <w:t>People in housing need who are in arrears</w:t>
            </w:r>
          </w:p>
          <w:p w:rsidR="00E34018" w:rsidRDefault="00E34018" w:rsidP="00A05E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E34018" w:rsidRDefault="00E34018" w:rsidP="00E34018">
            <w:pPr>
              <w:rPr>
                <w:sz w:val="22"/>
                <w:szCs w:val="22"/>
              </w:rPr>
            </w:pPr>
            <w:r w:rsidRPr="00E31983">
              <w:rPr>
                <w:sz w:val="22"/>
                <w:szCs w:val="22"/>
              </w:rPr>
              <w:t>Senior Officers</w:t>
            </w:r>
            <w:r>
              <w:rPr>
                <w:sz w:val="22"/>
                <w:szCs w:val="22"/>
              </w:rPr>
              <w:t xml:space="preserve"> will </w:t>
            </w:r>
            <w:r w:rsidRPr="00E31983">
              <w:rPr>
                <w:sz w:val="22"/>
                <w:szCs w:val="22"/>
              </w:rPr>
              <w:t>review cases wi</w:t>
            </w:r>
            <w:r>
              <w:rPr>
                <w:sz w:val="22"/>
                <w:szCs w:val="22"/>
              </w:rPr>
              <w:t xml:space="preserve">th ‘exceptional circumstances’. </w:t>
            </w:r>
            <w:r w:rsidRPr="00E31983">
              <w:rPr>
                <w:sz w:val="22"/>
                <w:szCs w:val="22"/>
              </w:rPr>
              <w:t>If Senior Officers approve a transfer for a tenant in arrears the debt will be transferred to their new tena</w:t>
            </w:r>
            <w:r>
              <w:rPr>
                <w:sz w:val="22"/>
                <w:szCs w:val="22"/>
              </w:rPr>
              <w:t xml:space="preserve">ncy as a former tenant arrear. </w:t>
            </w:r>
            <w:r w:rsidRPr="00E31983">
              <w:rPr>
                <w:sz w:val="22"/>
                <w:szCs w:val="22"/>
              </w:rPr>
              <w:t>Tenants will be informed of this and must sign up to a payment plan for the F</w:t>
            </w:r>
            <w:r>
              <w:rPr>
                <w:sz w:val="22"/>
                <w:szCs w:val="22"/>
              </w:rPr>
              <w:t xml:space="preserve">ormer </w:t>
            </w:r>
            <w:r w:rsidRPr="00E31983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enant </w:t>
            </w:r>
            <w:r w:rsidRPr="00E3198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rrears</w:t>
            </w:r>
            <w:r w:rsidRPr="00E31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before the move can take place.</w:t>
            </w:r>
          </w:p>
          <w:p w:rsidR="00BF752F" w:rsidRPr="00DF3C64" w:rsidRDefault="00BF752F" w:rsidP="00A05E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C438AB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Action plan</w:t>
            </w:r>
          </w:p>
          <w:p w:rsidR="004D4385" w:rsidRDefault="004D4385" w:rsidP="008F3510">
            <w:pPr>
              <w:numPr>
                <w:ilvl w:val="0"/>
                <w:numId w:val="11"/>
              </w:num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Actions to mitigate adverse impact, improve equality of opportunity or foster good relations and/or obtain new evidence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Lead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or review date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BD05A9" w:rsidRDefault="00530FBA" w:rsidP="007F4D47">
            <w:pPr>
              <w:rPr>
                <w:rFonts w:cs="Arial"/>
                <w:sz w:val="22"/>
                <w:szCs w:val="22"/>
              </w:rPr>
            </w:pPr>
            <w:r w:rsidRPr="00BD05A9">
              <w:rPr>
                <w:rFonts w:cs="Arial"/>
                <w:sz w:val="22"/>
                <w:szCs w:val="22"/>
              </w:rPr>
              <w:t xml:space="preserve">Monitor Complaints to </w:t>
            </w:r>
            <w:r w:rsidRPr="00BD05A9">
              <w:rPr>
                <w:sz w:val="22"/>
                <w:szCs w:val="22"/>
              </w:rPr>
              <w:t xml:space="preserve">identify any negative </w:t>
            </w:r>
            <w:r w:rsidR="00DF3C64" w:rsidRPr="00BD05A9">
              <w:rPr>
                <w:sz w:val="22"/>
                <w:szCs w:val="22"/>
              </w:rPr>
              <w:t xml:space="preserve">trends with </w:t>
            </w:r>
            <w:r w:rsidR="00C03DE5" w:rsidRPr="00BD05A9">
              <w:rPr>
                <w:sz w:val="22"/>
                <w:szCs w:val="22"/>
              </w:rPr>
              <w:t>regards to the Former Tenant Arrears</w:t>
            </w:r>
            <w:r w:rsidRPr="00BD05A9">
              <w:rPr>
                <w:sz w:val="22"/>
                <w:szCs w:val="22"/>
              </w:rPr>
              <w:t xml:space="preserve"> policy</w:t>
            </w:r>
            <w:r w:rsidR="00340B1C" w:rsidRPr="00BD05A9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BD05A9" w:rsidRDefault="000F2021">
            <w:pPr>
              <w:jc w:val="center"/>
              <w:rPr>
                <w:rFonts w:cs="Arial"/>
                <w:sz w:val="22"/>
                <w:szCs w:val="22"/>
              </w:rPr>
            </w:pPr>
            <w:r w:rsidRPr="00BD05A9">
              <w:rPr>
                <w:rFonts w:cs="Arial"/>
                <w:sz w:val="22"/>
                <w:szCs w:val="22"/>
              </w:rPr>
              <w:t xml:space="preserve">Income Manager 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BD05A9" w:rsidRDefault="007560E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May 2022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BD05A9" w:rsidRDefault="005656AF">
            <w:pPr>
              <w:rPr>
                <w:rFonts w:cs="Arial"/>
                <w:sz w:val="22"/>
                <w:szCs w:val="22"/>
              </w:rPr>
            </w:pPr>
            <w:r w:rsidRPr="00BD05A9">
              <w:rPr>
                <w:rFonts w:cs="Arial"/>
                <w:sz w:val="22"/>
                <w:szCs w:val="22"/>
              </w:rPr>
              <w:t>Continue to identify, support and prevent financial hardship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BD05A9" w:rsidRDefault="005656AF">
            <w:pPr>
              <w:jc w:val="center"/>
              <w:rPr>
                <w:rFonts w:cs="Arial"/>
                <w:sz w:val="22"/>
                <w:szCs w:val="22"/>
              </w:rPr>
            </w:pPr>
            <w:r w:rsidRPr="00BD05A9">
              <w:rPr>
                <w:rFonts w:cs="Arial"/>
                <w:sz w:val="22"/>
                <w:szCs w:val="22"/>
              </w:rPr>
              <w:t>Income Manager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BD05A9" w:rsidRDefault="007560E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May 2022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C438AB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by the lead officer should be stated below. This  may be: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to proceed with the change, implementing </w:t>
            </w:r>
            <w:r w:rsidR="00435E08">
              <w:rPr>
                <w:i/>
                <w:iCs/>
                <w:sz w:val="20"/>
              </w:rPr>
              <w:t>the A</w:t>
            </w:r>
            <w:r>
              <w:rPr>
                <w:i/>
                <w:iCs/>
                <w:sz w:val="20"/>
              </w:rPr>
              <w:t>ction</w:t>
            </w:r>
            <w:r w:rsidR="00435E08">
              <w:rPr>
                <w:i/>
                <w:iCs/>
                <w:sz w:val="20"/>
              </w:rPr>
              <w:t xml:space="preserve"> P</w:t>
            </w:r>
            <w:r>
              <w:rPr>
                <w:i/>
                <w:iCs/>
                <w:sz w:val="20"/>
              </w:rPr>
              <w:t>lan if appropriate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consider alternatives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gather further evidence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i/>
                <w:iCs/>
                <w:sz w:val="20"/>
              </w:rPr>
              <w:t>If the recommendation is to proceed with the change and there are no actions that can be taken to mitigate likely adverse impact, it is important to state why.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C438AB" w:rsidRDefault="00A05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</w:t>
            </w:r>
            <w:r w:rsidR="0048408B">
              <w:rPr>
                <w:sz w:val="22"/>
                <w:szCs w:val="22"/>
              </w:rPr>
              <w:t>approve the current DIA for publication</w:t>
            </w:r>
            <w:r w:rsidR="00604BDB" w:rsidRPr="00F22CE8">
              <w:rPr>
                <w:sz w:val="22"/>
                <w:szCs w:val="22"/>
              </w:rPr>
              <w:t>.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C438AB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 xml:space="preserve">Authorisation 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authorising officer is consenting that:</w:t>
            </w:r>
          </w:p>
          <w:p w:rsidR="004D4385" w:rsidRDefault="004D4385" w:rsidP="008F3510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can be implemented</w:t>
            </w:r>
          </w:p>
          <w:p w:rsidR="004D4385" w:rsidRDefault="004D4385" w:rsidP="008F3510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sufficient evidence has been obtained and appropriate mitigation is planned</w:t>
            </w:r>
          </w:p>
          <w:p w:rsidR="004D4385" w:rsidRDefault="004D4385" w:rsidP="008F3510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 xml:space="preserve">the Action Plan will be incorporated into </w:t>
            </w:r>
            <w:r w:rsidR="00435E08">
              <w:rPr>
                <w:i/>
                <w:iCs/>
                <w:sz w:val="20"/>
              </w:rPr>
              <w:t>the relevant S</w:t>
            </w:r>
            <w:r>
              <w:rPr>
                <w:i/>
                <w:iCs/>
                <w:sz w:val="20"/>
              </w:rPr>
              <w:t xml:space="preserve">ervice </w:t>
            </w:r>
            <w:r w:rsidR="00435E08">
              <w:rPr>
                <w:i/>
                <w:iCs/>
                <w:sz w:val="20"/>
              </w:rPr>
              <w:t>P</w:t>
            </w:r>
            <w:r>
              <w:rPr>
                <w:i/>
                <w:iCs/>
                <w:sz w:val="20"/>
              </w:rPr>
              <w:t xml:space="preserve">lan and monitored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</w:t>
            </w:r>
            <w:r w:rsidR="00530FBA">
              <w:rPr>
                <w:rFonts w:cs="Arial"/>
                <w:b/>
                <w:bCs/>
              </w:rPr>
              <w:t>uthorising Officer</w:t>
            </w:r>
          </w:p>
          <w:p w:rsidR="004D4385" w:rsidRDefault="004D4385">
            <w:pPr>
              <w:rPr>
                <w:rFonts w:cs="Arial"/>
                <w:b/>
                <w:bCs/>
              </w:rPr>
            </w:pP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530FBA" w:rsidRPr="00696820" w:rsidRDefault="007560EB" w:rsidP="00530FBA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lastRenderedPageBreak/>
              <w:t xml:space="preserve">Mark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  <w:t>Breathwick</w:t>
            </w:r>
            <w:proofErr w:type="spellEnd"/>
          </w:p>
          <w:p w:rsidR="00865498" w:rsidRPr="00340B1C" w:rsidRDefault="00530FBA" w:rsidP="007560EB">
            <w:pPr>
              <w:pStyle w:val="CommentText"/>
              <w:rPr>
                <w:rFonts w:cs="Arial"/>
                <w:b/>
                <w:bCs/>
                <w:sz w:val="24"/>
                <w:szCs w:val="24"/>
              </w:rPr>
            </w:pPr>
            <w:r w:rsidRPr="00696820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Head of Housing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Date </w:t>
            </w: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C438AB" w:rsidRDefault="007560EB" w:rsidP="00C438AB">
            <w:pPr>
              <w:pStyle w:val="Comment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June 2020</w:t>
            </w:r>
          </w:p>
        </w:tc>
      </w:tr>
      <w:bookmarkEnd w:id="0"/>
    </w:tbl>
    <w:p w:rsidR="004D4385" w:rsidRDefault="004D4385">
      <w:pPr>
        <w:rPr>
          <w:rFonts w:cs="Arial"/>
          <w:b/>
          <w:bCs/>
          <w:iCs/>
          <w:sz w:val="16"/>
          <w:szCs w:val="16"/>
        </w:rPr>
      </w:pPr>
    </w:p>
    <w:sectPr w:rsidR="004D4385">
      <w:headerReference w:type="default" r:id="rId11"/>
      <w:footerReference w:type="default" r:id="rId12"/>
      <w:type w:val="continuous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B8" w:rsidRDefault="00EB05B8">
      <w:r>
        <w:separator/>
      </w:r>
    </w:p>
  </w:endnote>
  <w:endnote w:type="continuationSeparator" w:id="0">
    <w:p w:rsidR="00EB05B8" w:rsidRDefault="00EB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Pr="007560EB" w:rsidRDefault="00FC5588" w:rsidP="007560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08A6">
      <w:rPr>
        <w:rStyle w:val="PageNumber"/>
        <w:noProof/>
      </w:rPr>
      <w:t>1</w:t>
    </w:r>
    <w:r>
      <w:rPr>
        <w:rStyle w:val="PageNumber"/>
      </w:rPr>
      <w:fldChar w:fldCharType="end"/>
    </w:r>
  </w:p>
  <w:p w:rsidR="00FC5588" w:rsidRDefault="00FC5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B8" w:rsidRDefault="00EB05B8">
      <w:r>
        <w:separator/>
      </w:r>
    </w:p>
  </w:footnote>
  <w:footnote w:type="continuationSeparator" w:id="0">
    <w:p w:rsidR="00EB05B8" w:rsidRDefault="00EB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Default="00FC5588">
    <w:pPr>
      <w:pStyle w:val="Header"/>
      <w:jc w:val="center"/>
      <w:rPr>
        <w:b/>
        <w:bCs/>
        <w:sz w:val="44"/>
      </w:rPr>
    </w:pPr>
    <w:r>
      <w:rPr>
        <w:noProof/>
        <w:sz w:val="4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ouncil logo" style="position:absolute;left:0;text-align:left;margin-left:-1in;margin-top:-35.4pt;width:2in;height:87.7pt;z-index:251657216">
          <v:imagedata r:id="rId1" o:title=""/>
          <w10:wrap type="square"/>
        </v:shape>
        <o:OLEObject Type="Embed" ProgID="Word.Picture.8" ShapeID="_x0000_s2049" DrawAspect="Content" ObjectID="_1652241401" r:id="rId2"/>
      </w:object>
    </w:r>
    <w:r>
      <w:rPr>
        <w:b/>
        <w:bCs/>
        <w:sz w:val="44"/>
      </w:rPr>
      <w:t>Diversity</w:t>
    </w:r>
  </w:p>
  <w:p w:rsidR="00FC5588" w:rsidRDefault="00FC5588">
    <w:pPr>
      <w:pStyle w:val="Header"/>
      <w:jc w:val="center"/>
      <w:rPr>
        <w:b/>
        <w:bCs/>
        <w:sz w:val="36"/>
      </w:rPr>
    </w:pPr>
    <w:r>
      <w:rPr>
        <w:b/>
        <w:bCs/>
        <w:sz w:val="44"/>
      </w:rPr>
      <w:t xml:space="preserve"> impact assessment </w:t>
    </w:r>
  </w:p>
  <w:p w:rsidR="00FC5588" w:rsidRDefault="00FC5588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15F"/>
    <w:multiLevelType w:val="hybridMultilevel"/>
    <w:tmpl w:val="64D6F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0603F"/>
    <w:multiLevelType w:val="hybridMultilevel"/>
    <w:tmpl w:val="46BAD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978A6"/>
    <w:multiLevelType w:val="hybridMultilevel"/>
    <w:tmpl w:val="D12C1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2C9"/>
    <w:multiLevelType w:val="hybridMultilevel"/>
    <w:tmpl w:val="D24653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F1D6D"/>
    <w:multiLevelType w:val="hybridMultilevel"/>
    <w:tmpl w:val="2B688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C4007"/>
    <w:multiLevelType w:val="hybridMultilevel"/>
    <w:tmpl w:val="2386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848D6"/>
    <w:multiLevelType w:val="hybridMultilevel"/>
    <w:tmpl w:val="FA98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F17EE"/>
    <w:multiLevelType w:val="hybridMultilevel"/>
    <w:tmpl w:val="63DC5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FD65E7"/>
    <w:multiLevelType w:val="hybridMultilevel"/>
    <w:tmpl w:val="4138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B5A88"/>
    <w:multiLevelType w:val="hybridMultilevel"/>
    <w:tmpl w:val="A0FE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02219"/>
    <w:multiLevelType w:val="hybridMultilevel"/>
    <w:tmpl w:val="C79C6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54504"/>
    <w:multiLevelType w:val="hybridMultilevel"/>
    <w:tmpl w:val="AC46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75D6452"/>
    <w:multiLevelType w:val="hybridMultilevel"/>
    <w:tmpl w:val="C9BCE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A075E"/>
    <w:multiLevelType w:val="hybridMultilevel"/>
    <w:tmpl w:val="A5DC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4682E"/>
    <w:multiLevelType w:val="hybridMultilevel"/>
    <w:tmpl w:val="05029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44AE"/>
    <w:multiLevelType w:val="hybridMultilevel"/>
    <w:tmpl w:val="3E7A6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55273"/>
    <w:multiLevelType w:val="hybridMultilevel"/>
    <w:tmpl w:val="77F21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A7DD9"/>
    <w:multiLevelType w:val="hybridMultilevel"/>
    <w:tmpl w:val="8B7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25622F7"/>
    <w:multiLevelType w:val="hybridMultilevel"/>
    <w:tmpl w:val="52ACF4EE"/>
    <w:lvl w:ilvl="0" w:tplc="054224F2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5AF7BE7"/>
    <w:multiLevelType w:val="hybridMultilevel"/>
    <w:tmpl w:val="441AE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42364"/>
    <w:multiLevelType w:val="hybridMultilevel"/>
    <w:tmpl w:val="CE24D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14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20"/>
  </w:num>
  <w:num w:numId="14">
    <w:abstractNumId w:val="2"/>
  </w:num>
  <w:num w:numId="15">
    <w:abstractNumId w:val="16"/>
  </w:num>
  <w:num w:numId="16">
    <w:abstractNumId w:val="15"/>
  </w:num>
  <w:num w:numId="17">
    <w:abstractNumId w:val="11"/>
  </w:num>
  <w:num w:numId="18">
    <w:abstractNumId w:val="18"/>
  </w:num>
  <w:num w:numId="19">
    <w:abstractNumId w:val="17"/>
  </w:num>
  <w:num w:numId="20">
    <w:abstractNumId w:val="5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hdrShapeDefaults>
    <o:shapedefaults v:ext="edit" spidmax="3074">
      <o:colormru v:ext="edit" colors="#99ce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6C"/>
    <w:rsid w:val="00020F25"/>
    <w:rsid w:val="00026C1A"/>
    <w:rsid w:val="00031054"/>
    <w:rsid w:val="00060444"/>
    <w:rsid w:val="000607A3"/>
    <w:rsid w:val="00084BE7"/>
    <w:rsid w:val="000F2021"/>
    <w:rsid w:val="00117664"/>
    <w:rsid w:val="00183266"/>
    <w:rsid w:val="001A4E5B"/>
    <w:rsid w:val="001B0B35"/>
    <w:rsid w:val="0028368F"/>
    <w:rsid w:val="00286ECE"/>
    <w:rsid w:val="002A6511"/>
    <w:rsid w:val="002A7120"/>
    <w:rsid w:val="002F4DC5"/>
    <w:rsid w:val="00340B1C"/>
    <w:rsid w:val="00352A91"/>
    <w:rsid w:val="003539F3"/>
    <w:rsid w:val="0037451A"/>
    <w:rsid w:val="0039189F"/>
    <w:rsid w:val="0040025B"/>
    <w:rsid w:val="00422C8C"/>
    <w:rsid w:val="00430765"/>
    <w:rsid w:val="00435E08"/>
    <w:rsid w:val="0045260B"/>
    <w:rsid w:val="00461867"/>
    <w:rsid w:val="0046407D"/>
    <w:rsid w:val="0048408B"/>
    <w:rsid w:val="004B0811"/>
    <w:rsid w:val="004C027F"/>
    <w:rsid w:val="004C0C59"/>
    <w:rsid w:val="004C5F24"/>
    <w:rsid w:val="004D4385"/>
    <w:rsid w:val="004E5A60"/>
    <w:rsid w:val="00503624"/>
    <w:rsid w:val="00515D85"/>
    <w:rsid w:val="00516F2C"/>
    <w:rsid w:val="00523F89"/>
    <w:rsid w:val="00530FBA"/>
    <w:rsid w:val="00545706"/>
    <w:rsid w:val="00563EA8"/>
    <w:rsid w:val="005641A0"/>
    <w:rsid w:val="005656AF"/>
    <w:rsid w:val="005B6C2B"/>
    <w:rsid w:val="005D678A"/>
    <w:rsid w:val="00604BDB"/>
    <w:rsid w:val="006563BD"/>
    <w:rsid w:val="00657EDB"/>
    <w:rsid w:val="006751C1"/>
    <w:rsid w:val="00696820"/>
    <w:rsid w:val="006F59FB"/>
    <w:rsid w:val="0073676F"/>
    <w:rsid w:val="007560EB"/>
    <w:rsid w:val="0077036C"/>
    <w:rsid w:val="00775CD2"/>
    <w:rsid w:val="00794D07"/>
    <w:rsid w:val="00797133"/>
    <w:rsid w:val="007A4912"/>
    <w:rsid w:val="007A5E8D"/>
    <w:rsid w:val="007B4631"/>
    <w:rsid w:val="007D3F60"/>
    <w:rsid w:val="007F4D47"/>
    <w:rsid w:val="00820E94"/>
    <w:rsid w:val="008556E2"/>
    <w:rsid w:val="00865498"/>
    <w:rsid w:val="008A7DFD"/>
    <w:rsid w:val="008B70B6"/>
    <w:rsid w:val="008F3510"/>
    <w:rsid w:val="00923ADC"/>
    <w:rsid w:val="009B08A6"/>
    <w:rsid w:val="009B0A87"/>
    <w:rsid w:val="009E05A2"/>
    <w:rsid w:val="009E1F82"/>
    <w:rsid w:val="009F4EE6"/>
    <w:rsid w:val="00A05E5D"/>
    <w:rsid w:val="00A132C9"/>
    <w:rsid w:val="00A40075"/>
    <w:rsid w:val="00A568F6"/>
    <w:rsid w:val="00AD501B"/>
    <w:rsid w:val="00B41FA0"/>
    <w:rsid w:val="00B6727B"/>
    <w:rsid w:val="00BB14D2"/>
    <w:rsid w:val="00BD05A9"/>
    <w:rsid w:val="00BD2660"/>
    <w:rsid w:val="00BF752F"/>
    <w:rsid w:val="00C03DE5"/>
    <w:rsid w:val="00C414A3"/>
    <w:rsid w:val="00C42D74"/>
    <w:rsid w:val="00C438AB"/>
    <w:rsid w:val="00CC0D4B"/>
    <w:rsid w:val="00CC4191"/>
    <w:rsid w:val="00CF754B"/>
    <w:rsid w:val="00D03428"/>
    <w:rsid w:val="00D2058C"/>
    <w:rsid w:val="00D3634E"/>
    <w:rsid w:val="00D442BC"/>
    <w:rsid w:val="00D92D05"/>
    <w:rsid w:val="00DC6A51"/>
    <w:rsid w:val="00DE369A"/>
    <w:rsid w:val="00DF3C64"/>
    <w:rsid w:val="00DF71B6"/>
    <w:rsid w:val="00E13B48"/>
    <w:rsid w:val="00E3078E"/>
    <w:rsid w:val="00E31983"/>
    <w:rsid w:val="00E34018"/>
    <w:rsid w:val="00E34A78"/>
    <w:rsid w:val="00E377A5"/>
    <w:rsid w:val="00E4438E"/>
    <w:rsid w:val="00E535E4"/>
    <w:rsid w:val="00E67087"/>
    <w:rsid w:val="00E67519"/>
    <w:rsid w:val="00EB05B8"/>
    <w:rsid w:val="00F17777"/>
    <w:rsid w:val="00F22CE8"/>
    <w:rsid w:val="00F663B9"/>
    <w:rsid w:val="00FB6D0B"/>
    <w:rsid w:val="00FC5588"/>
    <w:rsid w:val="00FE2F86"/>
    <w:rsid w:val="00FE56C3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9cef3"/>
    </o:shapedefaults>
    <o:shapelayout v:ext="edit">
      <o:idmap v:ext="edit" data="1"/>
    </o:shapelayout>
  </w:shapeDefaults>
  <w:decimalSymbol w:val="."/>
  <w:listSeparator w:val=","/>
  <w14:docId w14:val="6B2798F7"/>
  <w15:chartTrackingRefBased/>
  <w15:docId w15:val="{0747EEE5-A9C2-4D64-B128-6C8F61FE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framePr w:w="10260" w:h="4500" w:hSpace="180" w:wrap="around" w:vAnchor="text" w:hAnchor="page" w:x="829" w:y="5611"/>
      <w:outlineLvl w:val="7"/>
    </w:pPr>
    <w:rPr>
      <w:rFonts w:cs="Arial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jc w:val="center"/>
    </w:pPr>
    <w:rPr>
      <w:b/>
      <w:sz w:val="22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b/>
      <w:bCs/>
      <w:sz w:val="22"/>
      <w:szCs w:val="29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cs="Arial"/>
    </w:rPr>
  </w:style>
  <w:style w:type="paragraph" w:customStyle="1" w:styleId="sub-heading">
    <w:name w:val="sub-heading"/>
    <w:basedOn w:val="Normal"/>
    <w:next w:val="Normal"/>
    <w:autoRedefine/>
    <w:rPr>
      <w:rFonts w:cs="Arial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6D0B"/>
  </w:style>
  <w:style w:type="paragraph" w:styleId="Title">
    <w:name w:val="Title"/>
    <w:basedOn w:val="Normal"/>
    <w:link w:val="TitleChar"/>
    <w:qFormat/>
    <w:rsid w:val="00FB6D0B"/>
    <w:pPr>
      <w:tabs>
        <w:tab w:val="center" w:pos="4510"/>
        <w:tab w:val="right" w:pos="9000"/>
      </w:tabs>
      <w:jc w:val="center"/>
    </w:pPr>
    <w:rPr>
      <w:rFonts w:cs="Arial"/>
      <w:b/>
      <w:bCs/>
      <w:sz w:val="28"/>
      <w:szCs w:val="28"/>
      <w:lang w:eastAsia="en-GB"/>
    </w:rPr>
  </w:style>
  <w:style w:type="character" w:customStyle="1" w:styleId="TitleChar">
    <w:name w:val="Title Char"/>
    <w:link w:val="Title"/>
    <w:rsid w:val="00FB6D0B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qFormat/>
    <w:rsid w:val="00FB6D0B"/>
    <w:pPr>
      <w:spacing w:after="200" w:line="276" w:lineRule="auto"/>
      <w:ind w:left="720"/>
    </w:pPr>
    <w:rPr>
      <w:rFonts w:cs="Arial"/>
      <w:lang w:eastAsia="en-GB"/>
    </w:rPr>
  </w:style>
  <w:style w:type="character" w:customStyle="1" w:styleId="BalloonTextChar">
    <w:name w:val="Balloon Text Char"/>
    <w:semiHidden/>
    <w:rsid w:val="00FB6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B6D0B"/>
    <w:pPr>
      <w:spacing w:after="200" w:line="276" w:lineRule="auto"/>
      <w:jc w:val="center"/>
    </w:pPr>
    <w:rPr>
      <w:rFonts w:cs="Arial"/>
      <w:b/>
      <w:bCs/>
      <w:sz w:val="28"/>
      <w:lang w:eastAsia="en-GB"/>
    </w:rPr>
  </w:style>
  <w:style w:type="character" w:customStyle="1" w:styleId="SubtitleChar">
    <w:name w:val="Subtitle Char"/>
    <w:link w:val="Subtitle"/>
    <w:rsid w:val="00FB6D0B"/>
    <w:rPr>
      <w:rFonts w:ascii="Arial" w:hAnsi="Arial" w:cs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D0B"/>
    <w:pPr>
      <w:spacing w:after="200" w:line="276" w:lineRule="auto"/>
    </w:pPr>
    <w:rPr>
      <w:rFonts w:cs="Arial"/>
      <w:b/>
      <w:bCs/>
      <w:lang w:eastAsia="en-GB"/>
    </w:rPr>
  </w:style>
  <w:style w:type="character" w:customStyle="1" w:styleId="CommentTextChar">
    <w:name w:val="Comment Text Char"/>
    <w:link w:val="CommentText"/>
    <w:semiHidden/>
    <w:rsid w:val="00FB6D0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semiHidden/>
    <w:rsid w:val="00FB6D0B"/>
    <w:rPr>
      <w:rFonts w:ascii="Arial" w:hAnsi="Arial" w:cs="Arial"/>
      <w:b/>
      <w:bCs/>
      <w:lang w:eastAsia="en-US"/>
    </w:rPr>
  </w:style>
  <w:style w:type="paragraph" w:styleId="NoSpacing">
    <w:name w:val="No Spacing"/>
    <w:qFormat/>
    <w:rsid w:val="00FB6D0B"/>
    <w:rPr>
      <w:rFonts w:ascii="Arial" w:hAnsi="Arial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FB6D0B"/>
    <w:pPr>
      <w:spacing w:after="200" w:line="276" w:lineRule="auto"/>
    </w:pPr>
    <w:rPr>
      <w:rFonts w:cs="Arial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FB6D0B"/>
    <w:pPr>
      <w:spacing w:after="200" w:line="276" w:lineRule="auto"/>
    </w:pPr>
    <w:rPr>
      <w:rFonts w:cs="Arial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FB6D0B"/>
    <w:rPr>
      <w:rFonts w:ascii="Arial" w:hAnsi="Arial" w:cs="Arial"/>
    </w:rPr>
  </w:style>
  <w:style w:type="character" w:styleId="FootnoteReference">
    <w:name w:val="footnote reference"/>
    <w:semiHidden/>
    <w:rsid w:val="00FB6D0B"/>
    <w:rPr>
      <w:vertAlign w:val="superscript"/>
    </w:rPr>
  </w:style>
  <w:style w:type="table" w:styleId="TableGrid">
    <w:name w:val="Table Grid"/>
    <w:basedOn w:val="TableNormal"/>
    <w:uiPriority w:val="59"/>
    <w:rsid w:val="00FB6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A7D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8A7DF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B108-3EDE-459D-A722-8DC559E3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aisling sims</cp:lastModifiedBy>
  <cp:revision>2</cp:revision>
  <cp:lastPrinted>2014-04-04T10:41:00Z</cp:lastPrinted>
  <dcterms:created xsi:type="dcterms:W3CDTF">2020-05-29T06:10:00Z</dcterms:created>
  <dcterms:modified xsi:type="dcterms:W3CDTF">2020-05-29T06:10:00Z</dcterms:modified>
</cp:coreProperties>
</file>