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7"/>
        <w:gridCol w:w="723"/>
        <w:gridCol w:w="180"/>
        <w:gridCol w:w="1440"/>
        <w:gridCol w:w="107"/>
        <w:gridCol w:w="1333"/>
        <w:gridCol w:w="720"/>
        <w:gridCol w:w="1594"/>
      </w:tblGrid>
      <w:tr w:rsidR="004D4385" w:rsidTr="005142CF">
        <w:tc>
          <w:tcPr>
            <w:tcW w:w="3420"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TITLE</w:t>
            </w:r>
          </w:p>
          <w:p w:rsidR="004D4385" w:rsidRDefault="004D4385">
            <w:pPr>
              <w:pStyle w:val="Header"/>
              <w:tabs>
                <w:tab w:val="clear" w:pos="4153"/>
                <w:tab w:val="clear" w:pos="8306"/>
              </w:tabs>
              <w:rPr>
                <w:b/>
                <w:bCs/>
                <w:i/>
                <w:iCs/>
              </w:rPr>
            </w:pPr>
            <w:r>
              <w:rPr>
                <w:rFonts w:cs="Arial"/>
                <w:i/>
                <w:iCs/>
                <w:sz w:val="20"/>
              </w:rPr>
              <w:t>Name / description of the issue being assessed</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B7627B" w:rsidRDefault="00F87EBC" w:rsidP="00164AF8">
            <w:pPr>
              <w:pStyle w:val="Header"/>
              <w:tabs>
                <w:tab w:val="clear" w:pos="4153"/>
                <w:tab w:val="clear" w:pos="8306"/>
              </w:tabs>
            </w:pPr>
            <w:r w:rsidRPr="00F87EBC">
              <w:t>Tenant Incentive Scheme policy</w:t>
            </w:r>
          </w:p>
        </w:tc>
      </w:tr>
      <w:tr w:rsidR="004D4385" w:rsidTr="005142CF">
        <w:tc>
          <w:tcPr>
            <w:tcW w:w="3420"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 xml:space="preserve">DATE </w:t>
            </w:r>
          </w:p>
          <w:p w:rsidR="004D4385" w:rsidRDefault="004D4385">
            <w:pPr>
              <w:pStyle w:val="Header"/>
              <w:tabs>
                <w:tab w:val="clear" w:pos="4153"/>
                <w:tab w:val="clear" w:pos="8306"/>
              </w:tabs>
              <w:rPr>
                <w:i/>
                <w:iCs/>
              </w:rPr>
            </w:pPr>
            <w:r>
              <w:rPr>
                <w:rFonts w:cs="Arial"/>
                <w:i/>
                <w:iCs/>
                <w:sz w:val="20"/>
              </w:rPr>
              <w:t>Date the DIA is completed</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B7627B" w:rsidRDefault="002F3632" w:rsidP="00F87EBC">
            <w:pPr>
              <w:pStyle w:val="Header"/>
              <w:tabs>
                <w:tab w:val="clear" w:pos="4153"/>
                <w:tab w:val="clear" w:pos="8306"/>
              </w:tabs>
            </w:pPr>
            <w:r>
              <w:t>Published October 2018</w:t>
            </w:r>
          </w:p>
          <w:p w:rsidR="002F3632" w:rsidRDefault="002F3632" w:rsidP="00F87EBC">
            <w:pPr>
              <w:pStyle w:val="Header"/>
              <w:tabs>
                <w:tab w:val="clear" w:pos="4153"/>
                <w:tab w:val="clear" w:pos="8306"/>
              </w:tabs>
            </w:pPr>
            <w:r>
              <w:t>Reviewed July 2020</w:t>
            </w:r>
          </w:p>
        </w:tc>
      </w:tr>
      <w:tr w:rsidR="004D4385" w:rsidTr="005142CF">
        <w:tc>
          <w:tcPr>
            <w:tcW w:w="3420"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LEAD OFFICER</w:t>
            </w:r>
          </w:p>
          <w:p w:rsidR="004D4385" w:rsidRDefault="004D4385">
            <w:pPr>
              <w:pStyle w:val="Header"/>
              <w:tabs>
                <w:tab w:val="clear" w:pos="4153"/>
                <w:tab w:val="clear" w:pos="8306"/>
              </w:tabs>
              <w:rPr>
                <w:b/>
                <w:bCs/>
              </w:rPr>
            </w:pPr>
            <w:r>
              <w:rPr>
                <w:rFonts w:cs="Arial"/>
                <w:i/>
                <w:iCs/>
                <w:sz w:val="20"/>
              </w:rPr>
              <w:t>Name, title and dept of person responsible for carrying out the DIA</w:t>
            </w:r>
            <w:r>
              <w:rPr>
                <w:rFonts w:cs="Arial"/>
                <w:sz w:val="20"/>
              </w:rPr>
              <w:t>.</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B7627B" w:rsidRDefault="005C1B1E" w:rsidP="002F3632">
            <w:pPr>
              <w:pStyle w:val="Header"/>
              <w:tabs>
                <w:tab w:val="clear" w:pos="4153"/>
                <w:tab w:val="clear" w:pos="8306"/>
              </w:tabs>
            </w:pPr>
            <w:r>
              <w:t xml:space="preserve">Katherine Bishop – </w:t>
            </w:r>
            <w:r w:rsidR="002F3632">
              <w:t>Policy and Partnerships Manager</w:t>
            </w:r>
            <w:r>
              <w:t xml:space="preserve"> </w:t>
            </w:r>
          </w:p>
        </w:tc>
      </w:tr>
      <w:tr w:rsidR="004D4385" w:rsidTr="005142CF">
        <w:tc>
          <w:tcPr>
            <w:tcW w:w="8614"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B92351">
            <w:pPr>
              <w:pStyle w:val="Header"/>
              <w:numPr>
                <w:ilvl w:val="0"/>
                <w:numId w:val="24"/>
              </w:numPr>
              <w:tabs>
                <w:tab w:val="clear" w:pos="4153"/>
                <w:tab w:val="clear" w:pos="8306"/>
              </w:tabs>
              <w:rPr>
                <w:b/>
                <w:bCs/>
              </w:rPr>
            </w:pPr>
            <w:r>
              <w:rPr>
                <w:b/>
                <w:bCs/>
              </w:rPr>
              <w:t>Summary description of the proposed change</w:t>
            </w:r>
          </w:p>
          <w:p w:rsidR="004D4385" w:rsidRDefault="004D4385" w:rsidP="008F3510">
            <w:pPr>
              <w:pStyle w:val="Header"/>
              <w:numPr>
                <w:ilvl w:val="0"/>
                <w:numId w:val="12"/>
              </w:numPr>
              <w:tabs>
                <w:tab w:val="clear" w:pos="4153"/>
                <w:tab w:val="clear" w:pos="8306"/>
              </w:tabs>
              <w:rPr>
                <w:i/>
                <w:iCs/>
                <w:sz w:val="20"/>
              </w:rPr>
            </w:pPr>
            <w:r>
              <w:rPr>
                <w:i/>
                <w:iCs/>
                <w:sz w:val="20"/>
              </w:rPr>
              <w:t>What is the change to policy / service / new project that is being proposed?</w:t>
            </w:r>
          </w:p>
          <w:p w:rsidR="004D4385" w:rsidRDefault="004D4385" w:rsidP="008F3510">
            <w:pPr>
              <w:pStyle w:val="Header"/>
              <w:numPr>
                <w:ilvl w:val="0"/>
                <w:numId w:val="12"/>
              </w:numPr>
              <w:tabs>
                <w:tab w:val="clear" w:pos="4153"/>
                <w:tab w:val="clear" w:pos="8306"/>
              </w:tabs>
              <w:rPr>
                <w:b/>
                <w:bCs/>
              </w:rPr>
            </w:pPr>
            <w:r>
              <w:rPr>
                <w:i/>
                <w:iCs/>
                <w:sz w:val="20"/>
              </w:rPr>
              <w:t>How does it compare with the current situation?</w:t>
            </w:r>
          </w:p>
        </w:tc>
      </w:tr>
      <w:tr w:rsidR="004D4385" w:rsidTr="005142CF">
        <w:tc>
          <w:tcPr>
            <w:tcW w:w="8614"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2153C2" w:rsidRDefault="004B358C" w:rsidP="00F87EBC">
            <w:r>
              <w:t xml:space="preserve">The Tenant Incentive policy </w:t>
            </w:r>
            <w:r w:rsidR="002153C2" w:rsidRPr="002153C2">
              <w:t>provides an incentive for tenants to transfer to a council, social landlord or private sector property more suitable for their household size. This policy will also be applied to offer alternative accommodation to those tenants living in a disabled adapted property that they no longer require.</w:t>
            </w:r>
          </w:p>
          <w:p w:rsidR="002153C2" w:rsidRDefault="002153C2" w:rsidP="00F87EBC"/>
          <w:p w:rsidR="002D227B" w:rsidRDefault="004B358C" w:rsidP="00F87EBC">
            <w:r>
              <w:t xml:space="preserve">The Policy </w:t>
            </w:r>
            <w:r w:rsidR="002153C2">
              <w:t xml:space="preserve">has been </w:t>
            </w:r>
            <w:r w:rsidR="002F3632">
              <w:t xml:space="preserve">reviewed in July 2020 with no significant changes. </w:t>
            </w:r>
          </w:p>
          <w:p w:rsidR="002153C2" w:rsidRDefault="002153C2" w:rsidP="00F87EBC"/>
          <w:p w:rsidR="002153C2" w:rsidRDefault="002153C2" w:rsidP="002153C2">
            <w:r>
              <w:t>Where a tenant is downsizing via a mutual exchange (moving from a property they are under occupying by bedroom size) and they are affected by the under occupation size criteria charge (spare room subsidy) as a result of Welfare Reform changes.  Medway Council will use its discretion in meeting the costs of removals and any other moving expenses, up to a maximum allowance of £500 per household.</w:t>
            </w:r>
          </w:p>
          <w:p w:rsidR="002153C2" w:rsidRDefault="002153C2" w:rsidP="002153C2"/>
          <w:p w:rsidR="00F87EBC" w:rsidRDefault="002153C2" w:rsidP="002153C2">
            <w:r>
              <w:t>Tenants moving via a mutual exchange that are subject to under occupation size criteria charge (spare room subsidy) will also be entitled to a downsizing incentive payment.  The rates are the same as apply to downsi</w:t>
            </w:r>
            <w:r w:rsidR="004B358C">
              <w:t>zing transfer applicants</w:t>
            </w:r>
            <w:r>
              <w:t>. To be eligible for this incentive, the exchange must be to a property where no size criteria charge applies at the time of the move.</w:t>
            </w:r>
          </w:p>
          <w:p w:rsidR="00F87EBC" w:rsidRPr="008346D8" w:rsidRDefault="00F87EBC" w:rsidP="00F87EBC"/>
        </w:tc>
      </w:tr>
      <w:tr w:rsidR="004D4385" w:rsidTr="005142CF">
        <w:tc>
          <w:tcPr>
            <w:tcW w:w="8614"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B92351">
            <w:pPr>
              <w:pStyle w:val="Header"/>
              <w:numPr>
                <w:ilvl w:val="0"/>
                <w:numId w:val="24"/>
              </w:numPr>
              <w:tabs>
                <w:tab w:val="clear" w:pos="4153"/>
                <w:tab w:val="clear" w:pos="8306"/>
              </w:tabs>
              <w:rPr>
                <w:b/>
                <w:bCs/>
              </w:rPr>
            </w:pPr>
            <w:r>
              <w:rPr>
                <w:b/>
                <w:bCs/>
              </w:rPr>
              <w:t xml:space="preserve">Summary of evidence used to support this assessment  </w:t>
            </w:r>
          </w:p>
          <w:p w:rsidR="004D4385" w:rsidRDefault="004D4385" w:rsidP="008F3510">
            <w:pPr>
              <w:pStyle w:val="Header"/>
              <w:numPr>
                <w:ilvl w:val="0"/>
                <w:numId w:val="9"/>
              </w:numPr>
              <w:tabs>
                <w:tab w:val="clear" w:pos="4153"/>
                <w:tab w:val="clear" w:pos="8306"/>
              </w:tabs>
              <w:rPr>
                <w:i/>
                <w:iCs/>
                <w:sz w:val="20"/>
              </w:rPr>
            </w:pPr>
            <w:r>
              <w:rPr>
                <w:i/>
                <w:iCs/>
                <w:sz w:val="20"/>
              </w:rPr>
              <w:t>Eg: Feedback from consultation, performance information, service user records etc.</w:t>
            </w:r>
          </w:p>
          <w:p w:rsidR="004D4385" w:rsidRDefault="004D4385" w:rsidP="008F3510">
            <w:pPr>
              <w:pStyle w:val="Header"/>
              <w:numPr>
                <w:ilvl w:val="0"/>
                <w:numId w:val="9"/>
              </w:numPr>
              <w:tabs>
                <w:tab w:val="clear" w:pos="4153"/>
                <w:tab w:val="clear" w:pos="8306"/>
              </w:tabs>
              <w:rPr>
                <w:rFonts w:cs="Arial"/>
                <w:b/>
                <w:bCs/>
              </w:rPr>
            </w:pPr>
            <w:r>
              <w:rPr>
                <w:i/>
                <w:iCs/>
                <w:sz w:val="20"/>
              </w:rPr>
              <w:t>Eg: Comparison of service user profile with Medway Community Profile</w:t>
            </w:r>
            <w:r>
              <w:rPr>
                <w:sz w:val="20"/>
              </w:rPr>
              <w:t xml:space="preserve"> </w:t>
            </w:r>
          </w:p>
        </w:tc>
      </w:tr>
      <w:tr w:rsidR="004D4385" w:rsidTr="005142CF">
        <w:tc>
          <w:tcPr>
            <w:tcW w:w="8614"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A458D9" w:rsidRDefault="00A458D9">
            <w:pPr>
              <w:pStyle w:val="Header"/>
              <w:tabs>
                <w:tab w:val="clear" w:pos="4153"/>
                <w:tab w:val="clear" w:pos="8306"/>
              </w:tabs>
              <w:rPr>
                <w:bCs/>
              </w:rPr>
            </w:pPr>
          </w:p>
          <w:p w:rsidR="0000000D" w:rsidRDefault="00EC1D17">
            <w:pPr>
              <w:pStyle w:val="Header"/>
              <w:tabs>
                <w:tab w:val="clear" w:pos="4153"/>
                <w:tab w:val="clear" w:pos="8306"/>
              </w:tabs>
              <w:rPr>
                <w:bCs/>
              </w:rPr>
            </w:pPr>
            <w:r w:rsidRPr="00EC1D17">
              <w:rPr>
                <w:bCs/>
              </w:rPr>
              <w:t xml:space="preserve">As at </w:t>
            </w:r>
            <w:r w:rsidR="002F3632">
              <w:rPr>
                <w:bCs/>
              </w:rPr>
              <w:t xml:space="preserve">31/03/2020 HRA housing had 3,002 properties. </w:t>
            </w:r>
          </w:p>
          <w:p w:rsidR="00EC1D17" w:rsidRDefault="00B92351">
            <w:pPr>
              <w:pStyle w:val="Header"/>
              <w:tabs>
                <w:tab w:val="clear" w:pos="4153"/>
                <w:tab w:val="clear" w:pos="8306"/>
              </w:tabs>
              <w:rPr>
                <w:bCs/>
              </w:rPr>
            </w:pPr>
            <w:r>
              <w:rPr>
                <w:bCs/>
              </w:rPr>
              <w:t xml:space="preserve">At the point of move in the property should meet the needs of the household. However, over time circumstances may change and some households could be left with excess bedrooms. </w:t>
            </w:r>
          </w:p>
          <w:p w:rsidR="00B92351" w:rsidRDefault="00B92351">
            <w:pPr>
              <w:pStyle w:val="Header"/>
              <w:tabs>
                <w:tab w:val="clear" w:pos="4153"/>
                <w:tab w:val="clear" w:pos="8306"/>
              </w:tabs>
              <w:rPr>
                <w:bCs/>
              </w:rPr>
            </w:pPr>
          </w:p>
          <w:p w:rsidR="00B92351" w:rsidRDefault="00B92351">
            <w:pPr>
              <w:pStyle w:val="Header"/>
              <w:tabs>
                <w:tab w:val="clear" w:pos="4153"/>
                <w:tab w:val="clear" w:pos="8306"/>
              </w:tabs>
              <w:rPr>
                <w:bCs/>
              </w:rPr>
            </w:pPr>
            <w:r>
              <w:rPr>
                <w:bCs/>
              </w:rPr>
              <w:t>Over the past three years there have been</w:t>
            </w:r>
            <w:r w:rsidR="00313A87">
              <w:rPr>
                <w:bCs/>
              </w:rPr>
              <w:t xml:space="preserve"> a total of</w:t>
            </w:r>
            <w:r>
              <w:rPr>
                <w:bCs/>
              </w:rPr>
              <w:t xml:space="preserve"> </w:t>
            </w:r>
            <w:r w:rsidR="00313A87">
              <w:rPr>
                <w:bCs/>
              </w:rPr>
              <w:t>64</w:t>
            </w:r>
            <w:r>
              <w:rPr>
                <w:bCs/>
              </w:rPr>
              <w:t xml:space="preserve"> claims through the Tenant Incent</w:t>
            </w:r>
            <w:r w:rsidR="00313A87">
              <w:rPr>
                <w:bCs/>
              </w:rPr>
              <w:t xml:space="preserve">ive Scheme and this can be broken down to: </w:t>
            </w:r>
          </w:p>
          <w:p w:rsidR="00313A87" w:rsidRDefault="00313A87">
            <w:pPr>
              <w:pStyle w:val="Header"/>
              <w:tabs>
                <w:tab w:val="clear" w:pos="4153"/>
                <w:tab w:val="clear" w:pos="8306"/>
              </w:tabs>
              <w:rPr>
                <w:bCs/>
              </w:rPr>
            </w:pPr>
            <w:r>
              <w:rPr>
                <w:bCs/>
              </w:rPr>
              <w:t>2018-19 – 34 cases</w:t>
            </w:r>
          </w:p>
          <w:p w:rsidR="00313A87" w:rsidRDefault="00313A87">
            <w:pPr>
              <w:pStyle w:val="Header"/>
              <w:tabs>
                <w:tab w:val="clear" w:pos="4153"/>
                <w:tab w:val="clear" w:pos="8306"/>
              </w:tabs>
              <w:rPr>
                <w:bCs/>
              </w:rPr>
            </w:pPr>
            <w:r>
              <w:rPr>
                <w:bCs/>
              </w:rPr>
              <w:t>2019-20 – 27 cases</w:t>
            </w:r>
          </w:p>
          <w:p w:rsidR="00313A87" w:rsidRDefault="00313A87">
            <w:pPr>
              <w:pStyle w:val="Header"/>
              <w:tabs>
                <w:tab w:val="clear" w:pos="4153"/>
                <w:tab w:val="clear" w:pos="8306"/>
              </w:tabs>
              <w:rPr>
                <w:bCs/>
              </w:rPr>
            </w:pPr>
            <w:r>
              <w:rPr>
                <w:bCs/>
              </w:rPr>
              <w:lastRenderedPageBreak/>
              <w:t>2020-21 – 3 cases to date</w:t>
            </w:r>
            <w:bookmarkStart w:id="0" w:name="_GoBack"/>
            <w:bookmarkEnd w:id="0"/>
          </w:p>
          <w:p w:rsidR="00060FBA" w:rsidRPr="00A458D9" w:rsidRDefault="00060FBA" w:rsidP="002F3632">
            <w:pPr>
              <w:pStyle w:val="Header"/>
              <w:tabs>
                <w:tab w:val="clear" w:pos="4153"/>
                <w:tab w:val="clear" w:pos="8306"/>
              </w:tabs>
              <w:rPr>
                <w:bCs/>
              </w:rPr>
            </w:pPr>
          </w:p>
        </w:tc>
      </w:tr>
      <w:tr w:rsidR="004D4385" w:rsidTr="005142CF">
        <w:trPr>
          <w:cantSplit/>
        </w:trPr>
        <w:tc>
          <w:tcPr>
            <w:tcW w:w="8614" w:type="dxa"/>
            <w:gridSpan w:val="8"/>
            <w:tcBorders>
              <w:top w:val="single" w:sz="48" w:space="0" w:color="FFFFFF"/>
              <w:left w:val="single" w:sz="48" w:space="0" w:color="FFFFFF"/>
              <w:bottom w:val="single" w:sz="48" w:space="0" w:color="FFFFFF"/>
              <w:right w:val="single" w:sz="48" w:space="0" w:color="FFFFFF"/>
            </w:tcBorders>
            <w:shd w:val="clear" w:color="auto" w:fill="D9D9D9"/>
            <w:vAlign w:val="center"/>
          </w:tcPr>
          <w:p w:rsidR="004D4385" w:rsidRDefault="002F3632">
            <w:pPr>
              <w:pStyle w:val="Heading2"/>
              <w:rPr>
                <w:sz w:val="24"/>
              </w:rPr>
            </w:pPr>
            <w:r>
              <w:rPr>
                <w:sz w:val="24"/>
              </w:rPr>
              <w:lastRenderedPageBreak/>
              <w:t xml:space="preserve">3. </w:t>
            </w:r>
            <w:r w:rsidR="004D4385">
              <w:rPr>
                <w:sz w:val="24"/>
              </w:rPr>
              <w:t>What is the likely impact of the proposed change?</w:t>
            </w:r>
          </w:p>
          <w:p w:rsidR="004D4385" w:rsidRDefault="004D4385">
            <w:pPr>
              <w:pStyle w:val="Header"/>
              <w:tabs>
                <w:tab w:val="clear" w:pos="4153"/>
                <w:tab w:val="clear" w:pos="8306"/>
              </w:tabs>
              <w:rPr>
                <w:i/>
                <w:iCs/>
                <w:sz w:val="20"/>
              </w:rPr>
            </w:pPr>
            <w:r>
              <w:rPr>
                <w:i/>
                <w:iCs/>
                <w:sz w:val="20"/>
              </w:rPr>
              <w:t>Is it likely to :</w:t>
            </w:r>
          </w:p>
          <w:p w:rsidR="004D4385" w:rsidRDefault="004D4385" w:rsidP="008F3510">
            <w:pPr>
              <w:pStyle w:val="Header"/>
              <w:numPr>
                <w:ilvl w:val="0"/>
                <w:numId w:val="8"/>
              </w:numPr>
              <w:tabs>
                <w:tab w:val="clear" w:pos="4153"/>
                <w:tab w:val="clear" w:pos="8306"/>
              </w:tabs>
              <w:rPr>
                <w:i/>
                <w:iCs/>
                <w:sz w:val="20"/>
              </w:rPr>
            </w:pPr>
            <w:r>
              <w:rPr>
                <w:i/>
                <w:iCs/>
                <w:sz w:val="20"/>
              </w:rPr>
              <w:t xml:space="preserve">Adversely impact on one or more of the protected characteristic groups? </w:t>
            </w:r>
          </w:p>
          <w:p w:rsidR="004D4385" w:rsidRDefault="004D4385" w:rsidP="008F3510">
            <w:pPr>
              <w:pStyle w:val="Header"/>
              <w:numPr>
                <w:ilvl w:val="0"/>
                <w:numId w:val="8"/>
              </w:numPr>
              <w:tabs>
                <w:tab w:val="clear" w:pos="4153"/>
                <w:tab w:val="clear" w:pos="8306"/>
              </w:tabs>
              <w:rPr>
                <w:i/>
                <w:iCs/>
                <w:sz w:val="20"/>
              </w:rPr>
            </w:pPr>
            <w:r>
              <w:rPr>
                <w:i/>
                <w:iCs/>
                <w:sz w:val="20"/>
              </w:rPr>
              <w:t>Advance equality of opportunity for one or more of the protected characteristic groups?</w:t>
            </w:r>
          </w:p>
          <w:p w:rsidR="004D4385" w:rsidRDefault="004D4385" w:rsidP="002F3632">
            <w:pPr>
              <w:pStyle w:val="Header"/>
              <w:numPr>
                <w:ilvl w:val="0"/>
                <w:numId w:val="8"/>
              </w:numPr>
              <w:tabs>
                <w:tab w:val="clear" w:pos="4153"/>
                <w:tab w:val="clear" w:pos="8306"/>
              </w:tabs>
              <w:rPr>
                <w:rFonts w:cs="Arial"/>
                <w:b/>
                <w:bCs/>
                <w:i/>
                <w:iCs/>
              </w:rPr>
            </w:pPr>
            <w:r>
              <w:rPr>
                <w:i/>
                <w:iCs/>
                <w:sz w:val="20"/>
              </w:rPr>
              <w:t>Foster good relations between people who share a protected characteristic and those who don’t?</w:t>
            </w:r>
            <w:r>
              <w:rPr>
                <w:i/>
                <w:iCs/>
                <w:sz w:val="16"/>
              </w:rPr>
              <w:t xml:space="preserve"> </w:t>
            </w:r>
            <w:r>
              <w:rPr>
                <w:b/>
                <w:bCs/>
                <w:i/>
                <w:iCs/>
                <w:sz w:val="16"/>
              </w:rPr>
              <w:t xml:space="preserve">(insert </w:t>
            </w:r>
            <w:r>
              <w:rPr>
                <w:b/>
                <w:bCs/>
                <w:i/>
                <w:iCs/>
                <w:sz w:val="16"/>
              </w:rPr>
              <w:sym w:font="Wingdings" w:char="F0FC"/>
            </w:r>
            <w:r>
              <w:rPr>
                <w:b/>
                <w:bCs/>
                <w:i/>
                <w:iCs/>
                <w:sz w:val="16"/>
              </w:rPr>
              <w:t xml:space="preserve"> in one or more boxes)</w:t>
            </w:r>
          </w:p>
        </w:tc>
      </w:tr>
      <w:tr w:rsidR="004D4385" w:rsidTr="005142CF">
        <w:tc>
          <w:tcPr>
            <w:tcW w:w="3240"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Protected characteristic groups</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Adverse impact</w:t>
            </w:r>
          </w:p>
        </w:tc>
        <w:tc>
          <w:tcPr>
            <w:tcW w:w="1333"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Advance equality</w:t>
            </w: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Foster good relations</w:t>
            </w:r>
          </w:p>
        </w:tc>
      </w:tr>
      <w:tr w:rsidR="004D4385" w:rsidTr="005142CF">
        <w:trPr>
          <w:trHeight w:val="310"/>
        </w:trPr>
        <w:tc>
          <w:tcPr>
            <w:tcW w:w="3240"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 xml:space="preserve">Age </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rsidP="00BA45BA">
            <w:pP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5142CF">
        <w:tc>
          <w:tcPr>
            <w:tcW w:w="3240"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Disabilty</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AF64C8" w:rsidRDefault="00F15E93" w:rsidP="00AF64C8">
            <w:pPr>
              <w:pStyle w:val="Header"/>
              <w:tabs>
                <w:tab w:val="clear" w:pos="4153"/>
                <w:tab w:val="clear" w:pos="8306"/>
              </w:tabs>
              <w:jc w:val="center"/>
              <w:rPr>
                <w:rFonts w:cs="Arial"/>
                <w:b/>
                <w:bCs/>
                <w:noProof/>
                <w:lang w:val="en-US"/>
              </w:rPr>
            </w:pPr>
            <w:r>
              <w:rPr>
                <w:b/>
                <w:bCs/>
                <w:i/>
                <w:iCs/>
                <w:sz w:val="16"/>
              </w:rPr>
              <w:sym w:font="Wingdings" w:char="F0FC"/>
            </w: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5142CF">
        <w:tc>
          <w:tcPr>
            <w:tcW w:w="3240"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sz w:val="22"/>
              </w:rPr>
              <w:t>Gender reassignment</w:t>
            </w:r>
            <w:r w:rsidR="00020F25">
              <w:rPr>
                <w:rFonts w:cs="Arial"/>
                <w:b/>
                <w:bCs/>
                <w:noProof/>
                <w:sz w:val="22"/>
                <w:lang w:val="en-US"/>
              </w:rPr>
              <w:t xml:space="preserve"> </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5142CF">
        <w:trPr>
          <w:trHeight w:val="538"/>
        </w:trPr>
        <w:tc>
          <w:tcPr>
            <w:tcW w:w="3240"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sz w:val="22"/>
              </w:rPr>
              <w:t>Marriage/civil partnership</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ing9"/>
              <w:jc w:val="center"/>
              <w:rPr>
                <w:rFonts w:cs="Arial"/>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5142CF">
        <w:tc>
          <w:tcPr>
            <w:tcW w:w="3240"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Pr="00020F25" w:rsidRDefault="00020F25">
            <w:pPr>
              <w:rPr>
                <w:rFonts w:cs="Arial"/>
                <w:b/>
                <w:bCs/>
                <w:sz w:val="22"/>
              </w:rPr>
            </w:pPr>
            <w:r>
              <w:rPr>
                <w:rFonts w:cs="Arial"/>
                <w:b/>
                <w:bCs/>
                <w:sz w:val="22"/>
              </w:rPr>
              <w:t>Pregnancy/maternity</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ing9"/>
              <w:jc w:val="center"/>
              <w:rPr>
                <w:rFonts w:cs="Arial"/>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5142CF">
        <w:tc>
          <w:tcPr>
            <w:tcW w:w="3240"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Race</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5142CF">
        <w:tc>
          <w:tcPr>
            <w:tcW w:w="3240"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Pr="00020F25" w:rsidRDefault="00020F25" w:rsidP="00020F25">
            <w:pPr>
              <w:pStyle w:val="Heading6"/>
              <w:rPr>
                <w:rFonts w:cs="Arial"/>
              </w:rPr>
            </w:pPr>
            <w:r>
              <w:rPr>
                <w:rFonts w:cs="Arial"/>
              </w:rPr>
              <w:t>Religion/belief</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5142CF">
        <w:trPr>
          <w:trHeight w:val="309"/>
        </w:trPr>
        <w:tc>
          <w:tcPr>
            <w:tcW w:w="3240"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Sex</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p w:rsidR="00AF64C8" w:rsidRDefault="00AF64C8">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F467B9" w:rsidTr="005142CF">
        <w:trPr>
          <w:trHeight w:val="309"/>
        </w:trPr>
        <w:tc>
          <w:tcPr>
            <w:tcW w:w="3240"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F467B9" w:rsidRDefault="00F467B9">
            <w:pPr>
              <w:rPr>
                <w:rFonts w:cs="Arial"/>
                <w:b/>
                <w:bCs/>
                <w:sz w:val="22"/>
              </w:rPr>
            </w:pPr>
            <w:r>
              <w:rPr>
                <w:rFonts w:cs="Arial"/>
                <w:b/>
                <w:bCs/>
                <w:sz w:val="22"/>
              </w:rPr>
              <w:t>Income</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F467B9" w:rsidRDefault="00F467B9">
            <w:pPr>
              <w:jc w:val="center"/>
              <w:rPr>
                <w:rFonts w:cs="Arial"/>
                <w:b/>
                <w:bCs/>
                <w:noProof/>
                <w:lang w:val="en-US"/>
              </w:rPr>
            </w:pPr>
            <w:r>
              <w:rPr>
                <w:b/>
                <w:bCs/>
                <w:i/>
                <w:iCs/>
                <w:sz w:val="16"/>
              </w:rPr>
              <w:sym w:font="Wingdings" w:char="F0FC"/>
            </w: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F467B9" w:rsidRDefault="00F467B9">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F467B9" w:rsidRDefault="00F467B9">
            <w:pPr>
              <w:jc w:val="center"/>
              <w:rPr>
                <w:rFonts w:cs="Arial"/>
                <w:b/>
                <w:bCs/>
                <w:noProof/>
                <w:lang w:val="en-US"/>
              </w:rPr>
            </w:pPr>
          </w:p>
        </w:tc>
      </w:tr>
      <w:tr w:rsidR="004D4385" w:rsidTr="005142CF">
        <w:tc>
          <w:tcPr>
            <w:tcW w:w="3240"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Sexual orientation</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5142CF">
        <w:tc>
          <w:tcPr>
            <w:tcW w:w="8614"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Pr="008346D8" w:rsidRDefault="002F3632" w:rsidP="008346D8">
            <w:pPr>
              <w:pStyle w:val="Header"/>
              <w:tabs>
                <w:tab w:val="clear" w:pos="4153"/>
                <w:tab w:val="clear" w:pos="8306"/>
              </w:tabs>
              <w:rPr>
                <w:b/>
                <w:bCs/>
              </w:rPr>
            </w:pPr>
            <w:r>
              <w:rPr>
                <w:b/>
                <w:bCs/>
              </w:rPr>
              <w:t xml:space="preserve">4. </w:t>
            </w:r>
            <w:r w:rsidR="008346D8">
              <w:rPr>
                <w:b/>
                <w:bCs/>
              </w:rPr>
              <w:t xml:space="preserve">Summary of the likely impacts </w:t>
            </w:r>
            <w:r w:rsidR="004D4385">
              <w:rPr>
                <w:sz w:val="20"/>
              </w:rPr>
              <w:t xml:space="preserve"> </w:t>
            </w:r>
          </w:p>
        </w:tc>
      </w:tr>
      <w:tr w:rsidR="004D4385" w:rsidTr="005142CF">
        <w:tc>
          <w:tcPr>
            <w:tcW w:w="8614"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786C45" w:rsidRDefault="00693DA6" w:rsidP="00C25ACE">
            <w:pPr>
              <w:autoSpaceDE w:val="0"/>
              <w:autoSpaceDN w:val="0"/>
              <w:adjustRightInd w:val="0"/>
              <w:rPr>
                <w:rFonts w:ascii="Helvetica" w:hAnsi="Helvetica" w:cs="Helvetica"/>
                <w:b/>
                <w:u w:val="single"/>
                <w:lang w:eastAsia="en-GB"/>
              </w:rPr>
            </w:pPr>
            <w:r>
              <w:rPr>
                <w:rFonts w:ascii="Helvetica" w:hAnsi="Helvetica" w:cs="Helvetica"/>
                <w:b/>
                <w:u w:val="single"/>
                <w:lang w:eastAsia="en-GB"/>
              </w:rPr>
              <w:t xml:space="preserve">Income </w:t>
            </w:r>
          </w:p>
          <w:p w:rsidR="00693DA6" w:rsidRDefault="00693DA6" w:rsidP="00C25ACE">
            <w:pPr>
              <w:autoSpaceDE w:val="0"/>
              <w:autoSpaceDN w:val="0"/>
              <w:adjustRightInd w:val="0"/>
              <w:rPr>
                <w:rFonts w:ascii="Helvetica" w:hAnsi="Helvetica" w:cs="Helvetica"/>
                <w:b/>
                <w:u w:val="single"/>
                <w:lang w:eastAsia="en-GB"/>
              </w:rPr>
            </w:pPr>
          </w:p>
          <w:p w:rsidR="00693DA6" w:rsidRDefault="00693DA6" w:rsidP="00C25ACE">
            <w:pPr>
              <w:autoSpaceDE w:val="0"/>
              <w:autoSpaceDN w:val="0"/>
              <w:adjustRightInd w:val="0"/>
              <w:rPr>
                <w:rFonts w:ascii="Helvetica" w:hAnsi="Helvetica" w:cs="Helvetica"/>
                <w:lang w:eastAsia="en-GB"/>
              </w:rPr>
            </w:pPr>
            <w:r>
              <w:rPr>
                <w:rFonts w:ascii="Helvetica" w:hAnsi="Helvetica" w:cs="Helvetica"/>
                <w:lang w:eastAsia="en-GB"/>
              </w:rPr>
              <w:t>The properties will have to be in good decorative order to be considered for the incentive scheme.</w:t>
            </w:r>
            <w:r w:rsidR="00E43E6E">
              <w:rPr>
                <w:rFonts w:ascii="Helvetica" w:hAnsi="Helvetica" w:cs="Helvetica"/>
                <w:lang w:eastAsia="en-GB"/>
              </w:rPr>
              <w:t xml:space="preserve"> Some tenants m</w:t>
            </w:r>
            <w:r w:rsidR="00617EB8">
              <w:rPr>
                <w:rFonts w:ascii="Helvetica" w:hAnsi="Helvetica" w:cs="Helvetica"/>
                <w:lang w:eastAsia="en-GB"/>
              </w:rPr>
              <w:t>a</w:t>
            </w:r>
            <w:r w:rsidR="00E43E6E">
              <w:rPr>
                <w:rFonts w:ascii="Helvetica" w:hAnsi="Helvetica" w:cs="Helvetica"/>
                <w:lang w:eastAsia="en-GB"/>
              </w:rPr>
              <w:t xml:space="preserve">y consider this to be a disadvantage if they are </w:t>
            </w:r>
            <w:r w:rsidR="00617EB8">
              <w:rPr>
                <w:rFonts w:ascii="Helvetica" w:hAnsi="Helvetica" w:cs="Helvetica"/>
                <w:lang w:eastAsia="en-GB"/>
              </w:rPr>
              <w:t xml:space="preserve">feel that they are unable keep the property in good decorative order </w:t>
            </w:r>
            <w:r w:rsidR="002722ED">
              <w:rPr>
                <w:rFonts w:ascii="Helvetica" w:hAnsi="Helvetica" w:cs="Helvetica"/>
                <w:lang w:eastAsia="en-GB"/>
              </w:rPr>
              <w:t xml:space="preserve">due to lack of financial funds. </w:t>
            </w:r>
          </w:p>
          <w:p w:rsidR="004F4325" w:rsidRDefault="004F4325" w:rsidP="00C25ACE">
            <w:pPr>
              <w:autoSpaceDE w:val="0"/>
              <w:autoSpaceDN w:val="0"/>
              <w:adjustRightInd w:val="0"/>
              <w:rPr>
                <w:rFonts w:ascii="Helvetica" w:hAnsi="Helvetica" w:cs="Helvetica"/>
                <w:lang w:eastAsia="en-GB"/>
              </w:rPr>
            </w:pPr>
          </w:p>
          <w:p w:rsidR="004F4325" w:rsidRDefault="004F4325" w:rsidP="00C25ACE">
            <w:pPr>
              <w:autoSpaceDE w:val="0"/>
              <w:autoSpaceDN w:val="0"/>
              <w:adjustRightInd w:val="0"/>
              <w:rPr>
                <w:rFonts w:ascii="Helvetica" w:hAnsi="Helvetica" w:cs="Helvetica"/>
                <w:lang w:eastAsia="en-GB"/>
              </w:rPr>
            </w:pPr>
            <w:r>
              <w:rPr>
                <w:rFonts w:ascii="Helvetica" w:hAnsi="Helvetica" w:cs="Helvetica"/>
                <w:lang w:eastAsia="en-GB"/>
              </w:rPr>
              <w:t xml:space="preserve">The scheme will also be available only to </w:t>
            </w:r>
            <w:r w:rsidRPr="004F4325">
              <w:rPr>
                <w:rFonts w:ascii="Helvetica" w:hAnsi="Helvetica" w:cs="Helvetica"/>
                <w:lang w:eastAsia="en-GB"/>
              </w:rPr>
              <w:t>have a clear rent account or have an agreement in place to clear arrears</w:t>
            </w:r>
            <w:r>
              <w:rPr>
                <w:rFonts w:ascii="Helvetica" w:hAnsi="Helvetica" w:cs="Helvetica"/>
                <w:lang w:eastAsia="en-GB"/>
              </w:rPr>
              <w:t xml:space="preserve">. </w:t>
            </w:r>
          </w:p>
          <w:p w:rsidR="008D737C" w:rsidRDefault="008D737C" w:rsidP="00C25ACE">
            <w:pPr>
              <w:autoSpaceDE w:val="0"/>
              <w:autoSpaceDN w:val="0"/>
              <w:adjustRightInd w:val="0"/>
              <w:rPr>
                <w:rFonts w:ascii="Helvetica" w:hAnsi="Helvetica" w:cs="Helvetica"/>
                <w:lang w:eastAsia="en-GB"/>
              </w:rPr>
            </w:pPr>
          </w:p>
          <w:p w:rsidR="008D737C" w:rsidRDefault="008D737C" w:rsidP="00C25ACE">
            <w:pPr>
              <w:autoSpaceDE w:val="0"/>
              <w:autoSpaceDN w:val="0"/>
              <w:adjustRightInd w:val="0"/>
              <w:rPr>
                <w:rFonts w:ascii="Helvetica" w:hAnsi="Helvetica" w:cs="Helvetica"/>
                <w:lang w:eastAsia="en-GB"/>
              </w:rPr>
            </w:pPr>
            <w:r>
              <w:rPr>
                <w:rFonts w:ascii="Helvetica" w:hAnsi="Helvetica" w:cs="Helvetica"/>
                <w:lang w:eastAsia="en-GB"/>
              </w:rPr>
              <w:t>Tenants w</w:t>
            </w:r>
            <w:r w:rsidRPr="008D737C">
              <w:rPr>
                <w:rFonts w:ascii="Helvetica" w:hAnsi="Helvetica" w:cs="Helvetica"/>
                <w:lang w:eastAsia="en-GB"/>
              </w:rPr>
              <w:t>ho owe current rent arrears and former tenant debts or a sundry debt to the council, and where reasonable repayment o</w:t>
            </w:r>
            <w:r>
              <w:rPr>
                <w:rFonts w:ascii="Helvetica" w:hAnsi="Helvetica" w:cs="Helvetica"/>
                <w:lang w:eastAsia="en-GB"/>
              </w:rPr>
              <w:t xml:space="preserve">f the debt cannot be negotiated will not be eligible for the scheme. </w:t>
            </w:r>
          </w:p>
          <w:p w:rsidR="00693DA6" w:rsidRDefault="00693DA6" w:rsidP="00C25ACE">
            <w:pPr>
              <w:autoSpaceDE w:val="0"/>
              <w:autoSpaceDN w:val="0"/>
              <w:adjustRightInd w:val="0"/>
              <w:rPr>
                <w:rFonts w:ascii="Helvetica" w:hAnsi="Helvetica" w:cs="Helvetica"/>
                <w:b/>
                <w:u w:val="single"/>
                <w:lang w:eastAsia="en-GB"/>
              </w:rPr>
            </w:pPr>
          </w:p>
          <w:p w:rsidR="00F75489" w:rsidRDefault="00F75489" w:rsidP="00C25ACE">
            <w:pPr>
              <w:autoSpaceDE w:val="0"/>
              <w:autoSpaceDN w:val="0"/>
              <w:adjustRightInd w:val="0"/>
              <w:rPr>
                <w:rFonts w:ascii="Helvetica" w:hAnsi="Helvetica" w:cs="Helvetica"/>
                <w:b/>
                <w:u w:val="single"/>
                <w:lang w:eastAsia="en-GB"/>
              </w:rPr>
            </w:pPr>
            <w:r>
              <w:rPr>
                <w:rFonts w:ascii="Helvetica" w:hAnsi="Helvetica" w:cs="Helvetica"/>
                <w:b/>
                <w:u w:val="single"/>
                <w:lang w:eastAsia="en-GB"/>
              </w:rPr>
              <w:t xml:space="preserve">Disability </w:t>
            </w:r>
          </w:p>
          <w:p w:rsidR="008E3C7F" w:rsidRDefault="008E3C7F" w:rsidP="00C25ACE">
            <w:pPr>
              <w:autoSpaceDE w:val="0"/>
              <w:autoSpaceDN w:val="0"/>
              <w:adjustRightInd w:val="0"/>
              <w:rPr>
                <w:rFonts w:ascii="Helvetica" w:hAnsi="Helvetica" w:cs="Helvetica"/>
                <w:b/>
                <w:u w:val="single"/>
                <w:lang w:eastAsia="en-GB"/>
              </w:rPr>
            </w:pPr>
          </w:p>
          <w:p w:rsidR="00835D29" w:rsidRDefault="00835D29" w:rsidP="00835D29">
            <w:pPr>
              <w:autoSpaceDE w:val="0"/>
              <w:autoSpaceDN w:val="0"/>
              <w:adjustRightInd w:val="0"/>
              <w:rPr>
                <w:rFonts w:ascii="Helvetica" w:hAnsi="Helvetica" w:cs="Helvetica"/>
                <w:lang w:eastAsia="en-GB"/>
              </w:rPr>
            </w:pPr>
            <w:r>
              <w:rPr>
                <w:rFonts w:ascii="Helvetica" w:hAnsi="Helvetica" w:cs="Helvetica"/>
                <w:lang w:eastAsia="en-GB"/>
              </w:rPr>
              <w:t xml:space="preserve">If a tenant applies for the cash incentive to move from an adapted property and/or </w:t>
            </w:r>
            <w:r w:rsidR="00E06809">
              <w:rPr>
                <w:rFonts w:ascii="Helvetica" w:hAnsi="Helvetica" w:cs="Helvetica"/>
                <w:lang w:eastAsia="en-GB"/>
              </w:rPr>
              <w:t>requires</w:t>
            </w:r>
            <w:r>
              <w:rPr>
                <w:rFonts w:ascii="Helvetica" w:hAnsi="Helvetica" w:cs="Helvetica"/>
                <w:lang w:eastAsia="en-GB"/>
              </w:rPr>
              <w:t xml:space="preserve"> an adapted property to move into, then this would be identified </w:t>
            </w:r>
            <w:r>
              <w:rPr>
                <w:rFonts w:ascii="Helvetica" w:hAnsi="Helvetica" w:cs="Helvetica"/>
                <w:lang w:eastAsia="en-GB"/>
              </w:rPr>
              <w:lastRenderedPageBreak/>
              <w:t xml:space="preserve">as part of the application process. </w:t>
            </w:r>
            <w:r w:rsidR="00E80176">
              <w:rPr>
                <w:rFonts w:ascii="Helvetica" w:hAnsi="Helvetica" w:cs="Helvetica"/>
                <w:lang w:eastAsia="en-GB"/>
              </w:rPr>
              <w:t xml:space="preserve">This may disadvantage some disabled tenants, due to the number of adapted properties available. </w:t>
            </w:r>
          </w:p>
          <w:p w:rsidR="00745EBF" w:rsidRDefault="00745EBF" w:rsidP="00835D29">
            <w:pPr>
              <w:autoSpaceDE w:val="0"/>
              <w:autoSpaceDN w:val="0"/>
              <w:adjustRightInd w:val="0"/>
              <w:rPr>
                <w:rFonts w:ascii="Helvetica" w:hAnsi="Helvetica" w:cs="Helvetica"/>
                <w:lang w:eastAsia="en-GB"/>
              </w:rPr>
            </w:pPr>
          </w:p>
          <w:p w:rsidR="00745EBF" w:rsidRDefault="00745EBF" w:rsidP="00745EBF">
            <w:pPr>
              <w:autoSpaceDE w:val="0"/>
              <w:autoSpaceDN w:val="0"/>
              <w:adjustRightInd w:val="0"/>
              <w:rPr>
                <w:rFonts w:ascii="Helvetica" w:hAnsi="Helvetica" w:cs="Helvetica"/>
                <w:b/>
                <w:u w:val="single"/>
                <w:lang w:eastAsia="en-GB"/>
              </w:rPr>
            </w:pPr>
            <w:r>
              <w:rPr>
                <w:rFonts w:ascii="Helvetica" w:hAnsi="Helvetica" w:cs="Helvetica"/>
                <w:b/>
                <w:u w:val="single"/>
                <w:lang w:eastAsia="en-GB"/>
              </w:rPr>
              <w:t xml:space="preserve">Access to information </w:t>
            </w:r>
          </w:p>
          <w:p w:rsidR="00745EBF" w:rsidRPr="00745EBF" w:rsidRDefault="00745EBF" w:rsidP="00745EBF">
            <w:pPr>
              <w:autoSpaceDE w:val="0"/>
              <w:autoSpaceDN w:val="0"/>
              <w:adjustRightInd w:val="0"/>
              <w:rPr>
                <w:rFonts w:ascii="Helvetica" w:hAnsi="Helvetica" w:cs="Helvetica"/>
                <w:lang w:eastAsia="en-GB"/>
              </w:rPr>
            </w:pPr>
          </w:p>
          <w:p w:rsidR="00745EBF" w:rsidRPr="00835D29" w:rsidRDefault="00745EBF" w:rsidP="00745EBF">
            <w:pPr>
              <w:autoSpaceDE w:val="0"/>
              <w:autoSpaceDN w:val="0"/>
              <w:adjustRightInd w:val="0"/>
              <w:rPr>
                <w:rFonts w:ascii="Helvetica" w:hAnsi="Helvetica" w:cs="Helvetica"/>
                <w:lang w:eastAsia="en-GB"/>
              </w:rPr>
            </w:pPr>
            <w:r w:rsidRPr="00745EBF">
              <w:rPr>
                <w:rFonts w:ascii="Helvetica" w:hAnsi="Helvetica" w:cs="Helvetica"/>
                <w:lang w:eastAsia="en-GB"/>
              </w:rPr>
              <w:t>Those with learning difficulties or visual impairments or for tenants whose first language is not English may find it difficult to read the policy.</w:t>
            </w:r>
          </w:p>
          <w:p w:rsidR="00693DA6" w:rsidRPr="00693DA6" w:rsidRDefault="00693DA6" w:rsidP="00C25ACE">
            <w:pPr>
              <w:autoSpaceDE w:val="0"/>
              <w:autoSpaceDN w:val="0"/>
              <w:adjustRightInd w:val="0"/>
              <w:rPr>
                <w:rFonts w:ascii="Helvetica" w:hAnsi="Helvetica" w:cs="Helvetica"/>
                <w:b/>
                <w:u w:val="single"/>
                <w:lang w:eastAsia="en-GB"/>
              </w:rPr>
            </w:pPr>
          </w:p>
        </w:tc>
      </w:tr>
      <w:tr w:rsidR="004D4385" w:rsidTr="005142CF">
        <w:tc>
          <w:tcPr>
            <w:tcW w:w="8614"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2F3632" w:rsidP="001B3AB4">
            <w:pPr>
              <w:pStyle w:val="Header"/>
              <w:tabs>
                <w:tab w:val="clear" w:pos="4153"/>
                <w:tab w:val="clear" w:pos="8306"/>
              </w:tabs>
              <w:rPr>
                <w:b/>
                <w:bCs/>
              </w:rPr>
            </w:pPr>
            <w:r>
              <w:rPr>
                <w:b/>
                <w:bCs/>
              </w:rPr>
              <w:lastRenderedPageBreak/>
              <w:t xml:space="preserve">5. </w:t>
            </w:r>
            <w:r w:rsidR="004D4385">
              <w:rPr>
                <w:b/>
                <w:bCs/>
              </w:rPr>
              <w:t>What actions can be taken to mitigate likely adverse</w:t>
            </w:r>
            <w:r w:rsidR="004D4385">
              <w:rPr>
                <w:b/>
                <w:bCs/>
                <w:sz w:val="28"/>
              </w:rPr>
              <w:t xml:space="preserve"> </w:t>
            </w:r>
            <w:r w:rsidR="004D4385">
              <w:rPr>
                <w:b/>
                <w:bCs/>
              </w:rPr>
              <w:t>impacts, improve equality of opport</w:t>
            </w:r>
            <w:r w:rsidR="001B3AB4">
              <w:rPr>
                <w:b/>
                <w:bCs/>
              </w:rPr>
              <w:t>unity or foster good relations?</w:t>
            </w:r>
          </w:p>
        </w:tc>
      </w:tr>
      <w:tr w:rsidR="004D4385" w:rsidTr="005142CF">
        <w:tc>
          <w:tcPr>
            <w:tcW w:w="8614"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517D81" w:rsidRDefault="00517D81" w:rsidP="00F87EBC">
            <w:pPr>
              <w:pStyle w:val="Header"/>
              <w:tabs>
                <w:tab w:val="clear" w:pos="4153"/>
                <w:tab w:val="clear" w:pos="8306"/>
              </w:tabs>
              <w:rPr>
                <w:b/>
                <w:u w:val="single"/>
              </w:rPr>
            </w:pPr>
          </w:p>
          <w:p w:rsidR="00B77CAF" w:rsidRDefault="00693DA6" w:rsidP="00F87EBC">
            <w:pPr>
              <w:pStyle w:val="Header"/>
              <w:tabs>
                <w:tab w:val="clear" w:pos="4153"/>
                <w:tab w:val="clear" w:pos="8306"/>
              </w:tabs>
              <w:rPr>
                <w:b/>
                <w:u w:val="single"/>
              </w:rPr>
            </w:pPr>
            <w:r>
              <w:rPr>
                <w:b/>
                <w:u w:val="single"/>
              </w:rPr>
              <w:t>Income</w:t>
            </w:r>
          </w:p>
          <w:p w:rsidR="00693DA6" w:rsidRPr="00693DA6" w:rsidRDefault="00693DA6" w:rsidP="00F87EBC">
            <w:pPr>
              <w:pStyle w:val="Header"/>
              <w:tabs>
                <w:tab w:val="clear" w:pos="4153"/>
                <w:tab w:val="clear" w:pos="8306"/>
              </w:tabs>
            </w:pPr>
          </w:p>
          <w:p w:rsidR="00B92351" w:rsidRDefault="002245D8" w:rsidP="00F87EBC">
            <w:pPr>
              <w:pStyle w:val="Header"/>
              <w:tabs>
                <w:tab w:val="clear" w:pos="4153"/>
                <w:tab w:val="clear" w:pos="8306"/>
              </w:tabs>
            </w:pPr>
            <w:r>
              <w:t>Some discretion will be used in determining eligibility against criterion</w:t>
            </w:r>
            <w:r w:rsidR="00F75489">
              <w:t>, as individual tenants circumstances will have to be taken into account.</w:t>
            </w:r>
          </w:p>
          <w:p w:rsidR="008E3C7F" w:rsidRDefault="008E3C7F" w:rsidP="00F87EBC">
            <w:pPr>
              <w:pStyle w:val="Header"/>
              <w:tabs>
                <w:tab w:val="clear" w:pos="4153"/>
                <w:tab w:val="clear" w:pos="8306"/>
              </w:tabs>
            </w:pPr>
            <w:r>
              <w:t>A</w:t>
            </w:r>
            <w:r w:rsidRPr="008E3C7F">
              <w:t>ny arrears will be cleared from money due under</w:t>
            </w:r>
            <w:r>
              <w:t xml:space="preserve"> the Tenants Incentive Scheme.</w:t>
            </w:r>
          </w:p>
          <w:p w:rsidR="008E3C7F" w:rsidRDefault="008E3C7F" w:rsidP="00F87EBC">
            <w:pPr>
              <w:pStyle w:val="Header"/>
              <w:tabs>
                <w:tab w:val="clear" w:pos="4153"/>
                <w:tab w:val="clear" w:pos="8306"/>
              </w:tabs>
            </w:pPr>
          </w:p>
          <w:p w:rsidR="00785CF6" w:rsidRPr="00785CF6" w:rsidRDefault="00785CF6" w:rsidP="00785CF6">
            <w:r w:rsidRPr="00785CF6">
              <w:t>Council tenants who joined the Housing Register to downsize, whose rent accounts are in arrears only due to the Welfare</w:t>
            </w:r>
            <w:r>
              <w:t xml:space="preserve"> Reform (size criteria) changes, will be eligible for the scheme.</w:t>
            </w:r>
          </w:p>
          <w:p w:rsidR="00F75489" w:rsidRDefault="00F75489" w:rsidP="00F87EBC">
            <w:pPr>
              <w:pStyle w:val="Header"/>
              <w:tabs>
                <w:tab w:val="clear" w:pos="4153"/>
                <w:tab w:val="clear" w:pos="8306"/>
              </w:tabs>
            </w:pPr>
          </w:p>
          <w:p w:rsidR="008372B5" w:rsidRPr="00254277" w:rsidRDefault="00254277" w:rsidP="00F87EBC">
            <w:pPr>
              <w:pStyle w:val="Header"/>
              <w:tabs>
                <w:tab w:val="clear" w:pos="4153"/>
                <w:tab w:val="clear" w:pos="8306"/>
              </w:tabs>
            </w:pPr>
            <w:r w:rsidRPr="00254277">
              <w:t>An additional maximum £500</w:t>
            </w:r>
            <w:r>
              <w:t xml:space="preserve"> will be paid </w:t>
            </w:r>
            <w:r w:rsidRPr="00254277">
              <w:t>to</w:t>
            </w:r>
            <w:r>
              <w:t xml:space="preserve"> tenants </w:t>
            </w:r>
            <w:r w:rsidR="00604498">
              <w:t xml:space="preserve">to </w:t>
            </w:r>
            <w:r w:rsidR="00604498" w:rsidRPr="00254277">
              <w:t>help</w:t>
            </w:r>
            <w:r w:rsidRPr="00254277">
              <w:t xml:space="preserve"> towards moving costs.</w:t>
            </w:r>
          </w:p>
          <w:p w:rsidR="00F15E93" w:rsidRDefault="00F15E93" w:rsidP="00F87EBC">
            <w:pPr>
              <w:pStyle w:val="Header"/>
              <w:tabs>
                <w:tab w:val="clear" w:pos="4153"/>
                <w:tab w:val="clear" w:pos="8306"/>
              </w:tabs>
            </w:pPr>
          </w:p>
          <w:p w:rsidR="00254277" w:rsidRPr="00604498" w:rsidRDefault="00604498" w:rsidP="00F87EBC">
            <w:pPr>
              <w:pStyle w:val="Header"/>
              <w:tabs>
                <w:tab w:val="clear" w:pos="4153"/>
                <w:tab w:val="clear" w:pos="8306"/>
              </w:tabs>
              <w:rPr>
                <w:b/>
                <w:u w:val="single"/>
              </w:rPr>
            </w:pPr>
            <w:r w:rsidRPr="00604498">
              <w:rPr>
                <w:b/>
                <w:u w:val="single"/>
              </w:rPr>
              <w:t>Disability</w:t>
            </w:r>
          </w:p>
          <w:p w:rsidR="00254277" w:rsidRDefault="00254277" w:rsidP="00F87EBC">
            <w:pPr>
              <w:pStyle w:val="Header"/>
              <w:tabs>
                <w:tab w:val="clear" w:pos="4153"/>
                <w:tab w:val="clear" w:pos="8306"/>
              </w:tabs>
            </w:pPr>
          </w:p>
          <w:p w:rsidR="00B92351" w:rsidRDefault="00470074" w:rsidP="00F87EBC">
            <w:pPr>
              <w:pStyle w:val="Header"/>
              <w:tabs>
                <w:tab w:val="clear" w:pos="4153"/>
                <w:tab w:val="clear" w:pos="8306"/>
              </w:tabs>
            </w:pPr>
            <w:r>
              <w:t>Depending on the adaptations required, these could be looked at as part of the offer process to an alternate property. It is therefore expected that disabled tenants with disabilities may benefit as the property they would be entering would be suitably adapted, and they may wish to sacrifice a property that is too big for one which can be adapted.</w:t>
            </w:r>
          </w:p>
          <w:p w:rsidR="00B92351" w:rsidRDefault="00B92351" w:rsidP="00F87EBC">
            <w:pPr>
              <w:pStyle w:val="Header"/>
              <w:tabs>
                <w:tab w:val="clear" w:pos="4153"/>
                <w:tab w:val="clear" w:pos="8306"/>
              </w:tabs>
              <w:rPr>
                <w:b/>
                <w:u w:val="single"/>
              </w:rPr>
            </w:pPr>
          </w:p>
          <w:p w:rsidR="00B40394" w:rsidRPr="00B40394" w:rsidRDefault="00B40394" w:rsidP="00F87EBC">
            <w:pPr>
              <w:pStyle w:val="Header"/>
              <w:tabs>
                <w:tab w:val="clear" w:pos="4153"/>
                <w:tab w:val="clear" w:pos="8306"/>
              </w:tabs>
              <w:rPr>
                <w:b/>
                <w:u w:val="single"/>
              </w:rPr>
            </w:pPr>
            <w:r w:rsidRPr="00B40394">
              <w:rPr>
                <w:b/>
                <w:u w:val="single"/>
              </w:rPr>
              <w:t>Access to information</w:t>
            </w:r>
          </w:p>
          <w:p w:rsidR="00B40394" w:rsidRDefault="00B40394" w:rsidP="00F87EBC">
            <w:pPr>
              <w:pStyle w:val="Header"/>
              <w:tabs>
                <w:tab w:val="clear" w:pos="4153"/>
                <w:tab w:val="clear" w:pos="8306"/>
              </w:tabs>
            </w:pPr>
          </w:p>
          <w:p w:rsidR="00B40394" w:rsidRDefault="00B40394" w:rsidP="00F87EBC">
            <w:pPr>
              <w:pStyle w:val="Header"/>
              <w:tabs>
                <w:tab w:val="clear" w:pos="4153"/>
                <w:tab w:val="clear" w:pos="8306"/>
              </w:tabs>
            </w:pPr>
            <w:r w:rsidRPr="00B40394">
              <w:t>It has been identified that some residents will need additional support a</w:t>
            </w:r>
            <w:r>
              <w:t>nd advice regarding the policy</w:t>
            </w:r>
            <w:r w:rsidRPr="00B40394">
              <w:t>, as there maybe difficulty in interpreting, or accessing information.  Additionally some residents may need the information in a different format or language.</w:t>
            </w:r>
          </w:p>
          <w:p w:rsidR="00B40394" w:rsidRDefault="00B40394" w:rsidP="00F87EBC">
            <w:pPr>
              <w:pStyle w:val="Header"/>
              <w:tabs>
                <w:tab w:val="clear" w:pos="4153"/>
                <w:tab w:val="clear" w:pos="8306"/>
              </w:tabs>
            </w:pPr>
          </w:p>
          <w:p w:rsidR="00470074" w:rsidRPr="00530FBA" w:rsidRDefault="00470074" w:rsidP="00F87EBC">
            <w:pPr>
              <w:pStyle w:val="Header"/>
              <w:tabs>
                <w:tab w:val="clear" w:pos="4153"/>
                <w:tab w:val="clear" w:pos="8306"/>
              </w:tabs>
            </w:pPr>
          </w:p>
        </w:tc>
      </w:tr>
      <w:tr w:rsidR="004D4385" w:rsidTr="005142CF">
        <w:tc>
          <w:tcPr>
            <w:tcW w:w="8614"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2F3632">
            <w:pPr>
              <w:pStyle w:val="Heading2"/>
              <w:rPr>
                <w:sz w:val="24"/>
              </w:rPr>
            </w:pPr>
            <w:r>
              <w:rPr>
                <w:sz w:val="24"/>
              </w:rPr>
              <w:lastRenderedPageBreak/>
              <w:t xml:space="preserve">6. </w:t>
            </w:r>
            <w:r w:rsidR="004D4385">
              <w:rPr>
                <w:sz w:val="24"/>
              </w:rPr>
              <w:t>Action plan</w:t>
            </w:r>
          </w:p>
          <w:p w:rsidR="004D4385" w:rsidRDefault="004D4385" w:rsidP="008F3510">
            <w:pPr>
              <w:numPr>
                <w:ilvl w:val="0"/>
                <w:numId w:val="11"/>
              </w:numPr>
              <w:rPr>
                <w:rFonts w:cs="Arial"/>
                <w:b/>
                <w:bCs/>
                <w:i/>
                <w:iCs/>
                <w:sz w:val="20"/>
              </w:rPr>
            </w:pPr>
            <w:r>
              <w:rPr>
                <w:i/>
                <w:iCs/>
                <w:sz w:val="20"/>
              </w:rPr>
              <w:t>Actions to mitigate adverse impact, improve equality of opportunity or foster good relations and/or obtain new evidence</w:t>
            </w:r>
          </w:p>
        </w:tc>
      </w:tr>
      <w:tr w:rsidR="004D4385" w:rsidTr="005142CF">
        <w:trPr>
          <w:trHeight w:val="740"/>
        </w:trPr>
        <w:tc>
          <w:tcPr>
            <w:tcW w:w="4860" w:type="dxa"/>
            <w:gridSpan w:val="4"/>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Action</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Lead</w:t>
            </w:r>
          </w:p>
        </w:tc>
        <w:tc>
          <w:tcPr>
            <w:tcW w:w="1594"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Deadline or review date</w:t>
            </w:r>
          </w:p>
        </w:tc>
      </w:tr>
      <w:tr w:rsidR="004161ED" w:rsidTr="005142CF">
        <w:tc>
          <w:tcPr>
            <w:tcW w:w="4860"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4161ED" w:rsidRDefault="00EA3857" w:rsidP="00A07546">
            <w:pPr>
              <w:rPr>
                <w:rFonts w:cs="Arial"/>
              </w:rPr>
            </w:pPr>
            <w:r w:rsidRPr="00EA3857">
              <w:rPr>
                <w:rFonts w:cs="Arial"/>
              </w:rPr>
              <w:t>The council to ensure that information is provided in a variety of formats, including Easy Read, Braille or Audio if required.</w:t>
            </w:r>
          </w:p>
          <w:p w:rsidR="00F02160" w:rsidRDefault="00F02160" w:rsidP="00A07546">
            <w:pPr>
              <w:rPr>
                <w:rFonts w:cs="Arial"/>
              </w:rPr>
            </w:pP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161ED" w:rsidRDefault="00EA3857" w:rsidP="00A07546">
            <w:pPr>
              <w:rPr>
                <w:rFonts w:cs="Arial"/>
              </w:rPr>
            </w:pPr>
            <w:r w:rsidRPr="00EA3857">
              <w:rPr>
                <w:rFonts w:cs="Arial"/>
              </w:rPr>
              <w:t>Housing Manager</w:t>
            </w: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4161ED" w:rsidRDefault="00EA3857" w:rsidP="00A07546">
            <w:pPr>
              <w:jc w:val="center"/>
              <w:rPr>
                <w:rFonts w:cs="Arial"/>
              </w:rPr>
            </w:pPr>
            <w:r w:rsidRPr="00EA3857">
              <w:rPr>
                <w:rFonts w:cs="Arial"/>
              </w:rPr>
              <w:t>Ongoing</w:t>
            </w:r>
          </w:p>
        </w:tc>
      </w:tr>
      <w:tr w:rsidR="004161ED" w:rsidTr="005142CF">
        <w:tc>
          <w:tcPr>
            <w:tcW w:w="8614"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161ED" w:rsidRDefault="002F3632">
            <w:pPr>
              <w:pStyle w:val="Heading2"/>
              <w:rPr>
                <w:sz w:val="24"/>
              </w:rPr>
            </w:pPr>
            <w:r>
              <w:rPr>
                <w:sz w:val="24"/>
              </w:rPr>
              <w:t xml:space="preserve">7. </w:t>
            </w:r>
            <w:r w:rsidR="004161ED">
              <w:rPr>
                <w:sz w:val="24"/>
              </w:rPr>
              <w:t>Recommendation</w:t>
            </w:r>
          </w:p>
          <w:p w:rsidR="004161ED" w:rsidRDefault="004161ED">
            <w:pPr>
              <w:pStyle w:val="Header"/>
              <w:tabs>
                <w:tab w:val="clear" w:pos="4153"/>
                <w:tab w:val="clear" w:pos="8306"/>
              </w:tabs>
            </w:pPr>
          </w:p>
        </w:tc>
      </w:tr>
      <w:tr w:rsidR="004161ED" w:rsidTr="005142CF">
        <w:trPr>
          <w:cantSplit/>
        </w:trPr>
        <w:tc>
          <w:tcPr>
            <w:tcW w:w="8614"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4161ED" w:rsidRDefault="004161ED">
            <w:r>
              <w:t>To proceed with t</w:t>
            </w:r>
            <w:r w:rsidR="002F3632">
              <w:t>he implementation of the reviewed policy.</w:t>
            </w:r>
          </w:p>
        </w:tc>
      </w:tr>
      <w:tr w:rsidR="004161ED" w:rsidTr="005142CF">
        <w:tc>
          <w:tcPr>
            <w:tcW w:w="8614"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161ED" w:rsidRDefault="002F3632">
            <w:pPr>
              <w:pStyle w:val="Heading2"/>
              <w:rPr>
                <w:sz w:val="24"/>
              </w:rPr>
            </w:pPr>
            <w:r>
              <w:rPr>
                <w:sz w:val="24"/>
              </w:rPr>
              <w:t xml:space="preserve">8. </w:t>
            </w:r>
            <w:r w:rsidR="004161ED">
              <w:rPr>
                <w:sz w:val="24"/>
              </w:rPr>
              <w:t xml:space="preserve">Authorisation </w:t>
            </w:r>
          </w:p>
          <w:p w:rsidR="004161ED" w:rsidRDefault="004161ED">
            <w:pPr>
              <w:pStyle w:val="Header"/>
              <w:tabs>
                <w:tab w:val="clear" w:pos="4153"/>
                <w:tab w:val="clear" w:pos="8306"/>
              </w:tabs>
              <w:rPr>
                <w:i/>
                <w:iCs/>
                <w:sz w:val="20"/>
              </w:rPr>
            </w:pPr>
            <w:r>
              <w:rPr>
                <w:i/>
                <w:iCs/>
                <w:sz w:val="20"/>
              </w:rPr>
              <w:t>The authorising officer is consenting that:</w:t>
            </w:r>
          </w:p>
          <w:p w:rsidR="004161ED" w:rsidRDefault="004161ED" w:rsidP="008F3510">
            <w:pPr>
              <w:pStyle w:val="Header"/>
              <w:numPr>
                <w:ilvl w:val="0"/>
                <w:numId w:val="15"/>
              </w:numPr>
              <w:tabs>
                <w:tab w:val="clear" w:pos="4153"/>
                <w:tab w:val="clear" w:pos="8306"/>
              </w:tabs>
              <w:rPr>
                <w:i/>
                <w:iCs/>
                <w:sz w:val="20"/>
              </w:rPr>
            </w:pPr>
            <w:r>
              <w:rPr>
                <w:i/>
                <w:iCs/>
                <w:sz w:val="20"/>
              </w:rPr>
              <w:t>the recommendation can be implemented</w:t>
            </w:r>
          </w:p>
          <w:p w:rsidR="004161ED" w:rsidRDefault="004161ED" w:rsidP="008F3510">
            <w:pPr>
              <w:pStyle w:val="Header"/>
              <w:numPr>
                <w:ilvl w:val="0"/>
                <w:numId w:val="14"/>
              </w:numPr>
              <w:tabs>
                <w:tab w:val="clear" w:pos="4153"/>
                <w:tab w:val="clear" w:pos="8306"/>
              </w:tabs>
              <w:rPr>
                <w:i/>
                <w:iCs/>
                <w:sz w:val="20"/>
              </w:rPr>
            </w:pPr>
            <w:r>
              <w:rPr>
                <w:i/>
                <w:iCs/>
                <w:sz w:val="20"/>
              </w:rPr>
              <w:t>sufficient evidence has been obtained and appropriate mitigation is planned</w:t>
            </w:r>
          </w:p>
          <w:p w:rsidR="004161ED" w:rsidRDefault="004161ED" w:rsidP="008F3510">
            <w:pPr>
              <w:numPr>
                <w:ilvl w:val="0"/>
                <w:numId w:val="14"/>
              </w:numPr>
              <w:rPr>
                <w:rFonts w:cs="Arial"/>
                <w:b/>
                <w:bCs/>
                <w:sz w:val="20"/>
                <w:szCs w:val="20"/>
              </w:rPr>
            </w:pPr>
            <w:r>
              <w:rPr>
                <w:i/>
                <w:iCs/>
                <w:sz w:val="20"/>
              </w:rPr>
              <w:t xml:space="preserve">the Action Plan will be incorporated into the relevant Service Plan and monitored </w:t>
            </w:r>
          </w:p>
        </w:tc>
      </w:tr>
      <w:tr w:rsidR="004161ED" w:rsidTr="005142CF">
        <w:tc>
          <w:tcPr>
            <w:tcW w:w="2517" w:type="dxa"/>
            <w:tcBorders>
              <w:top w:val="single" w:sz="48" w:space="0" w:color="FFFFFF"/>
              <w:left w:val="single" w:sz="48" w:space="0" w:color="FFFFFF"/>
              <w:bottom w:val="single" w:sz="48" w:space="0" w:color="FFFFFF"/>
              <w:right w:val="single" w:sz="48" w:space="0" w:color="FFFFFF"/>
            </w:tcBorders>
            <w:shd w:val="clear" w:color="auto" w:fill="D9D9D9"/>
          </w:tcPr>
          <w:p w:rsidR="004161ED" w:rsidRDefault="004161ED">
            <w:pPr>
              <w:rPr>
                <w:rFonts w:cs="Arial"/>
                <w:b/>
                <w:bCs/>
              </w:rPr>
            </w:pPr>
            <w:r>
              <w:rPr>
                <w:rFonts w:cs="Arial"/>
                <w:b/>
                <w:bCs/>
              </w:rPr>
              <w:t>Authorising Officer</w:t>
            </w:r>
          </w:p>
          <w:p w:rsidR="004161ED" w:rsidRDefault="004161ED">
            <w:pPr>
              <w:rPr>
                <w:rFonts w:cs="Arial"/>
                <w:b/>
                <w:bCs/>
              </w:rPr>
            </w:pPr>
          </w:p>
        </w:tc>
        <w:tc>
          <w:tcPr>
            <w:tcW w:w="6097"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4161ED" w:rsidRDefault="002F3632">
            <w:pPr>
              <w:pStyle w:val="CommentText"/>
              <w:rPr>
                <w:rFonts w:eastAsia="Calibri" w:cs="Arial"/>
                <w:color w:val="000000"/>
                <w:sz w:val="24"/>
                <w:szCs w:val="24"/>
                <w:lang w:eastAsia="en-GB"/>
              </w:rPr>
            </w:pPr>
            <w:r>
              <w:rPr>
                <w:rFonts w:eastAsia="Calibri" w:cs="Arial"/>
                <w:color w:val="000000"/>
                <w:sz w:val="24"/>
                <w:szCs w:val="24"/>
                <w:lang w:eastAsia="en-GB"/>
              </w:rPr>
              <w:t>Mark Breathwick</w:t>
            </w:r>
          </w:p>
          <w:p w:rsidR="002F3632" w:rsidRPr="00340B1C" w:rsidRDefault="002F3632">
            <w:pPr>
              <w:pStyle w:val="CommentText"/>
              <w:rPr>
                <w:rFonts w:cs="Arial"/>
                <w:b/>
                <w:bCs/>
                <w:sz w:val="24"/>
                <w:szCs w:val="24"/>
              </w:rPr>
            </w:pPr>
            <w:r>
              <w:rPr>
                <w:rFonts w:eastAsia="Calibri" w:cs="Arial"/>
                <w:color w:val="000000"/>
                <w:sz w:val="24"/>
                <w:szCs w:val="24"/>
                <w:lang w:eastAsia="en-GB"/>
              </w:rPr>
              <w:t>Head of Housing</w:t>
            </w:r>
          </w:p>
        </w:tc>
      </w:tr>
      <w:tr w:rsidR="004161ED" w:rsidTr="005142CF">
        <w:tc>
          <w:tcPr>
            <w:tcW w:w="2517" w:type="dxa"/>
            <w:tcBorders>
              <w:top w:val="single" w:sz="48" w:space="0" w:color="FFFFFF"/>
              <w:left w:val="single" w:sz="48" w:space="0" w:color="FFFFFF"/>
              <w:bottom w:val="single" w:sz="48" w:space="0" w:color="FFFFFF"/>
              <w:right w:val="single" w:sz="48" w:space="0" w:color="FFFFFF"/>
            </w:tcBorders>
            <w:shd w:val="clear" w:color="auto" w:fill="D9D9D9"/>
          </w:tcPr>
          <w:p w:rsidR="004161ED" w:rsidRDefault="004161ED">
            <w:pPr>
              <w:rPr>
                <w:rFonts w:cs="Arial"/>
                <w:b/>
                <w:bCs/>
              </w:rPr>
            </w:pPr>
            <w:r>
              <w:rPr>
                <w:rFonts w:cs="Arial"/>
                <w:b/>
                <w:bCs/>
              </w:rPr>
              <w:t xml:space="preserve">Date </w:t>
            </w:r>
          </w:p>
        </w:tc>
        <w:tc>
          <w:tcPr>
            <w:tcW w:w="6097"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4161ED" w:rsidRPr="00865498" w:rsidRDefault="002F3632">
            <w:pPr>
              <w:rPr>
                <w:rFonts w:cs="Arial"/>
                <w:b/>
                <w:bCs/>
              </w:rPr>
            </w:pPr>
            <w:r>
              <w:rPr>
                <w:rFonts w:cs="Arial"/>
                <w:b/>
                <w:bCs/>
              </w:rPr>
              <w:t>July 2020</w:t>
            </w:r>
          </w:p>
        </w:tc>
      </w:tr>
    </w:tbl>
    <w:p w:rsidR="004D4385" w:rsidRDefault="004D4385">
      <w:pPr>
        <w:rPr>
          <w:rFonts w:cs="Arial"/>
          <w:b/>
          <w:bCs/>
          <w:iCs/>
          <w:sz w:val="16"/>
          <w:szCs w:val="16"/>
        </w:rPr>
      </w:pPr>
    </w:p>
    <w:sectPr w:rsidR="004D4385">
      <w:headerReference w:type="default" r:id="rId8"/>
      <w:footerReference w:type="default" r:id="rId9"/>
      <w:type w:val="continuous"/>
      <w:pgSz w:w="11906" w:h="16838"/>
      <w:pgMar w:top="1985"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16B" w:rsidRDefault="006A416B">
      <w:r>
        <w:separator/>
      </w:r>
    </w:p>
  </w:endnote>
  <w:endnote w:type="continuationSeparator" w:id="0">
    <w:p w:rsidR="006A416B" w:rsidRDefault="006A4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588" w:rsidRDefault="00FC5588">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313A87">
      <w:rPr>
        <w:rStyle w:val="PageNumber"/>
        <w:noProof/>
      </w:rPr>
      <w:t>3</w:t>
    </w:r>
    <w:r>
      <w:rPr>
        <w:rStyle w:val="PageNumber"/>
      </w:rPr>
      <w:fldChar w:fldCharType="end"/>
    </w:r>
  </w:p>
  <w:p w:rsidR="00FC5588" w:rsidRDefault="00FC5588" w:rsidP="002F3632">
    <w:pPr>
      <w:pStyle w:val="Footer"/>
      <w:rPr>
        <w:sz w:val="16"/>
      </w:rPr>
    </w:pPr>
  </w:p>
  <w:p w:rsidR="00FC5588" w:rsidRDefault="00FC558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16B" w:rsidRDefault="006A416B">
      <w:r>
        <w:separator/>
      </w:r>
    </w:p>
  </w:footnote>
  <w:footnote w:type="continuationSeparator" w:id="0">
    <w:p w:rsidR="006A416B" w:rsidRDefault="006A4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588" w:rsidRDefault="00313A87">
    <w:pPr>
      <w:pStyle w:val="Header"/>
      <w:jc w:val="center"/>
      <w:rPr>
        <w:b/>
        <w:bCs/>
        <w:sz w:val="44"/>
      </w:rPr>
    </w:pPr>
    <w:r>
      <w:rPr>
        <w:noProof/>
        <w:sz w:val="4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in;margin-top:-35.4pt;width:2in;height:87.75pt;z-index:251657216">
          <v:imagedata r:id="rId1" o:title=""/>
          <w10:wrap type="square"/>
        </v:shape>
        <o:OLEObject Type="Embed" ProgID="Word.Picture.8" ShapeID="_x0000_s2049" DrawAspect="Content" ObjectID="_1658725906" r:id="rId2"/>
      </w:object>
    </w:r>
    <w:r w:rsidR="00FC5588">
      <w:rPr>
        <w:b/>
        <w:bCs/>
        <w:sz w:val="44"/>
      </w:rPr>
      <w:t>Diversity</w:t>
    </w:r>
  </w:p>
  <w:p w:rsidR="00FC5588" w:rsidRDefault="00FC5588">
    <w:pPr>
      <w:pStyle w:val="Header"/>
      <w:jc w:val="center"/>
      <w:rPr>
        <w:b/>
        <w:bCs/>
        <w:sz w:val="36"/>
      </w:rPr>
    </w:pPr>
    <w:r>
      <w:rPr>
        <w:b/>
        <w:bCs/>
        <w:sz w:val="44"/>
      </w:rPr>
      <w:t xml:space="preserve"> impact assessment </w:t>
    </w:r>
  </w:p>
  <w:p w:rsidR="00FC5588" w:rsidRDefault="00FC5588">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615F"/>
    <w:multiLevelType w:val="hybridMultilevel"/>
    <w:tmpl w:val="64D6F7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00603F"/>
    <w:multiLevelType w:val="hybridMultilevel"/>
    <w:tmpl w:val="46BAD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2978A6"/>
    <w:multiLevelType w:val="hybridMultilevel"/>
    <w:tmpl w:val="D12C1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3792F"/>
    <w:multiLevelType w:val="hybridMultilevel"/>
    <w:tmpl w:val="4308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9511D"/>
    <w:multiLevelType w:val="hybridMultilevel"/>
    <w:tmpl w:val="736C8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402C9"/>
    <w:multiLevelType w:val="hybridMultilevel"/>
    <w:tmpl w:val="0AE422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5DF1D6D"/>
    <w:multiLevelType w:val="hybridMultilevel"/>
    <w:tmpl w:val="2B6885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5C4007"/>
    <w:multiLevelType w:val="hybridMultilevel"/>
    <w:tmpl w:val="2386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B848D6"/>
    <w:multiLevelType w:val="hybridMultilevel"/>
    <w:tmpl w:val="FA9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4F17EE"/>
    <w:multiLevelType w:val="hybridMultilevel"/>
    <w:tmpl w:val="63DC59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7FD65E7"/>
    <w:multiLevelType w:val="hybridMultilevel"/>
    <w:tmpl w:val="41387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FB5A88"/>
    <w:multiLevelType w:val="hybridMultilevel"/>
    <w:tmpl w:val="A0FEA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246E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602219"/>
    <w:multiLevelType w:val="hybridMultilevel"/>
    <w:tmpl w:val="C79C61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5B54504"/>
    <w:multiLevelType w:val="hybridMultilevel"/>
    <w:tmpl w:val="AC46AEF4"/>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5" w15:restartNumberingAfterBreak="0">
    <w:nsid w:val="5EEA075E"/>
    <w:multiLevelType w:val="hybridMultilevel"/>
    <w:tmpl w:val="A5DC70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14682E"/>
    <w:multiLevelType w:val="hybridMultilevel"/>
    <w:tmpl w:val="05029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644AE"/>
    <w:multiLevelType w:val="hybridMultilevel"/>
    <w:tmpl w:val="3E7A6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155273"/>
    <w:multiLevelType w:val="hybridMultilevel"/>
    <w:tmpl w:val="77F21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2A7DD9"/>
    <w:multiLevelType w:val="hybridMultilevel"/>
    <w:tmpl w:val="8B7A6C2C"/>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20" w15:restartNumberingAfterBreak="0">
    <w:nsid w:val="725622F7"/>
    <w:multiLevelType w:val="hybridMultilevel"/>
    <w:tmpl w:val="52ACF4EE"/>
    <w:lvl w:ilvl="0" w:tplc="054224F2">
      <w:numFmt w:val="bullet"/>
      <w:lvlText w:val="-"/>
      <w:lvlJc w:val="left"/>
      <w:pPr>
        <w:tabs>
          <w:tab w:val="num" w:pos="1140"/>
        </w:tabs>
        <w:ind w:left="1140" w:hanging="78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75AF7BE7"/>
    <w:multiLevelType w:val="hybridMultilevel"/>
    <w:tmpl w:val="441AE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7B42E7"/>
    <w:multiLevelType w:val="hybridMultilevel"/>
    <w:tmpl w:val="A16AE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242364"/>
    <w:multiLevelType w:val="hybridMultilevel"/>
    <w:tmpl w:val="CE24DD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21"/>
  </w:num>
  <w:num w:numId="3">
    <w:abstractNumId w:val="8"/>
  </w:num>
  <w:num w:numId="4">
    <w:abstractNumId w:val="1"/>
  </w:num>
  <w:num w:numId="5">
    <w:abstractNumId w:val="11"/>
  </w:num>
  <w:num w:numId="6">
    <w:abstractNumId w:val="10"/>
  </w:num>
  <w:num w:numId="7">
    <w:abstractNumId w:val="16"/>
  </w:num>
  <w:num w:numId="8">
    <w:abstractNumId w:val="9"/>
  </w:num>
  <w:num w:numId="9">
    <w:abstractNumId w:val="0"/>
  </w:num>
  <w:num w:numId="10">
    <w:abstractNumId w:val="6"/>
  </w:num>
  <w:num w:numId="11">
    <w:abstractNumId w:val="13"/>
  </w:num>
  <w:num w:numId="12">
    <w:abstractNumId w:val="5"/>
  </w:num>
  <w:num w:numId="13">
    <w:abstractNumId w:val="23"/>
  </w:num>
  <w:num w:numId="14">
    <w:abstractNumId w:val="2"/>
  </w:num>
  <w:num w:numId="15">
    <w:abstractNumId w:val="18"/>
  </w:num>
  <w:num w:numId="16">
    <w:abstractNumId w:val="17"/>
  </w:num>
  <w:num w:numId="17">
    <w:abstractNumId w:val="14"/>
  </w:num>
  <w:num w:numId="18">
    <w:abstractNumId w:val="20"/>
  </w:num>
  <w:num w:numId="19">
    <w:abstractNumId w:val="19"/>
  </w:num>
  <w:num w:numId="20">
    <w:abstractNumId w:val="7"/>
  </w:num>
  <w:num w:numId="21">
    <w:abstractNumId w:val="12"/>
  </w:num>
  <w:num w:numId="22">
    <w:abstractNumId w:val="3"/>
  </w:num>
  <w:num w:numId="23">
    <w:abstractNumId w:val="22"/>
  </w:num>
  <w:num w:numId="24">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2050">
      <o:colormru v:ext="edit" colors="#99cef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36C"/>
    <w:rsid w:val="0000000D"/>
    <w:rsid w:val="00015B0F"/>
    <w:rsid w:val="00020F25"/>
    <w:rsid w:val="00031054"/>
    <w:rsid w:val="00041FED"/>
    <w:rsid w:val="00060FBA"/>
    <w:rsid w:val="000A72A1"/>
    <w:rsid w:val="000B4599"/>
    <w:rsid w:val="000C23A9"/>
    <w:rsid w:val="000F1C4B"/>
    <w:rsid w:val="00107B82"/>
    <w:rsid w:val="00115373"/>
    <w:rsid w:val="00122B64"/>
    <w:rsid w:val="001237C6"/>
    <w:rsid w:val="001237F8"/>
    <w:rsid w:val="00160F4A"/>
    <w:rsid w:val="00162051"/>
    <w:rsid w:val="00164AF8"/>
    <w:rsid w:val="001771C4"/>
    <w:rsid w:val="00196E25"/>
    <w:rsid w:val="001A0505"/>
    <w:rsid w:val="001A05EF"/>
    <w:rsid w:val="001B3AB4"/>
    <w:rsid w:val="001C32FB"/>
    <w:rsid w:val="001C744C"/>
    <w:rsid w:val="001D66FC"/>
    <w:rsid w:val="001D7F99"/>
    <w:rsid w:val="001F48BB"/>
    <w:rsid w:val="002153C2"/>
    <w:rsid w:val="002245D8"/>
    <w:rsid w:val="00252817"/>
    <w:rsid w:val="00254277"/>
    <w:rsid w:val="00265576"/>
    <w:rsid w:val="00271B7B"/>
    <w:rsid w:val="002722ED"/>
    <w:rsid w:val="002759B7"/>
    <w:rsid w:val="002763A4"/>
    <w:rsid w:val="00280974"/>
    <w:rsid w:val="00286ECE"/>
    <w:rsid w:val="002954A8"/>
    <w:rsid w:val="00296700"/>
    <w:rsid w:val="00297ED4"/>
    <w:rsid w:val="002A0CD7"/>
    <w:rsid w:val="002B620D"/>
    <w:rsid w:val="002C1B27"/>
    <w:rsid w:val="002C74DD"/>
    <w:rsid w:val="002D18D4"/>
    <w:rsid w:val="002D227B"/>
    <w:rsid w:val="002F14AF"/>
    <w:rsid w:val="002F3632"/>
    <w:rsid w:val="00301449"/>
    <w:rsid w:val="003127C9"/>
    <w:rsid w:val="00313A87"/>
    <w:rsid w:val="003254F3"/>
    <w:rsid w:val="003343B1"/>
    <w:rsid w:val="00340B1C"/>
    <w:rsid w:val="0034146B"/>
    <w:rsid w:val="003414C0"/>
    <w:rsid w:val="0034477E"/>
    <w:rsid w:val="003503A5"/>
    <w:rsid w:val="00362D14"/>
    <w:rsid w:val="00366F3A"/>
    <w:rsid w:val="00391CDB"/>
    <w:rsid w:val="003B404E"/>
    <w:rsid w:val="003C493F"/>
    <w:rsid w:val="003D6EBE"/>
    <w:rsid w:val="003D778E"/>
    <w:rsid w:val="003E476C"/>
    <w:rsid w:val="003E49E9"/>
    <w:rsid w:val="003F191B"/>
    <w:rsid w:val="004052FC"/>
    <w:rsid w:val="004161ED"/>
    <w:rsid w:val="00422C8C"/>
    <w:rsid w:val="00435E08"/>
    <w:rsid w:val="0045129D"/>
    <w:rsid w:val="00470074"/>
    <w:rsid w:val="00483FC6"/>
    <w:rsid w:val="0048725F"/>
    <w:rsid w:val="00492BF2"/>
    <w:rsid w:val="00496E1F"/>
    <w:rsid w:val="004A42A2"/>
    <w:rsid w:val="004B358C"/>
    <w:rsid w:val="004C5F24"/>
    <w:rsid w:val="004D4385"/>
    <w:rsid w:val="004E1B86"/>
    <w:rsid w:val="004F4325"/>
    <w:rsid w:val="00503624"/>
    <w:rsid w:val="005142CF"/>
    <w:rsid w:val="00514AB9"/>
    <w:rsid w:val="00517D81"/>
    <w:rsid w:val="00523CFA"/>
    <w:rsid w:val="00526E5D"/>
    <w:rsid w:val="00530938"/>
    <w:rsid w:val="00530FBA"/>
    <w:rsid w:val="00552342"/>
    <w:rsid w:val="005572AD"/>
    <w:rsid w:val="005A540E"/>
    <w:rsid w:val="005A7594"/>
    <w:rsid w:val="005B36A1"/>
    <w:rsid w:val="005C1B1E"/>
    <w:rsid w:val="005F0C1F"/>
    <w:rsid w:val="00604498"/>
    <w:rsid w:val="00604BDB"/>
    <w:rsid w:val="0061162D"/>
    <w:rsid w:val="00617EB8"/>
    <w:rsid w:val="00640084"/>
    <w:rsid w:val="0067402B"/>
    <w:rsid w:val="00692BF3"/>
    <w:rsid w:val="00693DA6"/>
    <w:rsid w:val="006A416B"/>
    <w:rsid w:val="006A6034"/>
    <w:rsid w:val="006B3324"/>
    <w:rsid w:val="006D4015"/>
    <w:rsid w:val="006D538F"/>
    <w:rsid w:val="006F59FB"/>
    <w:rsid w:val="007045C0"/>
    <w:rsid w:val="00706011"/>
    <w:rsid w:val="00725B13"/>
    <w:rsid w:val="00732163"/>
    <w:rsid w:val="00737C06"/>
    <w:rsid w:val="00740282"/>
    <w:rsid w:val="00745EBF"/>
    <w:rsid w:val="007630B6"/>
    <w:rsid w:val="0077036C"/>
    <w:rsid w:val="00785CF6"/>
    <w:rsid w:val="00786C45"/>
    <w:rsid w:val="00795B73"/>
    <w:rsid w:val="0079613D"/>
    <w:rsid w:val="007A354C"/>
    <w:rsid w:val="007D1FDD"/>
    <w:rsid w:val="007D69E4"/>
    <w:rsid w:val="008346D8"/>
    <w:rsid w:val="00835D29"/>
    <w:rsid w:val="008372B5"/>
    <w:rsid w:val="008425FB"/>
    <w:rsid w:val="00865498"/>
    <w:rsid w:val="0087087B"/>
    <w:rsid w:val="00895D9C"/>
    <w:rsid w:val="0089749F"/>
    <w:rsid w:val="008B70B6"/>
    <w:rsid w:val="008C0485"/>
    <w:rsid w:val="008C2F77"/>
    <w:rsid w:val="008D44E7"/>
    <w:rsid w:val="008D4A0A"/>
    <w:rsid w:val="008D737C"/>
    <w:rsid w:val="008E1F6E"/>
    <w:rsid w:val="008E3C7F"/>
    <w:rsid w:val="008F3510"/>
    <w:rsid w:val="00910E77"/>
    <w:rsid w:val="0092162B"/>
    <w:rsid w:val="00946555"/>
    <w:rsid w:val="00982701"/>
    <w:rsid w:val="00992A27"/>
    <w:rsid w:val="00994A21"/>
    <w:rsid w:val="00A07176"/>
    <w:rsid w:val="00A07546"/>
    <w:rsid w:val="00A269F5"/>
    <w:rsid w:val="00A458D9"/>
    <w:rsid w:val="00A54820"/>
    <w:rsid w:val="00A57B61"/>
    <w:rsid w:val="00A90A76"/>
    <w:rsid w:val="00A90F07"/>
    <w:rsid w:val="00AB0290"/>
    <w:rsid w:val="00AD0F00"/>
    <w:rsid w:val="00AF64C8"/>
    <w:rsid w:val="00B01069"/>
    <w:rsid w:val="00B207CC"/>
    <w:rsid w:val="00B40394"/>
    <w:rsid w:val="00B47647"/>
    <w:rsid w:val="00B71C4A"/>
    <w:rsid w:val="00B7627B"/>
    <w:rsid w:val="00B77CAF"/>
    <w:rsid w:val="00B820AE"/>
    <w:rsid w:val="00B92351"/>
    <w:rsid w:val="00BA45BA"/>
    <w:rsid w:val="00BA623C"/>
    <w:rsid w:val="00BC0901"/>
    <w:rsid w:val="00BD29A4"/>
    <w:rsid w:val="00BE4C58"/>
    <w:rsid w:val="00C1199D"/>
    <w:rsid w:val="00C12999"/>
    <w:rsid w:val="00C230F7"/>
    <w:rsid w:val="00C25ACE"/>
    <w:rsid w:val="00C414A3"/>
    <w:rsid w:val="00C43342"/>
    <w:rsid w:val="00C43E0D"/>
    <w:rsid w:val="00C51B76"/>
    <w:rsid w:val="00C5464C"/>
    <w:rsid w:val="00C70D2D"/>
    <w:rsid w:val="00C82BC3"/>
    <w:rsid w:val="00C834F4"/>
    <w:rsid w:val="00C9581D"/>
    <w:rsid w:val="00CB7C70"/>
    <w:rsid w:val="00CE14AF"/>
    <w:rsid w:val="00CE6F70"/>
    <w:rsid w:val="00D159BD"/>
    <w:rsid w:val="00D32877"/>
    <w:rsid w:val="00D73AF7"/>
    <w:rsid w:val="00D77B5F"/>
    <w:rsid w:val="00E06809"/>
    <w:rsid w:val="00E122C9"/>
    <w:rsid w:val="00E34A78"/>
    <w:rsid w:val="00E377A5"/>
    <w:rsid w:val="00E43E6E"/>
    <w:rsid w:val="00E50275"/>
    <w:rsid w:val="00E55E08"/>
    <w:rsid w:val="00E577C4"/>
    <w:rsid w:val="00E623E2"/>
    <w:rsid w:val="00E62F7C"/>
    <w:rsid w:val="00E75EEF"/>
    <w:rsid w:val="00E80176"/>
    <w:rsid w:val="00E91E2F"/>
    <w:rsid w:val="00E95972"/>
    <w:rsid w:val="00EA3857"/>
    <w:rsid w:val="00EB7FA0"/>
    <w:rsid w:val="00EC1D17"/>
    <w:rsid w:val="00ED5C40"/>
    <w:rsid w:val="00EE408D"/>
    <w:rsid w:val="00F02160"/>
    <w:rsid w:val="00F14C88"/>
    <w:rsid w:val="00F15E93"/>
    <w:rsid w:val="00F25DD6"/>
    <w:rsid w:val="00F30302"/>
    <w:rsid w:val="00F3464F"/>
    <w:rsid w:val="00F467B9"/>
    <w:rsid w:val="00F75489"/>
    <w:rsid w:val="00F87EBC"/>
    <w:rsid w:val="00FA4124"/>
    <w:rsid w:val="00FB5F56"/>
    <w:rsid w:val="00FB6D0B"/>
    <w:rsid w:val="00FC5588"/>
    <w:rsid w:val="00FC62CE"/>
    <w:rsid w:val="00FD1FE1"/>
    <w:rsid w:val="00FD496D"/>
    <w:rsid w:val="00FF3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9cef3"/>
    </o:shapedefaults>
    <o:shapelayout v:ext="edit">
      <o:idmap v:ext="edit" data="1"/>
    </o:shapelayout>
  </w:shapeDefaults>
  <w:decimalSymbol w:val="."/>
  <w:listSeparator w:val=","/>
  <w14:docId w14:val="014830C2"/>
  <w15:chartTrackingRefBased/>
  <w15:docId w15:val="{27A875D3-8203-409D-84EC-ECFBBD60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ind w:left="1080"/>
      <w:outlineLvl w:val="0"/>
    </w:pPr>
    <w:rPr>
      <w:b/>
      <w:bCs/>
      <w:sz w:val="22"/>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jc w:val="center"/>
      <w:outlineLvl w:val="2"/>
    </w:pPr>
    <w:rPr>
      <w:b/>
      <w:bCs/>
      <w:sz w:val="22"/>
      <w:u w:val="single"/>
    </w:rPr>
  </w:style>
  <w:style w:type="paragraph" w:styleId="Heading4">
    <w:name w:val="heading 4"/>
    <w:basedOn w:val="Normal"/>
    <w:next w:val="Normal"/>
    <w:qFormat/>
    <w:pPr>
      <w:keepNext/>
      <w:ind w:left="1080"/>
      <w:jc w:val="center"/>
      <w:outlineLvl w:val="3"/>
    </w:pPr>
    <w:rPr>
      <w:b/>
      <w:bCs/>
      <w:sz w:val="22"/>
    </w:rPr>
  </w:style>
  <w:style w:type="paragraph" w:styleId="Heading5">
    <w:name w:val="heading 5"/>
    <w:basedOn w:val="Normal"/>
    <w:next w:val="Normal"/>
    <w:qFormat/>
    <w:pPr>
      <w:keepNext/>
      <w:outlineLvl w:val="4"/>
    </w:pPr>
    <w:rPr>
      <w:b/>
      <w:bCs/>
      <w:sz w:val="22"/>
      <w:u w:val="single"/>
    </w:rPr>
  </w:style>
  <w:style w:type="paragraph" w:styleId="Heading6">
    <w:name w:val="heading 6"/>
    <w:basedOn w:val="Normal"/>
    <w:next w:val="Normal"/>
    <w:qFormat/>
    <w:pPr>
      <w:keepNext/>
      <w:outlineLvl w:val="5"/>
    </w:pPr>
    <w:rPr>
      <w:b/>
      <w:bCs/>
      <w:sz w:val="22"/>
    </w:rPr>
  </w:style>
  <w:style w:type="paragraph" w:styleId="Heading7">
    <w:name w:val="heading 7"/>
    <w:basedOn w:val="Normal"/>
    <w:next w:val="Normal"/>
    <w:qFormat/>
    <w:pPr>
      <w:keepNext/>
      <w:jc w:val="center"/>
      <w:outlineLvl w:val="6"/>
    </w:pPr>
    <w:rPr>
      <w:b/>
      <w:bCs/>
      <w:sz w:val="22"/>
    </w:rPr>
  </w:style>
  <w:style w:type="paragraph" w:styleId="Heading8">
    <w:name w:val="heading 8"/>
    <w:basedOn w:val="Normal"/>
    <w:next w:val="Normal"/>
    <w:qFormat/>
    <w:pPr>
      <w:keepNext/>
      <w:framePr w:w="10260" w:h="4500" w:hSpace="180" w:wrap="around" w:vAnchor="text" w:hAnchor="page" w:x="829" w:y="5611"/>
      <w:outlineLvl w:val="7"/>
    </w:pPr>
    <w:rPr>
      <w:rFonts w:cs="Arial"/>
      <w:b/>
      <w:bCs/>
      <w:sz w:val="22"/>
      <w:u w:val="single"/>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sz w:val="28"/>
    </w:rPr>
  </w:style>
  <w:style w:type="paragraph" w:styleId="BodyText2">
    <w:name w:val="Body Text 2"/>
    <w:basedOn w:val="Normal"/>
    <w:semiHidden/>
    <w:pPr>
      <w:jc w:val="center"/>
    </w:pPr>
    <w:rPr>
      <w:b/>
      <w:sz w:val="22"/>
    </w:rPr>
  </w:style>
  <w:style w:type="paragraph" w:styleId="BodyText3">
    <w:name w:val="Body Text 3"/>
    <w:basedOn w:val="Normal"/>
    <w:semiHidden/>
    <w:pPr>
      <w:autoSpaceDE w:val="0"/>
      <w:autoSpaceDN w:val="0"/>
      <w:adjustRightInd w:val="0"/>
    </w:pPr>
    <w:rPr>
      <w:rFonts w:cs="Arial"/>
      <w:b/>
      <w:bCs/>
      <w:sz w:val="22"/>
      <w:szCs w:val="29"/>
      <w:lang w:val="en-US"/>
    </w:rPr>
  </w:style>
  <w:style w:type="character" w:styleId="Hyperlink">
    <w:name w:val="Hyperlink"/>
    <w:semiHidden/>
    <w:rPr>
      <w:color w:val="0000FF"/>
      <w:u w:val="single"/>
    </w:rPr>
  </w:style>
  <w:style w:type="character" w:styleId="Strong">
    <w:name w:val="Strong"/>
    <w:qFormat/>
    <w:rPr>
      <w:b/>
      <w:bCs/>
    </w:rPr>
  </w:style>
  <w:style w:type="character" w:styleId="PageNumber">
    <w:name w:val="page number"/>
    <w:basedOn w:val="DefaultParagraphFont"/>
    <w:semiHidden/>
  </w:style>
  <w:style w:type="paragraph" w:styleId="BodyTextIndent">
    <w:name w:val="Body Text Indent"/>
    <w:basedOn w:val="Normal"/>
    <w:semiHidden/>
    <w:pPr>
      <w:ind w:left="360"/>
    </w:pPr>
    <w:rPr>
      <w:sz w:val="22"/>
    </w:rPr>
  </w:style>
  <w:style w:type="paragraph" w:styleId="BodyTextIndent3">
    <w:name w:val="Body Text Indent 3"/>
    <w:basedOn w:val="Normal"/>
    <w:semiHidden/>
    <w:pPr>
      <w:ind w:left="720" w:hanging="720"/>
    </w:pPr>
    <w:rPr>
      <w:rFonts w:cs="Arial"/>
    </w:rPr>
  </w:style>
  <w:style w:type="paragraph" w:customStyle="1" w:styleId="sub-heading">
    <w:name w:val="sub-heading"/>
    <w:basedOn w:val="Normal"/>
    <w:next w:val="Normal"/>
    <w:autoRedefine/>
    <w:rPr>
      <w:rFonts w:cs="Arial"/>
      <w:lang w:val="en-US"/>
    </w:rPr>
  </w:style>
  <w:style w:type="paragraph" w:styleId="NormalWeb">
    <w:name w:val="Normal (Web)"/>
    <w:basedOn w:val="Normal"/>
    <w:semiHidden/>
    <w:pPr>
      <w:spacing w:before="100" w:beforeAutospacing="1" w:after="100" w:afterAutospacing="1"/>
    </w:pPr>
    <w:rPr>
      <w:rFonts w:ascii="Times New Roman" w:hAnsi="Times New Roman"/>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numbering" w:customStyle="1" w:styleId="NoList1">
    <w:name w:val="No List1"/>
    <w:next w:val="NoList"/>
    <w:uiPriority w:val="99"/>
    <w:semiHidden/>
    <w:unhideWhenUsed/>
    <w:rsid w:val="00FB6D0B"/>
  </w:style>
  <w:style w:type="paragraph" w:styleId="Title">
    <w:name w:val="Title"/>
    <w:basedOn w:val="Normal"/>
    <w:link w:val="TitleChar"/>
    <w:qFormat/>
    <w:rsid w:val="00FB6D0B"/>
    <w:pPr>
      <w:tabs>
        <w:tab w:val="center" w:pos="4510"/>
        <w:tab w:val="right" w:pos="9000"/>
      </w:tabs>
      <w:jc w:val="center"/>
    </w:pPr>
    <w:rPr>
      <w:rFonts w:cs="Arial"/>
      <w:b/>
      <w:bCs/>
      <w:sz w:val="28"/>
      <w:szCs w:val="28"/>
      <w:lang w:eastAsia="en-GB"/>
    </w:rPr>
  </w:style>
  <w:style w:type="character" w:customStyle="1" w:styleId="TitleChar">
    <w:name w:val="Title Char"/>
    <w:link w:val="Title"/>
    <w:rsid w:val="00FB6D0B"/>
    <w:rPr>
      <w:rFonts w:ascii="Arial" w:hAnsi="Arial" w:cs="Arial"/>
      <w:b/>
      <w:bCs/>
      <w:sz w:val="28"/>
      <w:szCs w:val="28"/>
    </w:rPr>
  </w:style>
  <w:style w:type="paragraph" w:styleId="ListParagraph">
    <w:name w:val="List Paragraph"/>
    <w:basedOn w:val="Normal"/>
    <w:qFormat/>
    <w:rsid w:val="00FB6D0B"/>
    <w:pPr>
      <w:spacing w:after="200" w:line="276" w:lineRule="auto"/>
      <w:ind w:left="720"/>
    </w:pPr>
    <w:rPr>
      <w:rFonts w:cs="Arial"/>
      <w:lang w:eastAsia="en-GB"/>
    </w:rPr>
  </w:style>
  <w:style w:type="character" w:customStyle="1" w:styleId="BalloonTextChar">
    <w:name w:val="Balloon Text Char"/>
    <w:semiHidden/>
    <w:rsid w:val="00FB6D0B"/>
    <w:rPr>
      <w:rFonts w:ascii="Tahoma" w:hAnsi="Tahoma" w:cs="Tahoma"/>
      <w:sz w:val="16"/>
      <w:szCs w:val="16"/>
    </w:rPr>
  </w:style>
  <w:style w:type="paragraph" w:styleId="Subtitle">
    <w:name w:val="Subtitle"/>
    <w:basedOn w:val="Normal"/>
    <w:link w:val="SubtitleChar"/>
    <w:qFormat/>
    <w:rsid w:val="00FB6D0B"/>
    <w:pPr>
      <w:spacing w:after="200" w:line="276" w:lineRule="auto"/>
      <w:jc w:val="center"/>
    </w:pPr>
    <w:rPr>
      <w:rFonts w:cs="Arial"/>
      <w:b/>
      <w:bCs/>
      <w:sz w:val="28"/>
      <w:lang w:eastAsia="en-GB"/>
    </w:rPr>
  </w:style>
  <w:style w:type="character" w:customStyle="1" w:styleId="SubtitleChar">
    <w:name w:val="Subtitle Char"/>
    <w:link w:val="Subtitle"/>
    <w:rsid w:val="00FB6D0B"/>
    <w:rPr>
      <w:rFonts w:ascii="Arial" w:hAnsi="Arial" w:cs="Arial"/>
      <w:b/>
      <w:bCs/>
      <w:sz w:val="28"/>
      <w:szCs w:val="24"/>
    </w:rPr>
  </w:style>
  <w:style w:type="paragraph" w:styleId="CommentSubject">
    <w:name w:val="annotation subject"/>
    <w:basedOn w:val="CommentText"/>
    <w:next w:val="CommentText"/>
    <w:link w:val="CommentSubjectChar"/>
    <w:semiHidden/>
    <w:unhideWhenUsed/>
    <w:rsid w:val="00FB6D0B"/>
    <w:pPr>
      <w:spacing w:after="200" w:line="276" w:lineRule="auto"/>
    </w:pPr>
    <w:rPr>
      <w:rFonts w:cs="Arial"/>
      <w:b/>
      <w:bCs/>
      <w:lang w:eastAsia="en-GB"/>
    </w:rPr>
  </w:style>
  <w:style w:type="character" w:customStyle="1" w:styleId="CommentTextChar">
    <w:name w:val="Comment Text Char"/>
    <w:link w:val="CommentText"/>
    <w:semiHidden/>
    <w:rsid w:val="00FB6D0B"/>
    <w:rPr>
      <w:rFonts w:ascii="Arial" w:hAnsi="Arial"/>
      <w:lang w:eastAsia="en-US"/>
    </w:rPr>
  </w:style>
  <w:style w:type="character" w:customStyle="1" w:styleId="CommentSubjectChar">
    <w:name w:val="Comment Subject Char"/>
    <w:link w:val="CommentSubject"/>
    <w:semiHidden/>
    <w:rsid w:val="00FB6D0B"/>
    <w:rPr>
      <w:rFonts w:ascii="Arial" w:hAnsi="Arial" w:cs="Arial"/>
      <w:b/>
      <w:bCs/>
      <w:lang w:eastAsia="en-US"/>
    </w:rPr>
  </w:style>
  <w:style w:type="paragraph" w:styleId="NoSpacing">
    <w:name w:val="No Spacing"/>
    <w:qFormat/>
    <w:rsid w:val="00FB6D0B"/>
    <w:rPr>
      <w:rFonts w:ascii="Arial" w:hAnsi="Arial"/>
      <w:sz w:val="24"/>
      <w:szCs w:val="22"/>
      <w:lang w:eastAsia="en-US"/>
    </w:rPr>
  </w:style>
  <w:style w:type="paragraph" w:styleId="Caption">
    <w:name w:val="caption"/>
    <w:basedOn w:val="Normal"/>
    <w:next w:val="Normal"/>
    <w:qFormat/>
    <w:rsid w:val="00FB6D0B"/>
    <w:pPr>
      <w:spacing w:after="200" w:line="276" w:lineRule="auto"/>
    </w:pPr>
    <w:rPr>
      <w:rFonts w:cs="Arial"/>
      <w:b/>
      <w:bCs/>
      <w:sz w:val="20"/>
      <w:szCs w:val="20"/>
      <w:lang w:eastAsia="en-GB"/>
    </w:rPr>
  </w:style>
  <w:style w:type="paragraph" w:styleId="FootnoteText">
    <w:name w:val="footnote text"/>
    <w:basedOn w:val="Normal"/>
    <w:link w:val="FootnoteTextChar"/>
    <w:semiHidden/>
    <w:rsid w:val="00FB6D0B"/>
    <w:pPr>
      <w:spacing w:after="200" w:line="276" w:lineRule="auto"/>
    </w:pPr>
    <w:rPr>
      <w:rFonts w:cs="Arial"/>
      <w:sz w:val="20"/>
      <w:szCs w:val="20"/>
      <w:lang w:eastAsia="en-GB"/>
    </w:rPr>
  </w:style>
  <w:style w:type="character" w:customStyle="1" w:styleId="FootnoteTextChar">
    <w:name w:val="Footnote Text Char"/>
    <w:link w:val="FootnoteText"/>
    <w:semiHidden/>
    <w:rsid w:val="00FB6D0B"/>
    <w:rPr>
      <w:rFonts w:ascii="Arial" w:hAnsi="Arial" w:cs="Arial"/>
    </w:rPr>
  </w:style>
  <w:style w:type="character" w:styleId="FootnoteReference">
    <w:name w:val="footnote reference"/>
    <w:semiHidden/>
    <w:rsid w:val="00FB6D0B"/>
    <w:rPr>
      <w:vertAlign w:val="superscript"/>
    </w:rPr>
  </w:style>
  <w:style w:type="table" w:styleId="TableGrid">
    <w:name w:val="Table Grid"/>
    <w:basedOn w:val="TableNormal"/>
    <w:uiPriority w:val="59"/>
    <w:rsid w:val="00FB6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semiHidden/>
    <w:rsid w:val="00265576"/>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796277">
      <w:bodyDiv w:val="1"/>
      <w:marLeft w:val="0"/>
      <w:marRight w:val="0"/>
      <w:marTop w:val="0"/>
      <w:marBottom w:val="0"/>
      <w:divBdr>
        <w:top w:val="none" w:sz="0" w:space="0" w:color="auto"/>
        <w:left w:val="none" w:sz="0" w:space="0" w:color="auto"/>
        <w:bottom w:val="none" w:sz="0" w:space="0" w:color="auto"/>
        <w:right w:val="none" w:sz="0" w:space="0" w:color="auto"/>
      </w:divBdr>
    </w:div>
    <w:div w:id="214612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85D13-AF65-45C1-8E13-DEACB9A9D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947</Words>
  <Characters>5071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Medway Council</Company>
  <LinksUpToDate>false</LinksUpToDate>
  <CharactersWithSpaces>6006</CharactersWithSpaces>
  <SharedDoc>false</SharedDoc>
  <HLinks>
    <vt:vector size="30" baseType="variant">
      <vt:variant>
        <vt:i4>4980795</vt:i4>
      </vt:variant>
      <vt:variant>
        <vt:i4>12</vt:i4>
      </vt:variant>
      <vt:variant>
        <vt:i4>0</vt:i4>
      </vt:variant>
      <vt:variant>
        <vt:i4>5</vt:i4>
      </vt:variant>
      <vt:variant>
        <vt:lpwstr>mailto:corppi@medway.gov.uk</vt:lpwstr>
      </vt:variant>
      <vt:variant>
        <vt:lpwstr/>
      </vt:variant>
      <vt:variant>
        <vt:i4>6815825</vt:i4>
      </vt:variant>
      <vt:variant>
        <vt:i4>9</vt:i4>
      </vt:variant>
      <vt:variant>
        <vt:i4>0</vt:i4>
      </vt:variant>
      <vt:variant>
        <vt:i4>5</vt:i4>
      </vt:variant>
      <vt:variant>
        <vt:lpwstr>mailto:david.whiting@medway.gov.uk</vt:lpwstr>
      </vt:variant>
      <vt:variant>
        <vt:lpwstr/>
      </vt:variant>
      <vt:variant>
        <vt:i4>4980795</vt:i4>
      </vt:variant>
      <vt:variant>
        <vt:i4>6</vt:i4>
      </vt:variant>
      <vt:variant>
        <vt:i4>0</vt:i4>
      </vt:variant>
      <vt:variant>
        <vt:i4>5</vt:i4>
      </vt:variant>
      <vt:variant>
        <vt:lpwstr>mailto:corppi@medway.gov.uk</vt:lpwstr>
      </vt:variant>
      <vt:variant>
        <vt:lpwstr/>
      </vt:variant>
      <vt:variant>
        <vt:i4>7667717</vt:i4>
      </vt:variant>
      <vt:variant>
        <vt:i4>3</vt:i4>
      </vt:variant>
      <vt:variant>
        <vt:i4>0</vt:i4>
      </vt:variant>
      <vt:variant>
        <vt:i4>5</vt:i4>
      </vt:variant>
      <vt:variant>
        <vt:lpwstr>mailto:chrismckenzie@medway.gov.uk</vt:lpwstr>
      </vt:variant>
      <vt:variant>
        <vt:lpwstr/>
      </vt:variant>
      <vt:variant>
        <vt:i4>4522108</vt:i4>
      </vt:variant>
      <vt:variant>
        <vt:i4>0</vt:i4>
      </vt:variant>
      <vt:variant>
        <vt:i4>0</vt:i4>
      </vt:variant>
      <vt:variant>
        <vt:i4>5</vt:i4>
      </vt:variant>
      <vt:variant>
        <vt:lpwstr>mailto:annamarie.lawrence@medway.gov.uk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Authorised User</dc:creator>
  <cp:keywords/>
  <cp:lastModifiedBy>sims, aisling</cp:lastModifiedBy>
  <cp:revision>3</cp:revision>
  <cp:lastPrinted>2018-11-05T11:55:00Z</cp:lastPrinted>
  <dcterms:created xsi:type="dcterms:W3CDTF">2020-07-27T12:41:00Z</dcterms:created>
  <dcterms:modified xsi:type="dcterms:W3CDTF">2020-08-12T07:25:00Z</dcterms:modified>
</cp:coreProperties>
</file>