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D116F0" w:rsidRDefault="007F4D47" w:rsidP="00E12A20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D116F0">
              <w:rPr>
                <w:sz w:val="22"/>
                <w:szCs w:val="22"/>
              </w:rPr>
              <w:t xml:space="preserve"> </w:t>
            </w:r>
            <w:r w:rsidR="00E12A20" w:rsidRPr="00D116F0">
              <w:rPr>
                <w:sz w:val="22"/>
                <w:szCs w:val="22"/>
              </w:rPr>
              <w:t>Tenancy Policy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7B67E3" w:rsidP="00E67519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Published </w:t>
            </w:r>
            <w:r w:rsidR="00D643DE" w:rsidRPr="00D116F0">
              <w:rPr>
                <w:sz w:val="22"/>
                <w:szCs w:val="22"/>
              </w:rPr>
              <w:t>5</w:t>
            </w:r>
            <w:r w:rsidR="00D643DE" w:rsidRPr="00D116F0">
              <w:rPr>
                <w:sz w:val="22"/>
                <w:szCs w:val="22"/>
                <w:vertAlign w:val="superscript"/>
              </w:rPr>
              <w:t>th</w:t>
            </w:r>
            <w:r w:rsidR="00D643DE" w:rsidRPr="00D116F0">
              <w:rPr>
                <w:sz w:val="22"/>
                <w:szCs w:val="22"/>
              </w:rPr>
              <w:t xml:space="preserve"> March 2018</w:t>
            </w:r>
          </w:p>
          <w:p w:rsidR="007B67E3" w:rsidRPr="00D116F0" w:rsidRDefault="007B67E3" w:rsidP="00E67519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July 2020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D116F0" w:rsidRDefault="007B67E3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Aisling Sims – Policy and Partnerships Manager</w:t>
            </w:r>
            <w:r w:rsidR="00BD2660" w:rsidRPr="00D116F0">
              <w:rPr>
                <w:sz w:val="22"/>
                <w:szCs w:val="22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7B67E3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Summary description of the proposed change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2353B" w:rsidRPr="001A23E4" w:rsidRDefault="0082353B" w:rsidP="002270B6">
            <w:pPr>
              <w:pStyle w:val="Default"/>
              <w:rPr>
                <w:sz w:val="22"/>
                <w:szCs w:val="22"/>
              </w:rPr>
            </w:pPr>
          </w:p>
          <w:p w:rsidR="00AB38B4" w:rsidRPr="004E1A95" w:rsidRDefault="007133B5" w:rsidP="002270B6">
            <w:pPr>
              <w:pStyle w:val="Default"/>
              <w:rPr>
                <w:sz w:val="22"/>
                <w:szCs w:val="22"/>
              </w:rPr>
            </w:pPr>
            <w:r w:rsidRPr="00D42BF7">
              <w:rPr>
                <w:sz w:val="22"/>
                <w:szCs w:val="22"/>
              </w:rPr>
              <w:t xml:space="preserve">The Tenancy Policy </w:t>
            </w:r>
            <w:r w:rsidR="006F7689">
              <w:rPr>
                <w:sz w:val="22"/>
                <w:szCs w:val="22"/>
              </w:rPr>
              <w:t xml:space="preserve">was </w:t>
            </w:r>
            <w:r w:rsidR="00760653">
              <w:rPr>
                <w:sz w:val="22"/>
                <w:szCs w:val="22"/>
              </w:rPr>
              <w:t>originally introduced</w:t>
            </w:r>
            <w:r w:rsidR="006F7689">
              <w:rPr>
                <w:sz w:val="22"/>
                <w:szCs w:val="22"/>
              </w:rPr>
              <w:t xml:space="preserve"> following </w:t>
            </w:r>
            <w:r w:rsidR="00BB0996" w:rsidRPr="00D42BF7">
              <w:rPr>
                <w:sz w:val="22"/>
                <w:szCs w:val="22"/>
              </w:rPr>
              <w:t>The Localism Act that gives</w:t>
            </w:r>
            <w:r w:rsidR="00342B1B" w:rsidRPr="00D42BF7">
              <w:rPr>
                <w:sz w:val="22"/>
                <w:szCs w:val="22"/>
              </w:rPr>
              <w:t xml:space="preserve"> l</w:t>
            </w:r>
            <w:r w:rsidRPr="00D42BF7">
              <w:rPr>
                <w:sz w:val="22"/>
                <w:szCs w:val="22"/>
              </w:rPr>
              <w:t xml:space="preserve">ocal </w:t>
            </w:r>
            <w:r w:rsidR="00342B1B" w:rsidRPr="00D42BF7">
              <w:rPr>
                <w:sz w:val="22"/>
                <w:szCs w:val="22"/>
              </w:rPr>
              <w:t>a</w:t>
            </w:r>
            <w:r w:rsidRPr="00D42BF7">
              <w:rPr>
                <w:sz w:val="22"/>
                <w:szCs w:val="22"/>
              </w:rPr>
              <w:t>uthorities the power to offer</w:t>
            </w:r>
            <w:r w:rsidR="00FE2ECA" w:rsidRPr="00D42BF7">
              <w:rPr>
                <w:sz w:val="22"/>
                <w:szCs w:val="22"/>
              </w:rPr>
              <w:t xml:space="preserve"> </w:t>
            </w:r>
            <w:r w:rsidRPr="00D42BF7">
              <w:rPr>
                <w:sz w:val="22"/>
                <w:szCs w:val="22"/>
              </w:rPr>
              <w:t>flexible tenancies</w:t>
            </w:r>
            <w:r w:rsidR="00666C92" w:rsidRPr="004E1A95">
              <w:rPr>
                <w:sz w:val="22"/>
                <w:szCs w:val="22"/>
              </w:rPr>
              <w:t>.</w:t>
            </w:r>
            <w:r w:rsidR="00066E26" w:rsidRPr="004E1A95">
              <w:rPr>
                <w:sz w:val="22"/>
                <w:szCs w:val="22"/>
              </w:rPr>
              <w:t xml:space="preserve"> </w:t>
            </w:r>
            <w:r w:rsidR="007B67E3">
              <w:rPr>
                <w:sz w:val="22"/>
                <w:szCs w:val="22"/>
              </w:rPr>
              <w:t xml:space="preserve">A periodic review of the policy has been carried out with no significant changes made. </w:t>
            </w:r>
          </w:p>
          <w:p w:rsidR="008E662D" w:rsidRPr="00775CD2" w:rsidRDefault="008E662D" w:rsidP="004E1A95">
            <w:pPr>
              <w:pStyle w:val="Default"/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7B67E3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evidence used to support this assessment  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Eg: Feedback from consultation, performance information, service user records etc.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Comparison of service user profile with Medway Community Profile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83423" w:rsidRPr="004555C9" w:rsidRDefault="004E1A95" w:rsidP="00DE369A">
            <w:pPr>
              <w:pStyle w:val="Default"/>
              <w:rPr>
                <w:sz w:val="22"/>
                <w:szCs w:val="22"/>
              </w:rPr>
            </w:pPr>
            <w:r w:rsidRPr="004555C9">
              <w:rPr>
                <w:sz w:val="22"/>
                <w:szCs w:val="22"/>
              </w:rPr>
              <w:t>A</w:t>
            </w:r>
            <w:r w:rsidR="00720CA4" w:rsidRPr="004555C9">
              <w:rPr>
                <w:sz w:val="22"/>
                <w:szCs w:val="22"/>
              </w:rPr>
              <w:t>s</w:t>
            </w:r>
            <w:r w:rsidR="004555C9" w:rsidRPr="004555C9">
              <w:rPr>
                <w:sz w:val="22"/>
                <w:szCs w:val="22"/>
              </w:rPr>
              <w:t xml:space="preserve"> at 27-07-2020</w:t>
            </w:r>
            <w:r w:rsidRPr="004555C9">
              <w:rPr>
                <w:sz w:val="22"/>
                <w:szCs w:val="22"/>
              </w:rPr>
              <w:t xml:space="preserve"> Landlord service had </w:t>
            </w:r>
            <w:r w:rsidR="008A2C5A">
              <w:rPr>
                <w:sz w:val="22"/>
                <w:szCs w:val="22"/>
              </w:rPr>
              <w:t>2930</w:t>
            </w:r>
            <w:r w:rsidR="00720CA4" w:rsidRPr="004555C9">
              <w:rPr>
                <w:sz w:val="22"/>
                <w:szCs w:val="22"/>
              </w:rPr>
              <w:t xml:space="preserve"> lead tenants</w:t>
            </w:r>
          </w:p>
          <w:p w:rsidR="00720CA4" w:rsidRPr="004555C9" w:rsidRDefault="00720CA4" w:rsidP="00DE369A">
            <w:pPr>
              <w:pStyle w:val="Default"/>
              <w:rPr>
                <w:sz w:val="22"/>
                <w:szCs w:val="22"/>
              </w:rPr>
            </w:pPr>
          </w:p>
          <w:p w:rsidR="00440EB0" w:rsidRDefault="00720CA4" w:rsidP="00DE369A">
            <w:pPr>
              <w:pStyle w:val="Default"/>
              <w:rPr>
                <w:sz w:val="22"/>
                <w:szCs w:val="22"/>
              </w:rPr>
            </w:pPr>
            <w:r w:rsidRPr="004555C9">
              <w:rPr>
                <w:sz w:val="22"/>
                <w:szCs w:val="22"/>
              </w:rPr>
              <w:t>The c</w:t>
            </w:r>
            <w:r w:rsidR="00883423" w:rsidRPr="004555C9">
              <w:rPr>
                <w:sz w:val="22"/>
                <w:szCs w:val="22"/>
              </w:rPr>
              <w:t>urren</w:t>
            </w:r>
            <w:r w:rsidR="008A2C5A">
              <w:rPr>
                <w:sz w:val="22"/>
                <w:szCs w:val="22"/>
              </w:rPr>
              <w:t>t tenancy types as at 29</w:t>
            </w:r>
            <w:r w:rsidR="004555C9" w:rsidRPr="004555C9">
              <w:rPr>
                <w:sz w:val="22"/>
                <w:szCs w:val="22"/>
              </w:rPr>
              <w:t>-07-2020</w:t>
            </w:r>
            <w:r w:rsidRPr="004555C9">
              <w:rPr>
                <w:sz w:val="22"/>
                <w:szCs w:val="22"/>
              </w:rPr>
              <w:t xml:space="preserve"> are: </w:t>
            </w:r>
          </w:p>
          <w:p w:rsidR="008A2C5A" w:rsidRDefault="008A2C5A" w:rsidP="00DE369A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leGridLight"/>
              <w:tblW w:w="0" w:type="auto"/>
              <w:tblLayout w:type="fixed"/>
              <w:tblLook w:val="04A0" w:firstRow="1" w:lastRow="0" w:firstColumn="1" w:lastColumn="0" w:noHBand="0" w:noVBand="1"/>
              <w:tblCaption w:val="Tenancy type breakdown"/>
            </w:tblPr>
            <w:tblGrid>
              <w:gridCol w:w="4245"/>
              <w:gridCol w:w="4246"/>
            </w:tblGrid>
            <w:tr w:rsidR="008A2C5A" w:rsidTr="003928B2">
              <w:trPr>
                <w:tblHeader/>
              </w:trPr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Tenancy type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Number of households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Flexible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457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Introductory extended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Introductory flexible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Introductory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Non Secure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Secure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2266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Temporary Accommodation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</w:t>
                  </w:r>
                </w:p>
              </w:tc>
            </w:tr>
            <w:tr w:rsidR="008A2C5A" w:rsidTr="003928B2">
              <w:tc>
                <w:tcPr>
                  <w:tcW w:w="4245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Use and occupation</w:t>
                  </w:r>
                </w:p>
              </w:tc>
              <w:tc>
                <w:tcPr>
                  <w:tcW w:w="4246" w:type="dxa"/>
                </w:tcPr>
                <w:p w:rsidR="008A2C5A" w:rsidRDefault="008A2C5A" w:rsidP="00DE36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8A2C5A" w:rsidRPr="004555C9" w:rsidRDefault="008A2C5A" w:rsidP="00DE369A">
            <w:pPr>
              <w:pStyle w:val="Default"/>
              <w:rPr>
                <w:sz w:val="22"/>
                <w:szCs w:val="22"/>
              </w:rPr>
            </w:pPr>
          </w:p>
          <w:p w:rsidR="00886709" w:rsidRDefault="00886709" w:rsidP="00DE369A">
            <w:pPr>
              <w:pStyle w:val="Default"/>
              <w:rPr>
                <w:sz w:val="22"/>
                <w:szCs w:val="22"/>
              </w:rPr>
            </w:pPr>
          </w:p>
          <w:p w:rsidR="004E1A95" w:rsidRPr="00D42BF7" w:rsidRDefault="004E1A95" w:rsidP="004E1A95">
            <w:pPr>
              <w:pStyle w:val="Default"/>
              <w:rPr>
                <w:sz w:val="22"/>
                <w:szCs w:val="22"/>
              </w:rPr>
            </w:pPr>
            <w:r w:rsidRPr="00D42BF7">
              <w:rPr>
                <w:sz w:val="22"/>
                <w:szCs w:val="22"/>
              </w:rPr>
              <w:t>Flexible Tenancies will be reviewed approximately 9 months before the fixed term is due to expire. The review will determine whether or not a further flexible tenancy is issued.</w:t>
            </w:r>
          </w:p>
          <w:p w:rsidR="004E1A95" w:rsidRPr="00D42BF7" w:rsidRDefault="004E1A95" w:rsidP="004E1A95">
            <w:pPr>
              <w:pStyle w:val="Default"/>
              <w:rPr>
                <w:sz w:val="22"/>
                <w:szCs w:val="22"/>
              </w:rPr>
            </w:pPr>
          </w:p>
          <w:p w:rsidR="004E1A95" w:rsidRPr="00D42BF7" w:rsidRDefault="004E1A95" w:rsidP="004E1A95">
            <w:pPr>
              <w:pStyle w:val="Default"/>
              <w:rPr>
                <w:sz w:val="22"/>
                <w:szCs w:val="22"/>
              </w:rPr>
            </w:pPr>
            <w:r w:rsidRPr="00D42BF7">
              <w:rPr>
                <w:sz w:val="22"/>
                <w:szCs w:val="22"/>
              </w:rPr>
              <w:t xml:space="preserve">Fixed term tenancies will have: </w:t>
            </w:r>
          </w:p>
          <w:p w:rsidR="004E1A95" w:rsidRPr="00D42BF7" w:rsidRDefault="004E1A95" w:rsidP="004E1A95">
            <w:pPr>
              <w:pStyle w:val="Default"/>
              <w:rPr>
                <w:sz w:val="22"/>
                <w:szCs w:val="22"/>
              </w:rPr>
            </w:pPr>
            <w:r w:rsidRPr="00D42BF7">
              <w:rPr>
                <w:sz w:val="22"/>
                <w:szCs w:val="22"/>
              </w:rPr>
              <w:t xml:space="preserve">• a minimum term of 2 years </w:t>
            </w:r>
          </w:p>
          <w:p w:rsidR="0058058B" w:rsidRPr="008A2C5A" w:rsidRDefault="004E1A95" w:rsidP="00DE369A">
            <w:pPr>
              <w:pStyle w:val="Default"/>
              <w:rPr>
                <w:sz w:val="22"/>
                <w:szCs w:val="22"/>
              </w:rPr>
            </w:pPr>
            <w:r w:rsidRPr="00D42BF7">
              <w:rPr>
                <w:sz w:val="22"/>
                <w:szCs w:val="22"/>
              </w:rPr>
              <w:t xml:space="preserve">• </w:t>
            </w:r>
            <w:r w:rsidR="006F7689">
              <w:rPr>
                <w:sz w:val="22"/>
                <w:szCs w:val="22"/>
              </w:rPr>
              <w:t>There is no upper limit, but this Tenancy Policy sets the limit at 5 years.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:rsidR="004D4385" w:rsidRDefault="004D4385" w:rsidP="008A74B1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What is the likely impact of the proposed change?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:rsidR="004D4385" w:rsidRDefault="004D4385" w:rsidP="008A74B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  <w:r>
              <w:rPr>
                <w:i/>
                <w:iCs/>
                <w:sz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</w:rPr>
              <w:t xml:space="preserve">(insert </w:t>
            </w: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  <w:r>
              <w:rPr>
                <w:b/>
                <w:bCs/>
                <w:i/>
                <w:iCs/>
                <w:sz w:val="16"/>
              </w:rPr>
              <w:t xml:space="preserve"> in one or more boxes)</w:t>
            </w:r>
          </w:p>
        </w:tc>
      </w:tr>
      <w:tr w:rsidR="004D4385" w:rsidTr="0033122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 good relations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463F" w:rsidRDefault="001A463F" w:rsidP="00331224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331224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C4044D" w:rsidP="00331224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720CA4" w:rsidP="00720CA4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</w:t>
            </w:r>
            <w:r w:rsidR="00020F25">
              <w:rPr>
                <w:rFonts w:cs="Arial"/>
                <w:b/>
                <w:bCs/>
                <w:sz w:val="22"/>
              </w:rPr>
              <w:t>ow income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311148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883423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883423" w:rsidRDefault="00883423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Tenure Type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83423" w:rsidRDefault="00883423" w:rsidP="00883423">
            <w:pPr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83423" w:rsidRDefault="00883423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83423" w:rsidRDefault="00883423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8A74B1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the likely impacts 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B85F1E" w:rsidRDefault="00A54739" w:rsidP="00084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Tenure Type </w:t>
            </w:r>
          </w:p>
          <w:p w:rsidR="00A54739" w:rsidRDefault="00A54739" w:rsidP="00084BE7">
            <w:pPr>
              <w:rPr>
                <w:sz w:val="22"/>
                <w:szCs w:val="22"/>
              </w:rPr>
            </w:pPr>
          </w:p>
          <w:p w:rsidR="00D33E07" w:rsidRDefault="00A54739" w:rsidP="00084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prospect of not having a ‘secure</w:t>
            </w:r>
            <w:r w:rsidR="00D33E07">
              <w:rPr>
                <w:sz w:val="22"/>
                <w:szCs w:val="22"/>
              </w:rPr>
              <w:t xml:space="preserve"> lifetime</w:t>
            </w:r>
            <w:r>
              <w:rPr>
                <w:sz w:val="22"/>
                <w:szCs w:val="22"/>
              </w:rPr>
              <w:t xml:space="preserve">’ tenancy and </w:t>
            </w:r>
            <w:r w:rsidR="00D33E07">
              <w:rPr>
                <w:sz w:val="22"/>
                <w:szCs w:val="22"/>
              </w:rPr>
              <w:t xml:space="preserve">having </w:t>
            </w:r>
            <w:r w:rsidR="00720CA4">
              <w:rPr>
                <w:sz w:val="22"/>
                <w:szCs w:val="22"/>
              </w:rPr>
              <w:t xml:space="preserve">their </w:t>
            </w:r>
            <w:r w:rsidR="00D33E07">
              <w:rPr>
                <w:sz w:val="22"/>
                <w:szCs w:val="22"/>
              </w:rPr>
              <w:t>suitability</w:t>
            </w:r>
            <w:r w:rsidR="004B771D">
              <w:rPr>
                <w:sz w:val="22"/>
                <w:szCs w:val="22"/>
              </w:rPr>
              <w:t xml:space="preserve"> for a property reviewed</w:t>
            </w:r>
            <w:r>
              <w:rPr>
                <w:sz w:val="22"/>
                <w:szCs w:val="22"/>
              </w:rPr>
              <w:t xml:space="preserve"> on a periodic basis may </w:t>
            </w:r>
            <w:r w:rsidRPr="00A54739">
              <w:rPr>
                <w:sz w:val="22"/>
                <w:szCs w:val="22"/>
              </w:rPr>
              <w:t>cause of considerable anxiety for some tenants</w:t>
            </w:r>
            <w:r w:rsidR="00D33E07">
              <w:rPr>
                <w:sz w:val="22"/>
                <w:szCs w:val="22"/>
              </w:rPr>
              <w:t xml:space="preserve">. </w:t>
            </w:r>
          </w:p>
          <w:p w:rsidR="00D33E07" w:rsidRDefault="00D33E07" w:rsidP="00084BE7">
            <w:pPr>
              <w:rPr>
                <w:sz w:val="22"/>
                <w:szCs w:val="22"/>
              </w:rPr>
            </w:pPr>
          </w:p>
          <w:p w:rsidR="00913B07" w:rsidRDefault="005B17CD" w:rsidP="00084BE7">
            <w:pPr>
              <w:rPr>
                <w:sz w:val="22"/>
                <w:szCs w:val="22"/>
              </w:rPr>
            </w:pPr>
            <w:r w:rsidRPr="005B17CD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lack </w:t>
            </w:r>
            <w:r w:rsidR="00FE5AFD">
              <w:rPr>
                <w:sz w:val="22"/>
                <w:szCs w:val="22"/>
              </w:rPr>
              <w:t xml:space="preserve">of </w:t>
            </w:r>
            <w:r w:rsidR="00FE5AFD" w:rsidRPr="005B17CD">
              <w:rPr>
                <w:sz w:val="22"/>
                <w:szCs w:val="22"/>
              </w:rPr>
              <w:t>stability</w:t>
            </w:r>
            <w:r w:rsidRPr="005B17CD">
              <w:rPr>
                <w:sz w:val="22"/>
                <w:szCs w:val="22"/>
              </w:rPr>
              <w:t xml:space="preserve"> provid</w:t>
            </w:r>
            <w:r>
              <w:rPr>
                <w:sz w:val="22"/>
                <w:szCs w:val="22"/>
              </w:rPr>
              <w:t>ed by a permanent tenancy may deter tenants</w:t>
            </w:r>
            <w:r w:rsidR="00D33E07">
              <w:rPr>
                <w:sz w:val="22"/>
                <w:szCs w:val="22"/>
              </w:rPr>
              <w:t xml:space="preserve"> from looking after the property as it was their home</w:t>
            </w:r>
            <w:r>
              <w:rPr>
                <w:sz w:val="22"/>
                <w:szCs w:val="22"/>
              </w:rPr>
              <w:t>. Tenants maybe less willing to decorate and look after the property and</w:t>
            </w:r>
            <w:r w:rsidR="00FE5AFD">
              <w:rPr>
                <w:sz w:val="22"/>
                <w:szCs w:val="22"/>
              </w:rPr>
              <w:t>/or</w:t>
            </w:r>
            <w:r>
              <w:rPr>
                <w:sz w:val="22"/>
                <w:szCs w:val="22"/>
              </w:rPr>
              <w:t xml:space="preserve"> integrate into the local community, </w:t>
            </w:r>
            <w:r w:rsidR="0056463B" w:rsidRPr="0056463B">
              <w:rPr>
                <w:sz w:val="22"/>
                <w:szCs w:val="22"/>
              </w:rPr>
              <w:t>increasing the transience and social exclusion of neighbourhoods</w:t>
            </w:r>
            <w:r w:rsidR="005646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which may </w:t>
            </w:r>
            <w:r w:rsidR="003F16BB">
              <w:rPr>
                <w:sz w:val="22"/>
                <w:szCs w:val="22"/>
              </w:rPr>
              <w:t>lead</w:t>
            </w:r>
            <w:r>
              <w:rPr>
                <w:sz w:val="22"/>
                <w:szCs w:val="22"/>
              </w:rPr>
              <w:t xml:space="preserve"> to many tenants feeling a sense of social </w:t>
            </w:r>
            <w:r w:rsidR="006F7689">
              <w:rPr>
                <w:sz w:val="22"/>
                <w:szCs w:val="22"/>
              </w:rPr>
              <w:t>isolation. This</w:t>
            </w:r>
            <w:r w:rsidR="00720CA4">
              <w:rPr>
                <w:sz w:val="22"/>
                <w:szCs w:val="22"/>
              </w:rPr>
              <w:t xml:space="preserve"> may also have a detrimental effect on the condition of the property itself.</w:t>
            </w:r>
          </w:p>
          <w:p w:rsidR="001A23E4" w:rsidRDefault="001A23E4" w:rsidP="00084BE7">
            <w:pPr>
              <w:rPr>
                <w:sz w:val="22"/>
                <w:szCs w:val="22"/>
              </w:rPr>
            </w:pPr>
          </w:p>
          <w:p w:rsidR="005B17CD" w:rsidRDefault="005B17CD" w:rsidP="00084BE7">
            <w:pPr>
              <w:rPr>
                <w:sz w:val="22"/>
                <w:szCs w:val="22"/>
                <w:u w:val="single"/>
              </w:rPr>
            </w:pPr>
            <w:r w:rsidRPr="00913B07">
              <w:rPr>
                <w:sz w:val="22"/>
                <w:szCs w:val="22"/>
                <w:u w:val="single"/>
              </w:rPr>
              <w:t>Low Income groups</w:t>
            </w:r>
          </w:p>
          <w:p w:rsidR="00913B07" w:rsidRPr="00913B07" w:rsidRDefault="00913B07" w:rsidP="00084BE7">
            <w:pPr>
              <w:rPr>
                <w:sz w:val="22"/>
                <w:szCs w:val="22"/>
                <w:u w:val="single"/>
              </w:rPr>
            </w:pPr>
          </w:p>
          <w:p w:rsidR="00913B07" w:rsidRDefault="00913B07" w:rsidP="00084BE7">
            <w:pPr>
              <w:rPr>
                <w:sz w:val="22"/>
                <w:szCs w:val="22"/>
              </w:rPr>
            </w:pPr>
            <w:r w:rsidRPr="00883423">
              <w:rPr>
                <w:sz w:val="22"/>
                <w:szCs w:val="22"/>
              </w:rPr>
              <w:t>Medway Council charges social rents on all of its tenancies. The only exception to this is for tenants who have declared a household income above a certain level (currently £60k pa). For these tenants a ‘Fairer Rent’ applies, and they will be charged at 80% of the local market rent</w:t>
            </w:r>
            <w:r w:rsidR="00136E34">
              <w:rPr>
                <w:sz w:val="22"/>
                <w:szCs w:val="22"/>
              </w:rPr>
              <w:t>.</w:t>
            </w:r>
          </w:p>
          <w:p w:rsidR="00136E34" w:rsidRDefault="00136E34" w:rsidP="00084BE7">
            <w:pPr>
              <w:rPr>
                <w:sz w:val="22"/>
                <w:szCs w:val="22"/>
              </w:rPr>
            </w:pPr>
          </w:p>
          <w:p w:rsidR="00EA1E37" w:rsidRDefault="00FE5AFD" w:rsidP="00A22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Financial reviews may act as </w:t>
            </w:r>
            <w:r w:rsidR="001A23E4">
              <w:rPr>
                <w:sz w:val="22"/>
                <w:szCs w:val="22"/>
              </w:rPr>
              <w:t xml:space="preserve">a </w:t>
            </w:r>
            <w:r w:rsidR="00D33E07">
              <w:rPr>
                <w:sz w:val="22"/>
                <w:szCs w:val="22"/>
              </w:rPr>
              <w:t>disincentive</w:t>
            </w:r>
            <w:r w:rsidR="00EA1E37">
              <w:rPr>
                <w:sz w:val="22"/>
                <w:szCs w:val="22"/>
              </w:rPr>
              <w:t xml:space="preserve"> to</w:t>
            </w:r>
            <w:r w:rsidR="00D33E07">
              <w:rPr>
                <w:sz w:val="22"/>
                <w:szCs w:val="22"/>
              </w:rPr>
              <w:t xml:space="preserve"> </w:t>
            </w:r>
            <w:r w:rsidRPr="00FE5AFD">
              <w:rPr>
                <w:sz w:val="22"/>
                <w:szCs w:val="22"/>
              </w:rPr>
              <w:t xml:space="preserve">tenants from seeking or taking up </w:t>
            </w:r>
            <w:r w:rsidR="00E66BED" w:rsidRPr="00FE5AFD">
              <w:rPr>
                <w:sz w:val="22"/>
                <w:szCs w:val="22"/>
              </w:rPr>
              <w:t>work,</w:t>
            </w:r>
            <w:r>
              <w:rPr>
                <w:sz w:val="22"/>
                <w:szCs w:val="22"/>
              </w:rPr>
              <w:t xml:space="preserve"> should they feel that their </w:t>
            </w:r>
            <w:r w:rsidRPr="00FE5AFD">
              <w:rPr>
                <w:sz w:val="22"/>
                <w:szCs w:val="22"/>
              </w:rPr>
              <w:t xml:space="preserve">tenure </w:t>
            </w:r>
            <w:r w:rsidR="00720CA4">
              <w:rPr>
                <w:sz w:val="22"/>
                <w:szCs w:val="22"/>
              </w:rPr>
              <w:t xml:space="preserve">is </w:t>
            </w:r>
            <w:r w:rsidRPr="00FE5AFD">
              <w:rPr>
                <w:sz w:val="22"/>
                <w:szCs w:val="22"/>
              </w:rPr>
              <w:t>dependent</w:t>
            </w:r>
            <w:r>
              <w:rPr>
                <w:sz w:val="22"/>
                <w:szCs w:val="22"/>
              </w:rPr>
              <w:t xml:space="preserve"> </w:t>
            </w:r>
            <w:r w:rsidR="00720CA4">
              <w:rPr>
                <w:sz w:val="22"/>
                <w:szCs w:val="22"/>
              </w:rPr>
              <w:t xml:space="preserve">on </w:t>
            </w:r>
            <w:r>
              <w:rPr>
                <w:sz w:val="22"/>
                <w:szCs w:val="22"/>
              </w:rPr>
              <w:t xml:space="preserve">providing </w:t>
            </w:r>
            <w:r w:rsidR="00334928">
              <w:rPr>
                <w:sz w:val="22"/>
                <w:szCs w:val="22"/>
              </w:rPr>
              <w:t xml:space="preserve">financial </w:t>
            </w:r>
            <w:r w:rsidR="00334928" w:rsidRPr="00FE5AFD">
              <w:rPr>
                <w:sz w:val="22"/>
                <w:szCs w:val="22"/>
              </w:rPr>
              <w:t>proof</w:t>
            </w:r>
            <w:r w:rsidRPr="00FE5AFD">
              <w:rPr>
                <w:sz w:val="22"/>
                <w:szCs w:val="22"/>
              </w:rPr>
              <w:t xml:space="preserve"> of continuing need for social housing</w:t>
            </w:r>
            <w:r w:rsidR="005B17CD">
              <w:rPr>
                <w:sz w:val="22"/>
                <w:szCs w:val="22"/>
              </w:rPr>
              <w:t>.</w:t>
            </w:r>
          </w:p>
          <w:p w:rsidR="00EA1E37" w:rsidRDefault="00EA1E37" w:rsidP="00A22103">
            <w:pPr>
              <w:rPr>
                <w:sz w:val="22"/>
                <w:szCs w:val="22"/>
              </w:rPr>
            </w:pPr>
          </w:p>
          <w:p w:rsidR="001D3AC8" w:rsidRPr="001D3AC8" w:rsidRDefault="00EA1E37" w:rsidP="003928B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It should also be acknowledged that </w:t>
            </w:r>
            <w:r w:rsidR="00A64461">
              <w:rPr>
                <w:sz w:val="22"/>
                <w:szCs w:val="22"/>
              </w:rPr>
              <w:t>Flexible tenancy reviews</w:t>
            </w:r>
            <w:r w:rsidR="00A22103" w:rsidRPr="00A22103">
              <w:rPr>
                <w:sz w:val="22"/>
                <w:szCs w:val="22"/>
              </w:rPr>
              <w:t xml:space="preserve"> will ensure that social housing is used only for those </w:t>
            </w:r>
            <w:r w:rsidR="00331224" w:rsidRPr="00A22103">
              <w:rPr>
                <w:sz w:val="22"/>
                <w:szCs w:val="22"/>
              </w:rPr>
              <w:t>in genuine</w:t>
            </w:r>
            <w:r w:rsidR="00A22103" w:rsidRPr="00A22103">
              <w:rPr>
                <w:sz w:val="22"/>
                <w:szCs w:val="22"/>
              </w:rPr>
              <w:t xml:space="preserve"> need, by moving people earning a higher wage into other forms of tenure</w:t>
            </w:r>
            <w:r w:rsidR="00A22103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="0004164C">
              <w:rPr>
                <w:sz w:val="22"/>
                <w:szCs w:val="22"/>
                <w:u w:val="single"/>
              </w:rPr>
              <w:t xml:space="preserve"> </w:t>
            </w:r>
          </w:p>
          <w:p w:rsidR="001D3AC8" w:rsidRPr="001D3AC8" w:rsidRDefault="001D3AC8" w:rsidP="00A22103">
            <w:pPr>
              <w:rPr>
                <w:sz w:val="22"/>
                <w:szCs w:val="22"/>
                <w:u w:val="single"/>
              </w:rPr>
            </w:pPr>
            <w:r w:rsidRPr="001D3AC8">
              <w:rPr>
                <w:sz w:val="22"/>
                <w:szCs w:val="22"/>
                <w:u w:val="single"/>
              </w:rPr>
              <w:t>Right to claim for compensation</w:t>
            </w:r>
          </w:p>
          <w:p w:rsidR="00A22103" w:rsidRDefault="00A22103" w:rsidP="00A22103">
            <w:pPr>
              <w:rPr>
                <w:sz w:val="22"/>
                <w:szCs w:val="22"/>
              </w:rPr>
            </w:pPr>
          </w:p>
          <w:p w:rsidR="00913B07" w:rsidRDefault="00913B07" w:rsidP="00913B07">
            <w:pPr>
              <w:pStyle w:val="ListParagraph"/>
              <w:spacing w:after="0" w:line="240" w:lineRule="auto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EB4881">
              <w:rPr>
                <w:sz w:val="22"/>
                <w:szCs w:val="22"/>
              </w:rPr>
              <w:t xml:space="preserve">Flexible Tenants do not have a right to claim compensation for any improvements carried out to the property. Flexible Tenants may feel disadvantaged that the </w:t>
            </w:r>
            <w:r>
              <w:rPr>
                <w:rFonts w:eastAsia="Calibri"/>
                <w:sz w:val="22"/>
                <w:szCs w:val="22"/>
              </w:rPr>
              <w:t>h</w:t>
            </w:r>
            <w:r w:rsidRPr="00EB4881">
              <w:rPr>
                <w:rFonts w:eastAsia="Calibri"/>
                <w:sz w:val="22"/>
                <w:szCs w:val="22"/>
              </w:rPr>
              <w:t xml:space="preserve">ousehold income and financial resources will be taken into account at the review process. </w:t>
            </w:r>
          </w:p>
          <w:p w:rsidR="001A23E4" w:rsidRDefault="001A23E4" w:rsidP="00084BE7">
            <w:pPr>
              <w:rPr>
                <w:sz w:val="22"/>
                <w:szCs w:val="22"/>
              </w:rPr>
            </w:pPr>
          </w:p>
          <w:p w:rsidR="00EA1E37" w:rsidRDefault="00D42BF7" w:rsidP="00084BE7">
            <w:pPr>
              <w:rPr>
                <w:sz w:val="22"/>
                <w:szCs w:val="22"/>
              </w:rPr>
            </w:pPr>
            <w:r w:rsidRPr="0053347E">
              <w:rPr>
                <w:sz w:val="22"/>
                <w:szCs w:val="22"/>
                <w:u w:val="single"/>
              </w:rPr>
              <w:t>Families</w:t>
            </w:r>
          </w:p>
          <w:p w:rsidR="003747FB" w:rsidRDefault="003747FB" w:rsidP="00084BE7">
            <w:pPr>
              <w:rPr>
                <w:sz w:val="22"/>
                <w:szCs w:val="22"/>
              </w:rPr>
            </w:pPr>
          </w:p>
          <w:p w:rsidR="003747FB" w:rsidRDefault="003747FB" w:rsidP="00084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Families</w:t>
            </w:r>
            <w:r w:rsidR="00A64461">
              <w:rPr>
                <w:sz w:val="22"/>
                <w:szCs w:val="22"/>
              </w:rPr>
              <w:t>, especially those with dependent children,</w:t>
            </w:r>
            <w:r>
              <w:rPr>
                <w:sz w:val="22"/>
                <w:szCs w:val="22"/>
              </w:rPr>
              <w:t xml:space="preserve"> may feel adversely impacted through the sense of loss </w:t>
            </w:r>
            <w:r w:rsidR="008B14F0">
              <w:rPr>
                <w:sz w:val="22"/>
                <w:szCs w:val="22"/>
              </w:rPr>
              <w:t>of security</w:t>
            </w:r>
            <w:r>
              <w:rPr>
                <w:sz w:val="22"/>
                <w:szCs w:val="22"/>
              </w:rPr>
              <w:t xml:space="preserve"> of having a secure </w:t>
            </w:r>
            <w:r w:rsidR="008B14F0">
              <w:rPr>
                <w:sz w:val="22"/>
                <w:szCs w:val="22"/>
              </w:rPr>
              <w:t>tenancy.</w:t>
            </w:r>
            <w:r>
              <w:rPr>
                <w:sz w:val="22"/>
                <w:szCs w:val="22"/>
              </w:rPr>
              <w:t xml:space="preserve"> This may negatively impact the family home as tenants may feel unable to provide </w:t>
            </w:r>
            <w:r w:rsidR="008B14F0">
              <w:rPr>
                <w:sz w:val="22"/>
                <w:szCs w:val="22"/>
              </w:rPr>
              <w:t>a stable</w:t>
            </w:r>
            <w:r>
              <w:rPr>
                <w:sz w:val="22"/>
                <w:szCs w:val="22"/>
              </w:rPr>
              <w:t xml:space="preserve"> environment, as</w:t>
            </w:r>
            <w:r w:rsidRPr="003747FB">
              <w:rPr>
                <w:sz w:val="22"/>
                <w:szCs w:val="22"/>
              </w:rPr>
              <w:t xml:space="preserve"> frequent moves can be disruptive</w:t>
            </w:r>
            <w:r w:rsidR="009073C1">
              <w:rPr>
                <w:sz w:val="22"/>
                <w:szCs w:val="22"/>
              </w:rPr>
              <w:t xml:space="preserve"> to family life.</w:t>
            </w:r>
          </w:p>
          <w:p w:rsidR="00323D54" w:rsidRPr="00323D54" w:rsidRDefault="00323D54" w:rsidP="00084BE7">
            <w:pPr>
              <w:rPr>
                <w:sz w:val="22"/>
                <w:szCs w:val="22"/>
              </w:rPr>
            </w:pPr>
          </w:p>
          <w:p w:rsidR="009073C1" w:rsidRDefault="009073C1" w:rsidP="00084BE7">
            <w:pPr>
              <w:rPr>
                <w:b/>
                <w:sz w:val="22"/>
                <w:szCs w:val="22"/>
              </w:rPr>
            </w:pPr>
          </w:p>
          <w:p w:rsidR="009073C1" w:rsidRPr="0056463B" w:rsidRDefault="009073C1" w:rsidP="00907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Families may benefit from a more affective allocation of housing resources, a</w:t>
            </w:r>
            <w:r w:rsidRPr="0056463B">
              <w:rPr>
                <w:sz w:val="22"/>
                <w:szCs w:val="22"/>
              </w:rPr>
              <w:t>s more housing stock is more appropriately allocated</w:t>
            </w:r>
            <w:r w:rsidR="0056463B" w:rsidRPr="0056463B">
              <w:rPr>
                <w:sz w:val="22"/>
                <w:szCs w:val="22"/>
              </w:rPr>
              <w:t>, increased</w:t>
            </w:r>
            <w:r w:rsidRPr="0056463B">
              <w:rPr>
                <w:sz w:val="22"/>
                <w:szCs w:val="22"/>
              </w:rPr>
              <w:t xml:space="preserve"> headroom should benefit overcrowded families with children, who represent 85% of all overcrowded households in social housing.</w:t>
            </w:r>
          </w:p>
          <w:p w:rsidR="009073C1" w:rsidRPr="00D7798C" w:rsidRDefault="009073C1" w:rsidP="00084BE7">
            <w:pPr>
              <w:rPr>
                <w:b/>
                <w:sz w:val="22"/>
                <w:szCs w:val="22"/>
              </w:rPr>
            </w:pPr>
          </w:p>
          <w:p w:rsidR="00E12A20" w:rsidRPr="00D7798C" w:rsidRDefault="00D7798C" w:rsidP="00E12A20">
            <w:pPr>
              <w:rPr>
                <w:sz w:val="22"/>
                <w:szCs w:val="22"/>
                <w:u w:val="single"/>
              </w:rPr>
            </w:pPr>
            <w:r w:rsidRPr="00D7798C">
              <w:rPr>
                <w:sz w:val="22"/>
                <w:szCs w:val="22"/>
                <w:u w:val="single"/>
              </w:rPr>
              <w:t>Disability</w:t>
            </w:r>
            <w:r w:rsidR="00C4044D">
              <w:rPr>
                <w:sz w:val="22"/>
                <w:szCs w:val="22"/>
                <w:u w:val="single"/>
              </w:rPr>
              <w:t xml:space="preserve"> or long term health needs.</w:t>
            </w:r>
          </w:p>
          <w:p w:rsidR="004D4385" w:rsidRDefault="004D4385" w:rsidP="00084BE7">
            <w:pPr>
              <w:rPr>
                <w:sz w:val="22"/>
                <w:szCs w:val="22"/>
              </w:rPr>
            </w:pPr>
          </w:p>
          <w:p w:rsidR="00257B62" w:rsidRDefault="00334928" w:rsidP="00393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Tenants with a disability</w:t>
            </w:r>
            <w:r w:rsidR="00393464">
              <w:rPr>
                <w:sz w:val="22"/>
                <w:szCs w:val="22"/>
              </w:rPr>
              <w:t xml:space="preserve"> or long term health </w:t>
            </w:r>
            <w:r w:rsidR="00ED7B2B">
              <w:rPr>
                <w:sz w:val="22"/>
                <w:szCs w:val="22"/>
              </w:rPr>
              <w:t>needs</w:t>
            </w:r>
            <w:r>
              <w:rPr>
                <w:sz w:val="22"/>
                <w:szCs w:val="22"/>
              </w:rPr>
              <w:t xml:space="preserve"> may </w:t>
            </w:r>
            <w:r w:rsidR="00EA70F8">
              <w:rPr>
                <w:sz w:val="22"/>
                <w:szCs w:val="22"/>
              </w:rPr>
              <w:t>feel adversely</w:t>
            </w:r>
            <w:r w:rsidR="008B14F0">
              <w:rPr>
                <w:sz w:val="22"/>
                <w:szCs w:val="22"/>
              </w:rPr>
              <w:t xml:space="preserve"> impacted</w:t>
            </w:r>
            <w:r w:rsidR="00393464">
              <w:rPr>
                <w:sz w:val="22"/>
                <w:szCs w:val="22"/>
              </w:rPr>
              <w:t xml:space="preserve"> at having to participate in the </w:t>
            </w:r>
            <w:r w:rsidR="00257B62">
              <w:rPr>
                <w:sz w:val="22"/>
                <w:szCs w:val="22"/>
              </w:rPr>
              <w:t xml:space="preserve">tenancy </w:t>
            </w:r>
            <w:r w:rsidR="00257B62" w:rsidRPr="008B14F0">
              <w:rPr>
                <w:sz w:val="22"/>
                <w:szCs w:val="22"/>
              </w:rPr>
              <w:t>review</w:t>
            </w:r>
            <w:r w:rsidR="00393464">
              <w:rPr>
                <w:sz w:val="22"/>
                <w:szCs w:val="22"/>
              </w:rPr>
              <w:t xml:space="preserve"> process,</w:t>
            </w:r>
            <w:r w:rsidR="008B14F0" w:rsidRPr="008B14F0">
              <w:rPr>
                <w:sz w:val="22"/>
                <w:szCs w:val="22"/>
              </w:rPr>
              <w:t xml:space="preserve"> before they can say with certainty that a household will be allowed to remain in their home</w:t>
            </w:r>
            <w:r w:rsidR="00393464">
              <w:rPr>
                <w:sz w:val="22"/>
                <w:szCs w:val="22"/>
              </w:rPr>
              <w:t>.</w:t>
            </w:r>
          </w:p>
          <w:p w:rsidR="00EE725D" w:rsidRDefault="00EE725D" w:rsidP="00084BE7">
            <w:pPr>
              <w:rPr>
                <w:sz w:val="22"/>
                <w:szCs w:val="22"/>
              </w:rPr>
            </w:pPr>
          </w:p>
          <w:p w:rsidR="005D4EEA" w:rsidRPr="006B00F8" w:rsidRDefault="006B00F8" w:rsidP="00084BE7">
            <w:pPr>
              <w:rPr>
                <w:sz w:val="22"/>
                <w:szCs w:val="22"/>
                <w:u w:val="single"/>
              </w:rPr>
            </w:pPr>
            <w:r w:rsidRPr="006B00F8">
              <w:rPr>
                <w:sz w:val="22"/>
                <w:szCs w:val="22"/>
                <w:u w:val="single"/>
              </w:rPr>
              <w:t>Age</w:t>
            </w:r>
          </w:p>
          <w:p w:rsidR="00311148" w:rsidRDefault="00311148" w:rsidP="006B00F8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257B62" w:rsidRDefault="00257B62" w:rsidP="00257B6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E725D">
              <w:rPr>
                <w:sz w:val="22"/>
                <w:szCs w:val="22"/>
              </w:rPr>
              <w:t xml:space="preserve">Fixed term tenancies will make it easier for </w:t>
            </w:r>
            <w:r>
              <w:rPr>
                <w:sz w:val="22"/>
                <w:szCs w:val="22"/>
              </w:rPr>
              <w:t xml:space="preserve">the council </w:t>
            </w:r>
            <w:r w:rsidRPr="00EE725D">
              <w:rPr>
                <w:sz w:val="22"/>
                <w:szCs w:val="22"/>
              </w:rPr>
              <w:t>to support older tenants move to more manageable sized accommodation, freeing up larger homes for families. Where older tenants with</w:t>
            </w:r>
            <w:r w:rsidR="006F7689">
              <w:rPr>
                <w:sz w:val="22"/>
                <w:szCs w:val="22"/>
              </w:rPr>
              <w:t xml:space="preserve"> pre 2012</w:t>
            </w:r>
            <w:r w:rsidRPr="00EE725D">
              <w:rPr>
                <w:sz w:val="22"/>
                <w:szCs w:val="22"/>
              </w:rPr>
              <w:t xml:space="preserve"> lifetime tenancies choose to downsize, they will not be adversely affected by the proposed reforms, as they will retain their lifetime tenancy if they move to a smaller social property once children have left home</w:t>
            </w:r>
            <w:r>
              <w:rPr>
                <w:sz w:val="22"/>
                <w:szCs w:val="22"/>
              </w:rPr>
              <w:t>.</w:t>
            </w:r>
          </w:p>
          <w:p w:rsidR="006F7689" w:rsidRDefault="006F7689" w:rsidP="00257B6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6F7689" w:rsidRDefault="006F7689" w:rsidP="00257B6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946AE1">
              <w:rPr>
                <w:sz w:val="22"/>
                <w:szCs w:val="22"/>
              </w:rPr>
              <w:t>FIL</w:t>
            </w:r>
            <w:r>
              <w:rPr>
                <w:sz w:val="22"/>
                <w:szCs w:val="22"/>
              </w:rPr>
              <w:t xml:space="preserve"> homes will continue to be let on lifetime tenancies only.</w:t>
            </w:r>
          </w:p>
          <w:p w:rsidR="00D977B0" w:rsidRDefault="00D977B0" w:rsidP="00257B6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CE2BDA" w:rsidRPr="00CE2BDA" w:rsidRDefault="00CE2BDA" w:rsidP="00257B6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  <w:r w:rsidRPr="00CE2BDA">
              <w:rPr>
                <w:sz w:val="22"/>
                <w:szCs w:val="22"/>
                <w:u w:val="single"/>
              </w:rPr>
              <w:t>Management Transfer</w:t>
            </w:r>
          </w:p>
          <w:p w:rsidR="00D977B0" w:rsidRDefault="00D977B0" w:rsidP="00257B6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920D48" w:rsidRPr="00DF3C64" w:rsidRDefault="00CE2BDA" w:rsidP="00C4044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E2BDA">
              <w:rPr>
                <w:sz w:val="22"/>
                <w:szCs w:val="22"/>
              </w:rPr>
              <w:t xml:space="preserve">If the move </w:t>
            </w:r>
            <w:r w:rsidR="0004164C">
              <w:rPr>
                <w:sz w:val="22"/>
                <w:szCs w:val="22"/>
              </w:rPr>
              <w:t xml:space="preserve">is </w:t>
            </w:r>
            <w:r w:rsidR="003206DA" w:rsidRPr="00CE2BDA">
              <w:rPr>
                <w:sz w:val="22"/>
                <w:szCs w:val="22"/>
              </w:rPr>
              <w:t>due</w:t>
            </w:r>
            <w:r w:rsidRPr="00CE2BDA">
              <w:rPr>
                <w:sz w:val="22"/>
                <w:szCs w:val="22"/>
              </w:rPr>
              <w:t xml:space="preserve"> to reasons such as permanent decant or domestic abuse, a Secure tenancy will be offered</w:t>
            </w:r>
            <w:r w:rsidR="006F7689">
              <w:rPr>
                <w:sz w:val="22"/>
                <w:szCs w:val="22"/>
              </w:rPr>
              <w:t xml:space="preserve"> to tenants who already hold a secure </w:t>
            </w:r>
            <w:r w:rsidR="00946AE1">
              <w:rPr>
                <w:sz w:val="22"/>
                <w:szCs w:val="22"/>
              </w:rPr>
              <w:t>tenancy</w:t>
            </w:r>
            <w:r>
              <w:rPr>
                <w:sz w:val="22"/>
                <w:szCs w:val="22"/>
              </w:rPr>
              <w:t>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8A74B1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actions can be taken to mitigate likely adverse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impacts, improve equality of opportunity or foster good relations?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lastRenderedPageBreak/>
              <w:t>Can demand for services be managed differently?</w:t>
            </w:r>
          </w:p>
        </w:tc>
      </w:tr>
      <w:tr w:rsidR="004D4385" w:rsidTr="00D977B0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A45C4E" w:rsidRDefault="00A45C4E" w:rsidP="00A45C4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Summary</w:t>
            </w:r>
          </w:p>
          <w:p w:rsidR="00A45C4E" w:rsidRPr="00331224" w:rsidRDefault="00A45C4E" w:rsidP="00A45C4E">
            <w:pPr>
              <w:rPr>
                <w:sz w:val="22"/>
                <w:szCs w:val="22"/>
              </w:rPr>
            </w:pPr>
            <w:r w:rsidRPr="00331224">
              <w:rPr>
                <w:sz w:val="22"/>
                <w:szCs w:val="22"/>
              </w:rPr>
              <w:t xml:space="preserve">Whilst the </w:t>
            </w:r>
            <w:r>
              <w:rPr>
                <w:sz w:val="22"/>
                <w:szCs w:val="22"/>
              </w:rPr>
              <w:t>c</w:t>
            </w:r>
            <w:r w:rsidRPr="00331224">
              <w:rPr>
                <w:sz w:val="22"/>
                <w:szCs w:val="22"/>
              </w:rPr>
              <w:t>ouncil recognise that the policy may adversely impact some protected groups, adhering to legislative guidance  will significantly improve the councils ability to get the best use out of social housing</w:t>
            </w:r>
            <w:r>
              <w:rPr>
                <w:sz w:val="22"/>
                <w:szCs w:val="22"/>
              </w:rPr>
              <w:t>,</w:t>
            </w:r>
            <w:r w:rsidRPr="00331224">
              <w:rPr>
                <w:sz w:val="22"/>
                <w:szCs w:val="22"/>
              </w:rPr>
              <w:t xml:space="preserve"> by focusing it on those who need it most for as long as they need it. The council will ensure that people who need long-term support are provided with more appropriate tenancies as their needs change over time.</w:t>
            </w:r>
          </w:p>
          <w:p w:rsidR="00A45C4E" w:rsidRDefault="00A45C4E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</w:p>
          <w:p w:rsidR="00A079AA" w:rsidRDefault="00A079AA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  <w:r w:rsidRPr="00A079AA">
              <w:rPr>
                <w:sz w:val="22"/>
                <w:szCs w:val="22"/>
                <w:u w:val="single"/>
              </w:rPr>
              <w:t>Tenure Type</w:t>
            </w:r>
          </w:p>
          <w:p w:rsidR="000E4044" w:rsidRPr="00A079AA" w:rsidRDefault="000E4044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</w:p>
          <w:p w:rsidR="000E4044" w:rsidRDefault="000E4044" w:rsidP="000E404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4745CC">
              <w:rPr>
                <w:sz w:val="22"/>
                <w:szCs w:val="22"/>
              </w:rPr>
              <w:t>Tenants’ rights and obligations will be explained to them as part of the new tenant ‘sign-up’ process.</w:t>
            </w:r>
          </w:p>
          <w:p w:rsidR="000E4044" w:rsidRDefault="000E4044" w:rsidP="000E404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0E4044" w:rsidRDefault="000E4044" w:rsidP="000E404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4745CC">
              <w:rPr>
                <w:sz w:val="22"/>
                <w:szCs w:val="22"/>
              </w:rPr>
              <w:t>The Tenancy Management Team will work closely with other sections of the Council, and other agencies, where support needs have been identified.</w:t>
            </w:r>
          </w:p>
          <w:p w:rsidR="00A079AA" w:rsidRDefault="00A079AA" w:rsidP="00A079AA">
            <w:pPr>
              <w:pStyle w:val="Header"/>
              <w:rPr>
                <w:sz w:val="22"/>
                <w:szCs w:val="22"/>
              </w:rPr>
            </w:pPr>
          </w:p>
          <w:p w:rsidR="00A11FA0" w:rsidRPr="00A079AA" w:rsidRDefault="00A079AA" w:rsidP="00A11FA0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new tenants are provided with a copy of the tenant handbook which </w:t>
            </w:r>
            <w:r w:rsidRPr="00A079AA">
              <w:rPr>
                <w:sz w:val="22"/>
                <w:szCs w:val="22"/>
              </w:rPr>
              <w:t xml:space="preserve"> provide</w:t>
            </w:r>
            <w:r>
              <w:rPr>
                <w:sz w:val="22"/>
                <w:szCs w:val="22"/>
              </w:rPr>
              <w:t xml:space="preserve">s  </w:t>
            </w:r>
            <w:r w:rsidR="00A11FA0">
              <w:rPr>
                <w:sz w:val="22"/>
                <w:szCs w:val="22"/>
              </w:rPr>
              <w:t>guidance  for tenants about living in their</w:t>
            </w:r>
            <w:r w:rsidR="00A11FA0" w:rsidRPr="00A079AA">
              <w:rPr>
                <w:sz w:val="22"/>
                <w:szCs w:val="22"/>
              </w:rPr>
              <w:t xml:space="preserve"> home, </w:t>
            </w:r>
            <w:r w:rsidR="00A11FA0">
              <w:rPr>
                <w:sz w:val="22"/>
                <w:szCs w:val="22"/>
              </w:rPr>
              <w:t xml:space="preserve"> and provides  details of the </w:t>
            </w:r>
          </w:p>
          <w:p w:rsidR="00A11FA0" w:rsidRDefault="00BF325A" w:rsidP="00A079AA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Tenants</w:t>
            </w:r>
            <w:r w:rsidR="00A11FA0">
              <w:rPr>
                <w:sz w:val="22"/>
                <w:szCs w:val="22"/>
              </w:rPr>
              <w:t xml:space="preserve"> responsibilities, and how they can maintain </w:t>
            </w:r>
            <w:r w:rsidR="000E4044">
              <w:rPr>
                <w:sz w:val="22"/>
                <w:szCs w:val="22"/>
              </w:rPr>
              <w:t>tenancy sustainment</w:t>
            </w:r>
            <w:r w:rsidR="00284A6E">
              <w:rPr>
                <w:sz w:val="22"/>
                <w:szCs w:val="22"/>
              </w:rPr>
              <w:t>.</w:t>
            </w:r>
            <w:r w:rsidR="000E4044">
              <w:rPr>
                <w:sz w:val="22"/>
                <w:szCs w:val="22"/>
              </w:rPr>
              <w:t xml:space="preserve"> </w:t>
            </w:r>
          </w:p>
          <w:p w:rsidR="00A11FA0" w:rsidRDefault="00A11FA0" w:rsidP="00A079AA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Tenants are actively encouraged to engage in events such as Estate Walkabouts with Housing Officers</w:t>
            </w:r>
            <w:r w:rsidR="000E4044">
              <w:rPr>
                <w:sz w:val="22"/>
                <w:szCs w:val="22"/>
              </w:rPr>
              <w:t xml:space="preserve"> and other residents to</w:t>
            </w:r>
            <w:r>
              <w:rPr>
                <w:sz w:val="22"/>
                <w:szCs w:val="22"/>
              </w:rPr>
              <w:t xml:space="preserve"> provide feedback about their neighbourhood</w:t>
            </w:r>
            <w:r w:rsidR="000E4044">
              <w:rPr>
                <w:sz w:val="22"/>
                <w:szCs w:val="22"/>
              </w:rPr>
              <w:t xml:space="preserve">. A range of Community Development activities are also offered to provide tenants with the opportunity to shape the services provided by the council. </w:t>
            </w:r>
          </w:p>
          <w:p w:rsidR="00333820" w:rsidRPr="00333820" w:rsidRDefault="00333820" w:rsidP="00D643D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:rsidR="00916E21" w:rsidRPr="00333820" w:rsidRDefault="00916E21" w:rsidP="00916E21">
            <w:pPr>
              <w:spacing w:after="100" w:afterAutospacing="1"/>
              <w:rPr>
                <w:rFonts w:cs="Arial"/>
                <w:color w:val="212122"/>
                <w:sz w:val="22"/>
                <w:szCs w:val="22"/>
                <w:lang w:eastAsia="en-GB"/>
              </w:rPr>
            </w:pP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 xml:space="preserve">Should the council wish the tenant </w:t>
            </w:r>
            <w:r w:rsidR="00333820"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>to leave</w:t>
            </w: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 xml:space="preserve"> at the end of the flexible tenancy, </w:t>
            </w:r>
            <w:r w:rsidR="00333820"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 xml:space="preserve">it will provide the tenant with </w:t>
            </w: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>2 written notices. </w:t>
            </w:r>
          </w:p>
          <w:p w:rsidR="00916E21" w:rsidRPr="00333820" w:rsidRDefault="00916E21" w:rsidP="00916E21">
            <w:pPr>
              <w:spacing w:after="100" w:afterAutospacing="1"/>
              <w:rPr>
                <w:rFonts w:cs="Arial"/>
                <w:color w:val="212122"/>
                <w:sz w:val="22"/>
                <w:szCs w:val="22"/>
                <w:lang w:eastAsia="en-GB"/>
              </w:rPr>
            </w:pP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>1.  A 6-month notice of non-renewal which:</w:t>
            </w:r>
          </w:p>
          <w:p w:rsidR="00916E21" w:rsidRPr="00333820" w:rsidRDefault="00333820" w:rsidP="00916E21">
            <w:pPr>
              <w:numPr>
                <w:ilvl w:val="0"/>
                <w:numId w:val="22"/>
              </w:numPr>
              <w:spacing w:after="120"/>
              <w:rPr>
                <w:rFonts w:cs="Arial"/>
                <w:color w:val="212122"/>
                <w:sz w:val="22"/>
                <w:szCs w:val="22"/>
                <w:lang w:eastAsia="en-GB"/>
              </w:rPr>
            </w:pP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 xml:space="preserve">Informs the tenant why </w:t>
            </w:r>
            <w:r w:rsidR="00916E21"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>the tenancy will not be renewed</w:t>
            </w:r>
          </w:p>
          <w:p w:rsidR="00916E21" w:rsidRPr="00333820" w:rsidRDefault="00916E21" w:rsidP="00916E21">
            <w:pPr>
              <w:numPr>
                <w:ilvl w:val="0"/>
                <w:numId w:val="22"/>
              </w:numPr>
              <w:spacing w:after="120"/>
              <w:rPr>
                <w:rFonts w:cs="Arial"/>
                <w:color w:val="212122"/>
                <w:sz w:val="22"/>
                <w:szCs w:val="22"/>
                <w:lang w:eastAsia="en-GB"/>
              </w:rPr>
            </w:pP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>sets out the reasons why</w:t>
            </w:r>
          </w:p>
          <w:p w:rsidR="00916E21" w:rsidRPr="00333820" w:rsidRDefault="00916E21" w:rsidP="00916E21">
            <w:pPr>
              <w:numPr>
                <w:ilvl w:val="0"/>
                <w:numId w:val="22"/>
              </w:numPr>
              <w:spacing w:after="120"/>
              <w:rPr>
                <w:rFonts w:cs="Arial"/>
                <w:color w:val="212122"/>
                <w:sz w:val="22"/>
                <w:szCs w:val="22"/>
                <w:lang w:eastAsia="en-GB"/>
              </w:rPr>
            </w:pP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 xml:space="preserve">states that </w:t>
            </w:r>
            <w:r w:rsidR="00333820"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>the tenant has</w:t>
            </w: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 xml:space="preserve"> have 21 days to request a review of the decision </w:t>
            </w:r>
          </w:p>
          <w:p w:rsidR="00916E21" w:rsidRPr="00333820" w:rsidRDefault="00916E21" w:rsidP="00916E21">
            <w:pPr>
              <w:spacing w:after="100" w:afterAutospacing="1"/>
              <w:rPr>
                <w:rFonts w:cs="Arial"/>
                <w:color w:val="212122"/>
                <w:sz w:val="22"/>
                <w:szCs w:val="22"/>
                <w:lang w:eastAsia="en-GB"/>
              </w:rPr>
            </w:pPr>
            <w:r w:rsidRPr="00333820">
              <w:rPr>
                <w:rFonts w:cs="Arial"/>
                <w:color w:val="212122"/>
                <w:sz w:val="22"/>
                <w:szCs w:val="22"/>
                <w:lang w:eastAsia="en-GB"/>
              </w:rPr>
              <w:t>2. A 2-month notice stating that the council requires possession.</w:t>
            </w:r>
          </w:p>
          <w:p w:rsidR="00333820" w:rsidRPr="00333820" w:rsidRDefault="00333820" w:rsidP="00916E21">
            <w:pPr>
              <w:spacing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333820">
              <w:rPr>
                <w:rFonts w:cs="Arial"/>
                <w:sz w:val="22"/>
                <w:szCs w:val="22"/>
                <w:lang w:eastAsia="en-GB"/>
              </w:rPr>
              <w:t xml:space="preserve">Should the appeal be unsuccessful </w:t>
            </w:r>
            <w:r w:rsidR="00284A6E" w:rsidRPr="00333820">
              <w:rPr>
                <w:rFonts w:cs="Arial"/>
                <w:sz w:val="22"/>
                <w:szCs w:val="22"/>
                <w:lang w:eastAsia="en-GB"/>
              </w:rPr>
              <w:t>the tenant</w:t>
            </w:r>
            <w:r w:rsidRPr="00333820">
              <w:rPr>
                <w:rFonts w:cs="Arial"/>
                <w:sz w:val="22"/>
                <w:szCs w:val="22"/>
                <w:lang w:eastAsia="en-GB"/>
              </w:rPr>
              <w:t xml:space="preserve"> will be signposted to Kingsley House </w:t>
            </w:r>
            <w:r w:rsidR="00284A6E">
              <w:rPr>
                <w:rFonts w:cs="Arial"/>
                <w:sz w:val="22"/>
                <w:szCs w:val="22"/>
                <w:lang w:eastAsia="en-GB"/>
              </w:rPr>
              <w:t xml:space="preserve">who will </w:t>
            </w:r>
            <w:r w:rsidRPr="00333820">
              <w:rPr>
                <w:rFonts w:cs="Arial"/>
                <w:sz w:val="22"/>
                <w:szCs w:val="22"/>
                <w:lang w:val="en"/>
              </w:rPr>
              <w:t>provide access to housing services locally by working with different agencies and partners.</w:t>
            </w:r>
          </w:p>
          <w:p w:rsidR="006B00F8" w:rsidRPr="00D116F0" w:rsidRDefault="00A079AA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Low </w:t>
            </w:r>
            <w:r w:rsidR="00D116F0" w:rsidRPr="00D116F0">
              <w:rPr>
                <w:sz w:val="22"/>
                <w:szCs w:val="22"/>
                <w:u w:val="single"/>
              </w:rPr>
              <w:t>Income</w:t>
            </w:r>
            <w:r>
              <w:rPr>
                <w:sz w:val="22"/>
                <w:szCs w:val="22"/>
                <w:u w:val="single"/>
              </w:rPr>
              <w:t xml:space="preserve"> Groups</w:t>
            </w:r>
          </w:p>
          <w:p w:rsidR="006B00F8" w:rsidRDefault="006B00F8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A45C4E" w:rsidRDefault="00A079AA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A079AA">
              <w:rPr>
                <w:sz w:val="22"/>
                <w:szCs w:val="22"/>
              </w:rPr>
              <w:t>The Income and Welfare Reform teams provide support, advice and informat</w:t>
            </w:r>
            <w:r>
              <w:rPr>
                <w:sz w:val="22"/>
                <w:szCs w:val="22"/>
              </w:rPr>
              <w:t xml:space="preserve">ion to assist in all aspects of </w:t>
            </w:r>
            <w:r w:rsidRPr="00A079AA">
              <w:rPr>
                <w:sz w:val="22"/>
                <w:szCs w:val="22"/>
              </w:rPr>
              <w:t>financial management. The income officers assist our tenants with mai</w:t>
            </w:r>
            <w:r>
              <w:rPr>
                <w:sz w:val="22"/>
                <w:szCs w:val="22"/>
              </w:rPr>
              <w:t xml:space="preserve">ntaining their rent accounts in </w:t>
            </w:r>
            <w:r w:rsidRPr="00A079AA">
              <w:rPr>
                <w:sz w:val="22"/>
                <w:szCs w:val="22"/>
              </w:rPr>
              <w:t>accordance with the terms of the tenancy. Where appropriate the Inc</w:t>
            </w:r>
            <w:r>
              <w:rPr>
                <w:sz w:val="22"/>
                <w:szCs w:val="22"/>
              </w:rPr>
              <w:t xml:space="preserve">ome Team will refer tenants and </w:t>
            </w:r>
            <w:r w:rsidRPr="00A079AA">
              <w:rPr>
                <w:sz w:val="22"/>
                <w:szCs w:val="22"/>
              </w:rPr>
              <w:t>leaseholders to the Welfare Reform Team where more in-depth financial assistance and budgeting advice</w:t>
            </w:r>
            <w:r w:rsidR="00D977B0">
              <w:rPr>
                <w:sz w:val="22"/>
                <w:szCs w:val="22"/>
              </w:rPr>
              <w:t xml:space="preserve"> </w:t>
            </w:r>
            <w:r w:rsidRPr="00A079AA">
              <w:rPr>
                <w:sz w:val="22"/>
                <w:szCs w:val="22"/>
              </w:rPr>
              <w:t>can be provided.</w:t>
            </w:r>
          </w:p>
          <w:p w:rsidR="00BF325A" w:rsidRDefault="00BF325A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</w:p>
          <w:p w:rsidR="006F7689" w:rsidRDefault="000E1A38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  <w:r w:rsidRPr="00331224">
              <w:rPr>
                <w:sz w:val="22"/>
                <w:szCs w:val="22"/>
                <w:u w:val="single"/>
              </w:rPr>
              <w:t>Disability</w:t>
            </w:r>
            <w:r w:rsidR="00C4044D">
              <w:rPr>
                <w:sz w:val="22"/>
                <w:szCs w:val="22"/>
                <w:u w:val="single"/>
              </w:rPr>
              <w:t xml:space="preserve"> or long term health needs</w:t>
            </w:r>
          </w:p>
          <w:p w:rsidR="000E1A38" w:rsidRDefault="000E1A38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</w:p>
          <w:p w:rsidR="00C4044D" w:rsidRPr="00C4044D" w:rsidRDefault="000E1A38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31224">
              <w:rPr>
                <w:sz w:val="22"/>
                <w:szCs w:val="22"/>
              </w:rPr>
              <w:lastRenderedPageBreak/>
              <w:t xml:space="preserve">The council will use </w:t>
            </w:r>
            <w:r w:rsidR="0060586A">
              <w:rPr>
                <w:sz w:val="22"/>
                <w:szCs w:val="22"/>
              </w:rPr>
              <w:t>information collected as part of the flexible tenancy</w:t>
            </w:r>
            <w:r w:rsidR="00946AE1">
              <w:rPr>
                <w:sz w:val="22"/>
                <w:szCs w:val="22"/>
              </w:rPr>
              <w:t xml:space="preserve"> </w:t>
            </w:r>
            <w:r w:rsidRPr="00331224">
              <w:rPr>
                <w:sz w:val="22"/>
                <w:szCs w:val="22"/>
              </w:rPr>
              <w:t xml:space="preserve">reviews </w:t>
            </w:r>
            <w:r w:rsidR="007E59DA" w:rsidRPr="00331224">
              <w:rPr>
                <w:sz w:val="22"/>
                <w:szCs w:val="22"/>
              </w:rPr>
              <w:t>to ensure</w:t>
            </w:r>
            <w:r w:rsidRPr="00331224">
              <w:rPr>
                <w:sz w:val="22"/>
                <w:szCs w:val="22"/>
              </w:rPr>
              <w:t xml:space="preserve"> that   </w:t>
            </w:r>
            <w:r w:rsidR="00CC400F" w:rsidRPr="00331224">
              <w:rPr>
                <w:sz w:val="22"/>
                <w:szCs w:val="22"/>
              </w:rPr>
              <w:t>disabled tenants’</w:t>
            </w:r>
            <w:r w:rsidR="00C4044D" w:rsidRPr="00331224">
              <w:rPr>
                <w:sz w:val="22"/>
                <w:szCs w:val="22"/>
              </w:rPr>
              <w:t xml:space="preserve"> or those with long term health </w:t>
            </w:r>
            <w:r w:rsidR="00C4044D">
              <w:rPr>
                <w:sz w:val="22"/>
                <w:szCs w:val="22"/>
              </w:rPr>
              <w:t>needs</w:t>
            </w:r>
            <w:r w:rsidR="00296DAB" w:rsidRPr="00C4044D">
              <w:rPr>
                <w:sz w:val="22"/>
                <w:szCs w:val="22"/>
              </w:rPr>
              <w:t>, continuing</w:t>
            </w:r>
            <w:r w:rsidRPr="00C4044D">
              <w:rPr>
                <w:sz w:val="22"/>
                <w:szCs w:val="22"/>
              </w:rPr>
              <w:t xml:space="preserve"> or </w:t>
            </w:r>
            <w:r w:rsidR="00ED7B2B" w:rsidRPr="00C4044D">
              <w:rPr>
                <w:sz w:val="22"/>
                <w:szCs w:val="22"/>
              </w:rPr>
              <w:t>future housing</w:t>
            </w:r>
            <w:r w:rsidRPr="00C4044D">
              <w:rPr>
                <w:sz w:val="22"/>
                <w:szCs w:val="22"/>
              </w:rPr>
              <w:t xml:space="preserve"> needs are adequately met. </w:t>
            </w:r>
            <w:r w:rsidR="00C4044D" w:rsidRPr="00C4044D">
              <w:rPr>
                <w:sz w:val="22"/>
                <w:szCs w:val="22"/>
              </w:rPr>
              <w:t xml:space="preserve">Allowing for the tenant to </w:t>
            </w:r>
            <w:r w:rsidR="0060586A">
              <w:rPr>
                <w:sz w:val="22"/>
                <w:szCs w:val="22"/>
              </w:rPr>
              <w:t>stay in their current home, or move</w:t>
            </w:r>
            <w:r w:rsidR="00C4044D" w:rsidRPr="00C4044D">
              <w:rPr>
                <w:sz w:val="22"/>
                <w:szCs w:val="22"/>
              </w:rPr>
              <w:t xml:space="preserve"> to more suitable accommodation where this is appropriate.</w:t>
            </w:r>
          </w:p>
          <w:p w:rsidR="00C4044D" w:rsidRPr="00C4044D" w:rsidRDefault="00C4044D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0E1A38" w:rsidRDefault="00C4044D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4044D">
              <w:rPr>
                <w:sz w:val="22"/>
                <w:szCs w:val="22"/>
              </w:rPr>
              <w:t>This is may be particularly beneficial for those with access needs who may need to move to adapted accommodation.</w:t>
            </w:r>
          </w:p>
          <w:p w:rsidR="009C5E7C" w:rsidRDefault="009C5E7C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9C5E7C" w:rsidRPr="009C5E7C" w:rsidRDefault="009C5E7C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u w:val="single"/>
              </w:rPr>
            </w:pPr>
            <w:r w:rsidRPr="009C5E7C">
              <w:rPr>
                <w:sz w:val="22"/>
                <w:szCs w:val="22"/>
                <w:u w:val="single"/>
              </w:rPr>
              <w:t>Families</w:t>
            </w:r>
          </w:p>
          <w:p w:rsidR="009C5E7C" w:rsidRDefault="009C5E7C" w:rsidP="00D643D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6B00F8" w:rsidRPr="00DF3C64" w:rsidRDefault="009C5E7C" w:rsidP="008A2C5A">
            <w:pPr>
              <w:rPr>
                <w:sz w:val="22"/>
                <w:szCs w:val="22"/>
              </w:rPr>
            </w:pPr>
            <w:r w:rsidRPr="00443B3B">
              <w:rPr>
                <w:sz w:val="22"/>
                <w:szCs w:val="22"/>
              </w:rPr>
              <w:t>As the primary criteria of a flexible tenancy review are household size and financial status, it is unlikely that families with school age children will not be granted a further tenancy, unless their financial situation has improved to such an extent that they no</w:t>
            </w:r>
            <w:r w:rsidR="008A2C5A">
              <w:rPr>
                <w:sz w:val="22"/>
                <w:szCs w:val="22"/>
              </w:rPr>
              <w:t xml:space="preserve"> longer require social housing.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8A74B1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Action plan</w:t>
            </w:r>
          </w:p>
          <w:p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1A6FCC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60586A" w:rsidRPr="003928B2" w:rsidRDefault="001A6FCC">
            <w:pPr>
              <w:rPr>
                <w:sz w:val="22"/>
                <w:szCs w:val="22"/>
              </w:rPr>
            </w:pPr>
            <w:r w:rsidRPr="007E59DA">
              <w:rPr>
                <w:rFonts w:cs="Arial"/>
                <w:sz w:val="22"/>
                <w:szCs w:val="22"/>
              </w:rPr>
              <w:t xml:space="preserve">Monitor Complaints to </w:t>
            </w:r>
            <w:r w:rsidRPr="007E59DA">
              <w:rPr>
                <w:sz w:val="22"/>
                <w:szCs w:val="22"/>
              </w:rPr>
              <w:t>identify any negati</w:t>
            </w:r>
            <w:r w:rsidRPr="008376D6">
              <w:rPr>
                <w:sz w:val="22"/>
                <w:szCs w:val="22"/>
              </w:rPr>
              <w:t>ve trends with regards to the policy.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3928B2" w:rsidRDefault="001A6FCC" w:rsidP="003928B2">
            <w:pPr>
              <w:jc w:val="center"/>
              <w:rPr>
                <w:rFonts w:cs="Arial"/>
                <w:sz w:val="22"/>
                <w:szCs w:val="22"/>
              </w:rPr>
            </w:pPr>
            <w:r w:rsidRPr="007E59DA">
              <w:rPr>
                <w:rFonts w:cs="Arial"/>
                <w:sz w:val="22"/>
                <w:szCs w:val="22"/>
              </w:rPr>
              <w:t>Housing Manager</w:t>
            </w:r>
          </w:p>
          <w:p w:rsidR="0060586A" w:rsidRPr="007E59DA" w:rsidRDefault="0060586A" w:rsidP="003928B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6FCC" w:rsidRDefault="008A2C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Ongoing</w:t>
            </w:r>
          </w:p>
          <w:p w:rsidR="0060586A" w:rsidRPr="007E59DA" w:rsidRDefault="0060586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6FCC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6FCC" w:rsidRPr="003928B2" w:rsidRDefault="001A6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  <w:r w:rsidR="003928B2">
              <w:rPr>
                <w:sz w:val="22"/>
                <w:szCs w:val="22"/>
              </w:rPr>
              <w:t>Monitor outcomes of flexible tenancy reviews to ensure individual households, or communities, are not being adversely affected.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6FCC" w:rsidRDefault="003928B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Housing Manager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6FCC" w:rsidRDefault="003928B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1A6FCC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1A6FCC" w:rsidRDefault="001A6FCC" w:rsidP="008A74B1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  <w:p w:rsidR="001A6FCC" w:rsidRDefault="001A6FCC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:rsidR="001A6FCC" w:rsidRDefault="001A6FCC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to proceed with the change, implementing the Action Plan if appropriate</w:t>
            </w:r>
          </w:p>
          <w:p w:rsidR="001A6FCC" w:rsidRDefault="001A6FCC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:rsidR="001A6FCC" w:rsidRDefault="001A6FCC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:rsidR="001A6FCC" w:rsidRDefault="001A6FCC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1A6FCC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6FCC" w:rsidRPr="008A2C5A" w:rsidRDefault="001A6FCC">
            <w:pPr>
              <w:rPr>
                <w:sz w:val="22"/>
                <w:szCs w:val="22"/>
              </w:rPr>
            </w:pPr>
            <w:r w:rsidRPr="00F22CE8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p</w:t>
            </w:r>
            <w:r w:rsidRPr="00F22CE8">
              <w:rPr>
                <w:sz w:val="22"/>
                <w:szCs w:val="22"/>
              </w:rPr>
              <w:t>roceed with the implem</w:t>
            </w:r>
            <w:r w:rsidR="008A2C5A">
              <w:rPr>
                <w:sz w:val="22"/>
                <w:szCs w:val="22"/>
              </w:rPr>
              <w:t>entation of the reviewed policy.</w:t>
            </w:r>
          </w:p>
        </w:tc>
      </w:tr>
      <w:tr w:rsidR="001A6FCC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1A6FCC" w:rsidRDefault="001A6FCC" w:rsidP="008A74B1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Authorisation </w:t>
            </w:r>
          </w:p>
          <w:p w:rsidR="001A6FCC" w:rsidRDefault="001A6FCC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:rsidR="001A6FCC" w:rsidRDefault="001A6FCC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:rsidR="001A6FCC" w:rsidRDefault="001A6FCC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:rsidR="001A6FCC" w:rsidRDefault="001A6FCC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the relevant Service Plan and monitored </w:t>
            </w:r>
          </w:p>
        </w:tc>
      </w:tr>
      <w:tr w:rsidR="001A6FCC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1A6FCC" w:rsidRDefault="001A6FC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Authorising Officer</w:t>
            </w:r>
          </w:p>
          <w:p w:rsidR="001A6FCC" w:rsidRDefault="001A6FCC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6FCC" w:rsidRPr="00530FBA" w:rsidRDefault="008A2C5A" w:rsidP="00530FBA">
            <w:pPr>
              <w:rPr>
                <w:rFonts w:eastAsia="Calibri" w:cs="Arial"/>
                <w:color w:val="000000"/>
                <w:lang w:eastAsia="en-GB"/>
              </w:rPr>
            </w:pPr>
            <w:r>
              <w:rPr>
                <w:rFonts w:eastAsia="Calibri" w:cs="Arial"/>
                <w:color w:val="000000"/>
                <w:lang w:eastAsia="en-GB"/>
              </w:rPr>
              <w:t>Mark Breathwick</w:t>
            </w:r>
          </w:p>
          <w:p w:rsidR="001A6FCC" w:rsidRPr="00340B1C" w:rsidRDefault="008A2C5A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Head of Housing</w:t>
            </w:r>
          </w:p>
        </w:tc>
      </w:tr>
      <w:tr w:rsidR="001A6FCC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1A6FCC" w:rsidRDefault="001A6FC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1A6FCC" w:rsidRPr="008A2C5A" w:rsidRDefault="008A2C5A" w:rsidP="008A2C5A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July 2020</w:t>
            </w:r>
          </w:p>
        </w:tc>
      </w:tr>
    </w:tbl>
    <w:p w:rsidR="004D4385" w:rsidRDefault="004D4385">
      <w:pPr>
        <w:rPr>
          <w:rFonts w:cs="Arial"/>
          <w:b/>
          <w:bCs/>
          <w:iCs/>
          <w:sz w:val="16"/>
          <w:szCs w:val="16"/>
        </w:rPr>
      </w:pPr>
    </w:p>
    <w:sectPr w:rsidR="004D4385">
      <w:headerReference w:type="default" r:id="rId8"/>
      <w:footerReference w:type="default" r:id="rId9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23" w:rsidRDefault="007D0E23">
      <w:r>
        <w:separator/>
      </w:r>
    </w:p>
  </w:endnote>
  <w:endnote w:type="continuationSeparator" w:id="0">
    <w:p w:rsidR="007D0E23" w:rsidRDefault="007D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28B2">
      <w:rPr>
        <w:rStyle w:val="PageNumber"/>
        <w:noProof/>
      </w:rPr>
      <w:t>3</w:t>
    </w:r>
    <w:r>
      <w:rPr>
        <w:rStyle w:val="PageNumber"/>
      </w:rPr>
      <w:fldChar w:fldCharType="end"/>
    </w:r>
  </w:p>
  <w:p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23" w:rsidRDefault="007D0E23">
      <w:r>
        <w:separator/>
      </w:r>
    </w:p>
  </w:footnote>
  <w:footnote w:type="continuationSeparator" w:id="0">
    <w:p w:rsidR="007D0E23" w:rsidRDefault="007D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-35.4pt;width:2in;height:87.75pt;z-index:251657728">
          <v:imagedata r:id="rId1" o:title=""/>
          <w10:wrap type="square"/>
        </v:shape>
        <o:OLEObject Type="Embed" ProgID="Word.Picture.8" ShapeID="_x0000_s2049" DrawAspect="Content" ObjectID="_1657523014" r:id="rId2"/>
      </w:object>
    </w:r>
    <w:r>
      <w:rPr>
        <w:b/>
        <w:bCs/>
        <w:sz w:val="44"/>
      </w:rPr>
      <w:t>Diversity</w:t>
    </w:r>
  </w:p>
  <w:p w:rsidR="00FC5588" w:rsidRDefault="00FC5588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impact assessment </w:t>
    </w:r>
  </w:p>
  <w:p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92F07"/>
    <w:multiLevelType w:val="hybridMultilevel"/>
    <w:tmpl w:val="CCAA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C056C59"/>
    <w:multiLevelType w:val="hybridMultilevel"/>
    <w:tmpl w:val="E8CC6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39E50E8"/>
    <w:multiLevelType w:val="multilevel"/>
    <w:tmpl w:val="1E6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5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22"/>
  </w:num>
  <w:num w:numId="14">
    <w:abstractNumId w:val="2"/>
  </w:num>
  <w:num w:numId="15">
    <w:abstractNumId w:val="17"/>
  </w:num>
  <w:num w:numId="16">
    <w:abstractNumId w:val="16"/>
  </w:num>
  <w:num w:numId="17">
    <w:abstractNumId w:val="12"/>
  </w:num>
  <w:num w:numId="18">
    <w:abstractNumId w:val="19"/>
  </w:num>
  <w:num w:numId="19">
    <w:abstractNumId w:val="18"/>
  </w:num>
  <w:num w:numId="20">
    <w:abstractNumId w:val="6"/>
  </w:num>
  <w:num w:numId="21">
    <w:abstractNumId w:val="4"/>
  </w:num>
  <w:num w:numId="22">
    <w:abstractNumId w:val="20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3074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20F25"/>
    <w:rsid w:val="00031054"/>
    <w:rsid w:val="0004164C"/>
    <w:rsid w:val="000516E7"/>
    <w:rsid w:val="00060444"/>
    <w:rsid w:val="000607A3"/>
    <w:rsid w:val="00066E26"/>
    <w:rsid w:val="000755B5"/>
    <w:rsid w:val="00084BE7"/>
    <w:rsid w:val="000D53BB"/>
    <w:rsid w:val="000E1A38"/>
    <w:rsid w:val="000E4044"/>
    <w:rsid w:val="000F712E"/>
    <w:rsid w:val="001038F3"/>
    <w:rsid w:val="00117BC9"/>
    <w:rsid w:val="00124236"/>
    <w:rsid w:val="00127DCA"/>
    <w:rsid w:val="00136E34"/>
    <w:rsid w:val="001456E1"/>
    <w:rsid w:val="0014736F"/>
    <w:rsid w:val="00183266"/>
    <w:rsid w:val="001A23E4"/>
    <w:rsid w:val="001A463F"/>
    <w:rsid w:val="001A4E5B"/>
    <w:rsid w:val="001A6ADF"/>
    <w:rsid w:val="001A6FCC"/>
    <w:rsid w:val="001B0B35"/>
    <w:rsid w:val="001D3AC8"/>
    <w:rsid w:val="002206E8"/>
    <w:rsid w:val="00221BED"/>
    <w:rsid w:val="002270B6"/>
    <w:rsid w:val="0024467D"/>
    <w:rsid w:val="00257B62"/>
    <w:rsid w:val="00267206"/>
    <w:rsid w:val="0027719A"/>
    <w:rsid w:val="00281ED8"/>
    <w:rsid w:val="002826AB"/>
    <w:rsid w:val="00284A6E"/>
    <w:rsid w:val="00286ECE"/>
    <w:rsid w:val="00296DAB"/>
    <w:rsid w:val="002A6511"/>
    <w:rsid w:val="002B0585"/>
    <w:rsid w:val="002C344D"/>
    <w:rsid w:val="002C5E9B"/>
    <w:rsid w:val="00311148"/>
    <w:rsid w:val="003206DA"/>
    <w:rsid w:val="00323D54"/>
    <w:rsid w:val="00331224"/>
    <w:rsid w:val="00333820"/>
    <w:rsid w:val="00334928"/>
    <w:rsid w:val="00340B1C"/>
    <w:rsid w:val="00342B1B"/>
    <w:rsid w:val="00343CEF"/>
    <w:rsid w:val="00352A91"/>
    <w:rsid w:val="003747FB"/>
    <w:rsid w:val="00380909"/>
    <w:rsid w:val="003928B2"/>
    <w:rsid w:val="00393464"/>
    <w:rsid w:val="003B0700"/>
    <w:rsid w:val="003B6478"/>
    <w:rsid w:val="003D64A1"/>
    <w:rsid w:val="003F16BB"/>
    <w:rsid w:val="003F3B6F"/>
    <w:rsid w:val="00416B94"/>
    <w:rsid w:val="00422C8C"/>
    <w:rsid w:val="004304C7"/>
    <w:rsid w:val="00435E08"/>
    <w:rsid w:val="00440EB0"/>
    <w:rsid w:val="004555C9"/>
    <w:rsid w:val="00461867"/>
    <w:rsid w:val="004745CC"/>
    <w:rsid w:val="00487DA7"/>
    <w:rsid w:val="004B0811"/>
    <w:rsid w:val="004B1C33"/>
    <w:rsid w:val="004B771D"/>
    <w:rsid w:val="004C027F"/>
    <w:rsid w:val="004C5F24"/>
    <w:rsid w:val="004D4385"/>
    <w:rsid w:val="004E1A95"/>
    <w:rsid w:val="004E21F1"/>
    <w:rsid w:val="00503624"/>
    <w:rsid w:val="00513522"/>
    <w:rsid w:val="0051370C"/>
    <w:rsid w:val="00515D85"/>
    <w:rsid w:val="00516F2C"/>
    <w:rsid w:val="00520E87"/>
    <w:rsid w:val="00530FBA"/>
    <w:rsid w:val="0053347E"/>
    <w:rsid w:val="00553D38"/>
    <w:rsid w:val="0056463B"/>
    <w:rsid w:val="005673BB"/>
    <w:rsid w:val="00567684"/>
    <w:rsid w:val="0058058B"/>
    <w:rsid w:val="005869E4"/>
    <w:rsid w:val="005B17CD"/>
    <w:rsid w:val="005B502A"/>
    <w:rsid w:val="005D4EEA"/>
    <w:rsid w:val="005F5B5B"/>
    <w:rsid w:val="00604BDB"/>
    <w:rsid w:val="0060586A"/>
    <w:rsid w:val="00666C92"/>
    <w:rsid w:val="00681382"/>
    <w:rsid w:val="00681493"/>
    <w:rsid w:val="006B00F8"/>
    <w:rsid w:val="006F59FB"/>
    <w:rsid w:val="006F7689"/>
    <w:rsid w:val="00703A48"/>
    <w:rsid w:val="007133B5"/>
    <w:rsid w:val="00720CA4"/>
    <w:rsid w:val="0072402C"/>
    <w:rsid w:val="0073676F"/>
    <w:rsid w:val="00760653"/>
    <w:rsid w:val="0077036C"/>
    <w:rsid w:val="00775CD2"/>
    <w:rsid w:val="00793089"/>
    <w:rsid w:val="00794D07"/>
    <w:rsid w:val="007B4631"/>
    <w:rsid w:val="007B5CDB"/>
    <w:rsid w:val="007B67E3"/>
    <w:rsid w:val="007D0E23"/>
    <w:rsid w:val="007E59DA"/>
    <w:rsid w:val="007F4D47"/>
    <w:rsid w:val="008001D0"/>
    <w:rsid w:val="0082353B"/>
    <w:rsid w:val="008376D6"/>
    <w:rsid w:val="00865498"/>
    <w:rsid w:val="00883423"/>
    <w:rsid w:val="008850BC"/>
    <w:rsid w:val="00885E2C"/>
    <w:rsid w:val="00886709"/>
    <w:rsid w:val="0089229A"/>
    <w:rsid w:val="008A0DDF"/>
    <w:rsid w:val="008A2C5A"/>
    <w:rsid w:val="008A74B1"/>
    <w:rsid w:val="008B14F0"/>
    <w:rsid w:val="008B70B6"/>
    <w:rsid w:val="008C10C2"/>
    <w:rsid w:val="008E65A4"/>
    <w:rsid w:val="008E662D"/>
    <w:rsid w:val="008F3510"/>
    <w:rsid w:val="00901DD1"/>
    <w:rsid w:val="009073C1"/>
    <w:rsid w:val="00913B07"/>
    <w:rsid w:val="00916E21"/>
    <w:rsid w:val="00920D48"/>
    <w:rsid w:val="00923ADC"/>
    <w:rsid w:val="00946AE1"/>
    <w:rsid w:val="00960806"/>
    <w:rsid w:val="00991ABB"/>
    <w:rsid w:val="009B4D5B"/>
    <w:rsid w:val="009C5E7C"/>
    <w:rsid w:val="00A079AA"/>
    <w:rsid w:val="00A11FA0"/>
    <w:rsid w:val="00A132C9"/>
    <w:rsid w:val="00A22103"/>
    <w:rsid w:val="00A305E4"/>
    <w:rsid w:val="00A40075"/>
    <w:rsid w:val="00A45C4E"/>
    <w:rsid w:val="00A54739"/>
    <w:rsid w:val="00A568F6"/>
    <w:rsid w:val="00A609A0"/>
    <w:rsid w:val="00A64461"/>
    <w:rsid w:val="00A71A04"/>
    <w:rsid w:val="00A909BE"/>
    <w:rsid w:val="00AB38B4"/>
    <w:rsid w:val="00AD501B"/>
    <w:rsid w:val="00B41FA0"/>
    <w:rsid w:val="00B54686"/>
    <w:rsid w:val="00B71440"/>
    <w:rsid w:val="00B85F1E"/>
    <w:rsid w:val="00B934AA"/>
    <w:rsid w:val="00BB0996"/>
    <w:rsid w:val="00BB14D2"/>
    <w:rsid w:val="00BB4F8C"/>
    <w:rsid w:val="00BD1562"/>
    <w:rsid w:val="00BD2660"/>
    <w:rsid w:val="00BD6F89"/>
    <w:rsid w:val="00BE2ED6"/>
    <w:rsid w:val="00BF2B0A"/>
    <w:rsid w:val="00BF325A"/>
    <w:rsid w:val="00C33DAA"/>
    <w:rsid w:val="00C4044D"/>
    <w:rsid w:val="00C414A3"/>
    <w:rsid w:val="00C4226B"/>
    <w:rsid w:val="00C42D74"/>
    <w:rsid w:val="00C615B7"/>
    <w:rsid w:val="00C64787"/>
    <w:rsid w:val="00CC400F"/>
    <w:rsid w:val="00CE08B9"/>
    <w:rsid w:val="00CE2BDA"/>
    <w:rsid w:val="00CF754B"/>
    <w:rsid w:val="00D03050"/>
    <w:rsid w:val="00D116F0"/>
    <w:rsid w:val="00D33E07"/>
    <w:rsid w:val="00D42BF7"/>
    <w:rsid w:val="00D437C3"/>
    <w:rsid w:val="00D57DD6"/>
    <w:rsid w:val="00D643DE"/>
    <w:rsid w:val="00D7798C"/>
    <w:rsid w:val="00D92D05"/>
    <w:rsid w:val="00D977B0"/>
    <w:rsid w:val="00DC5866"/>
    <w:rsid w:val="00DC66C0"/>
    <w:rsid w:val="00DE369A"/>
    <w:rsid w:val="00DF04E2"/>
    <w:rsid w:val="00DF3C64"/>
    <w:rsid w:val="00E11DD4"/>
    <w:rsid w:val="00E12A20"/>
    <w:rsid w:val="00E34A78"/>
    <w:rsid w:val="00E377A5"/>
    <w:rsid w:val="00E4438E"/>
    <w:rsid w:val="00E66BED"/>
    <w:rsid w:val="00E67087"/>
    <w:rsid w:val="00E67519"/>
    <w:rsid w:val="00E95F4F"/>
    <w:rsid w:val="00E96ADB"/>
    <w:rsid w:val="00EA0ABC"/>
    <w:rsid w:val="00EA1E37"/>
    <w:rsid w:val="00EA70F8"/>
    <w:rsid w:val="00EB4881"/>
    <w:rsid w:val="00ED57E1"/>
    <w:rsid w:val="00ED75E3"/>
    <w:rsid w:val="00ED7B2B"/>
    <w:rsid w:val="00EE725D"/>
    <w:rsid w:val="00F17777"/>
    <w:rsid w:val="00F22CE8"/>
    <w:rsid w:val="00F33C91"/>
    <w:rsid w:val="00F633C0"/>
    <w:rsid w:val="00FA0B98"/>
    <w:rsid w:val="00FB0D61"/>
    <w:rsid w:val="00FB4F75"/>
    <w:rsid w:val="00FB6BF6"/>
    <w:rsid w:val="00FB6D0B"/>
    <w:rsid w:val="00FC5588"/>
    <w:rsid w:val="00FD5329"/>
    <w:rsid w:val="00FE2ECA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9cef3"/>
    </o:shapedefaults>
    <o:shapelayout v:ext="edit">
      <o:idmap v:ext="edit" data="1"/>
    </o:shapelayout>
  </w:shapeDefaults>
  <w:decimalSymbol w:val="."/>
  <w:listSeparator w:val=","/>
  <w14:docId w14:val="272FAE9D"/>
  <w15:chartTrackingRefBased/>
  <w15:docId w15:val="{F50072C6-8F06-487A-8DBD-35D4416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928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034D-A8E4-452B-BCD5-1368DC49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Medway Council</Company>
  <LinksUpToDate>false</LinksUpToDate>
  <CharactersWithSpaces>9890</CharactersWithSpaces>
  <SharedDoc>false</SharedDoc>
  <HLinks>
    <vt:vector size="30" baseType="variant">
      <vt:variant>
        <vt:i4>4980795</vt:i4>
      </vt:variant>
      <vt:variant>
        <vt:i4>12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6815825</vt:i4>
      </vt:variant>
      <vt:variant>
        <vt:i4>9</vt:i4>
      </vt:variant>
      <vt:variant>
        <vt:i4>0</vt:i4>
      </vt:variant>
      <vt:variant>
        <vt:i4>5</vt:i4>
      </vt:variant>
      <vt:variant>
        <vt:lpwstr>mailto:david.whiting@medway.gov.uk</vt:lpwstr>
      </vt:variant>
      <vt:variant>
        <vt:lpwstr/>
      </vt:variant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7667717</vt:i4>
      </vt:variant>
      <vt:variant>
        <vt:i4>3</vt:i4>
      </vt:variant>
      <vt:variant>
        <vt:i4>0</vt:i4>
      </vt:variant>
      <vt:variant>
        <vt:i4>5</vt:i4>
      </vt:variant>
      <vt:variant>
        <vt:lpwstr>mailto:chrismckenzie@medway.gov.uk</vt:lpwstr>
      </vt:variant>
      <vt:variant>
        <vt:lpwstr/>
      </vt:variant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mailto:annamarie.lawrence@medway.gov.uk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cp:lastModifiedBy>aisling sims</cp:lastModifiedBy>
  <cp:revision>2</cp:revision>
  <cp:lastPrinted>2018-11-06T14:35:00Z</cp:lastPrinted>
  <dcterms:created xsi:type="dcterms:W3CDTF">2020-07-29T09:17:00Z</dcterms:created>
  <dcterms:modified xsi:type="dcterms:W3CDTF">2020-07-29T09:17:00Z</dcterms:modified>
</cp:coreProperties>
</file>