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0A" w:rsidRDefault="00BC280A">
      <w:pPr>
        <w:jc w:val="center"/>
        <w:rPr>
          <w:rFonts w:cs="Arial"/>
          <w:bC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37"/>
        <w:gridCol w:w="723"/>
        <w:gridCol w:w="1727"/>
        <w:gridCol w:w="782"/>
        <w:gridCol w:w="946"/>
        <w:gridCol w:w="325"/>
        <w:gridCol w:w="1344"/>
      </w:tblGrid>
      <w:tr w:rsidR="00BC280A" w:rsidTr="00F67417">
        <w:tblPrEx>
          <w:tblCellMar>
            <w:top w:w="0" w:type="dxa"/>
            <w:bottom w:w="0" w:type="dxa"/>
          </w:tblCellMar>
        </w:tblPrEx>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TITLE</w:t>
            </w:r>
          </w:p>
          <w:p w:rsidR="00BC280A" w:rsidRDefault="00BC280A">
            <w:pPr>
              <w:pStyle w:val="Header"/>
              <w:tabs>
                <w:tab w:val="clear" w:pos="4153"/>
                <w:tab w:val="clear" w:pos="8306"/>
              </w:tabs>
              <w:rPr>
                <w:bCs/>
                <w:i/>
                <w:iCs/>
              </w:rPr>
            </w:pPr>
            <w:r>
              <w:rPr>
                <w:rFonts w:cs="Arial"/>
                <w:bCs/>
                <w:i/>
                <w:iCs/>
                <w:sz w:val="20"/>
              </w:rPr>
              <w:t>Name/description of the issue being assessed</w:t>
            </w:r>
          </w:p>
        </w:tc>
        <w:tc>
          <w:tcPr>
            <w:tcW w:w="6384"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C280A" w:rsidRPr="00736950" w:rsidRDefault="001B1488" w:rsidP="00EA31C6">
            <w:pPr>
              <w:pStyle w:val="Header"/>
              <w:tabs>
                <w:tab w:val="clear" w:pos="4153"/>
                <w:tab w:val="clear" w:pos="8306"/>
              </w:tabs>
              <w:rPr>
                <w:bCs/>
                <w:sz w:val="22"/>
                <w:szCs w:val="22"/>
              </w:rPr>
            </w:pPr>
            <w:r>
              <w:rPr>
                <w:bCs/>
                <w:sz w:val="22"/>
                <w:szCs w:val="22"/>
              </w:rPr>
              <w:t xml:space="preserve">Mutual Exchange DIA </w:t>
            </w:r>
          </w:p>
        </w:tc>
      </w:tr>
      <w:tr w:rsidR="00BC280A" w:rsidTr="00F67417">
        <w:tblPrEx>
          <w:tblCellMar>
            <w:top w:w="0" w:type="dxa"/>
            <w:bottom w:w="0" w:type="dxa"/>
          </w:tblCellMar>
        </w:tblPrEx>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 xml:space="preserve">DATE </w:t>
            </w:r>
          </w:p>
          <w:p w:rsidR="00BC280A" w:rsidRDefault="00BC280A">
            <w:pPr>
              <w:pStyle w:val="Header"/>
              <w:tabs>
                <w:tab w:val="clear" w:pos="4153"/>
                <w:tab w:val="clear" w:pos="8306"/>
              </w:tabs>
              <w:rPr>
                <w:bCs/>
                <w:i/>
                <w:iCs/>
              </w:rPr>
            </w:pPr>
            <w:r>
              <w:rPr>
                <w:rFonts w:cs="Arial"/>
                <w:bCs/>
                <w:i/>
                <w:iCs/>
                <w:sz w:val="20"/>
              </w:rPr>
              <w:t>Date the DIA is completed</w:t>
            </w:r>
          </w:p>
        </w:tc>
        <w:tc>
          <w:tcPr>
            <w:tcW w:w="6384"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C280A" w:rsidRPr="00736950" w:rsidRDefault="00D743AF" w:rsidP="00277ED9">
            <w:pPr>
              <w:rPr>
                <w:bCs/>
                <w:sz w:val="22"/>
                <w:szCs w:val="22"/>
              </w:rPr>
            </w:pPr>
            <w:r>
              <w:rPr>
                <w:bCs/>
                <w:sz w:val="22"/>
                <w:szCs w:val="22"/>
              </w:rPr>
              <w:t>25</w:t>
            </w:r>
            <w:r w:rsidRPr="00D743AF">
              <w:rPr>
                <w:bCs/>
                <w:sz w:val="22"/>
                <w:szCs w:val="22"/>
                <w:vertAlign w:val="superscript"/>
              </w:rPr>
              <w:t>th</w:t>
            </w:r>
            <w:r>
              <w:rPr>
                <w:bCs/>
                <w:sz w:val="22"/>
                <w:szCs w:val="22"/>
              </w:rPr>
              <w:t xml:space="preserve"> </w:t>
            </w:r>
            <w:r w:rsidR="00732E5A">
              <w:rPr>
                <w:bCs/>
                <w:sz w:val="22"/>
                <w:szCs w:val="22"/>
              </w:rPr>
              <w:t>September 2019</w:t>
            </w:r>
          </w:p>
        </w:tc>
      </w:tr>
      <w:tr w:rsidR="00BC280A" w:rsidTr="00F67417">
        <w:tblPrEx>
          <w:tblCellMar>
            <w:top w:w="0" w:type="dxa"/>
            <w:bottom w:w="0" w:type="dxa"/>
          </w:tblCellMar>
        </w:tblPrEx>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LEAD OFFICER</w:t>
            </w:r>
          </w:p>
          <w:p w:rsidR="00BC280A" w:rsidRDefault="00BC280A">
            <w:pPr>
              <w:pStyle w:val="Header"/>
              <w:tabs>
                <w:tab w:val="clear" w:pos="4153"/>
                <w:tab w:val="clear" w:pos="8306"/>
              </w:tabs>
              <w:rPr>
                <w:bCs/>
              </w:rPr>
            </w:pPr>
            <w:r w:rsidRPr="001E0429">
              <w:rPr>
                <w:rFonts w:cs="Arial"/>
                <w:bCs/>
                <w:i/>
                <w:iCs/>
                <w:sz w:val="16"/>
              </w:rPr>
              <w:t>Name and title of person responsible for carrying out the DIA</w:t>
            </w:r>
            <w:r w:rsidRPr="001E0429">
              <w:rPr>
                <w:rFonts w:cs="Arial"/>
                <w:bCs/>
                <w:sz w:val="16"/>
              </w:rPr>
              <w:t>.</w:t>
            </w:r>
          </w:p>
        </w:tc>
        <w:tc>
          <w:tcPr>
            <w:tcW w:w="6384"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C280A" w:rsidRPr="00736950" w:rsidRDefault="00732E5A">
            <w:pPr>
              <w:rPr>
                <w:bCs/>
                <w:sz w:val="22"/>
                <w:szCs w:val="22"/>
              </w:rPr>
            </w:pPr>
            <w:r>
              <w:rPr>
                <w:bCs/>
                <w:sz w:val="22"/>
                <w:szCs w:val="22"/>
              </w:rPr>
              <w:t>Aisling Sims – Policy and Partnerships Manager</w:t>
            </w:r>
            <w:r w:rsidR="006C028E">
              <w:rPr>
                <w:bCs/>
                <w:sz w:val="22"/>
                <w:szCs w:val="22"/>
              </w:rPr>
              <w:t xml:space="preserve"> </w:t>
            </w:r>
          </w:p>
        </w:tc>
      </w:tr>
      <w:tr w:rsidR="00BC280A" w:rsidTr="00F67417">
        <w:tblPrEx>
          <w:tblCellMar>
            <w:top w:w="0" w:type="dxa"/>
            <w:bottom w:w="0" w:type="dxa"/>
          </w:tblCellMar>
        </w:tblPrEx>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DC6391">
            <w:pPr>
              <w:pStyle w:val="Header"/>
              <w:numPr>
                <w:ilvl w:val="0"/>
                <w:numId w:val="13"/>
              </w:numPr>
              <w:tabs>
                <w:tab w:val="clear" w:pos="4153"/>
                <w:tab w:val="clear" w:pos="8306"/>
              </w:tabs>
              <w:rPr>
                <w:bCs/>
              </w:rPr>
            </w:pPr>
            <w:r>
              <w:rPr>
                <w:bCs/>
              </w:rPr>
              <w:t>Summary description of the proposed change</w:t>
            </w:r>
          </w:p>
          <w:p w:rsidR="00BC280A" w:rsidRDefault="00BC280A" w:rsidP="00E06D5D">
            <w:pPr>
              <w:pStyle w:val="Header"/>
              <w:numPr>
                <w:ilvl w:val="0"/>
                <w:numId w:val="5"/>
              </w:numPr>
              <w:tabs>
                <w:tab w:val="clear" w:pos="4153"/>
                <w:tab w:val="clear" w:pos="8306"/>
              </w:tabs>
              <w:rPr>
                <w:bCs/>
                <w:i/>
                <w:iCs/>
                <w:sz w:val="20"/>
              </w:rPr>
            </w:pPr>
            <w:r>
              <w:rPr>
                <w:bCs/>
                <w:i/>
                <w:iCs/>
                <w:sz w:val="20"/>
              </w:rPr>
              <w:t>What is the change to policy/service/new project that is being proposed?</w:t>
            </w:r>
          </w:p>
          <w:p w:rsidR="00BC280A" w:rsidRDefault="00BC280A" w:rsidP="00E06D5D">
            <w:pPr>
              <w:pStyle w:val="Header"/>
              <w:numPr>
                <w:ilvl w:val="0"/>
                <w:numId w:val="5"/>
              </w:numPr>
              <w:tabs>
                <w:tab w:val="clear" w:pos="4153"/>
                <w:tab w:val="clear" w:pos="8306"/>
              </w:tabs>
              <w:rPr>
                <w:bCs/>
              </w:rPr>
            </w:pPr>
            <w:r>
              <w:rPr>
                <w:bCs/>
                <w:i/>
                <w:iCs/>
                <w:sz w:val="20"/>
              </w:rPr>
              <w:t>How does it compare with the current situation?</w:t>
            </w:r>
          </w:p>
        </w:tc>
      </w:tr>
      <w:tr w:rsidR="00BC280A" w:rsidTr="00F67417">
        <w:tblPrEx>
          <w:tblCellMar>
            <w:top w:w="0" w:type="dxa"/>
            <w:bottom w:w="0" w:type="dxa"/>
          </w:tblCellMar>
        </w:tblPrEx>
        <w:tc>
          <w:tcPr>
            <w:tcW w:w="847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F05F9B" w:rsidRDefault="00F05F9B" w:rsidP="00F05F9B">
            <w:pPr>
              <w:tabs>
                <w:tab w:val="left" w:pos="709"/>
              </w:tabs>
              <w:autoSpaceDE w:val="0"/>
              <w:autoSpaceDN w:val="0"/>
              <w:adjustRightInd w:val="0"/>
              <w:rPr>
                <w:rFonts w:cs="Arial"/>
                <w:color w:val="000000"/>
                <w:szCs w:val="22"/>
                <w:lang w:val="en"/>
              </w:rPr>
            </w:pPr>
            <w:r>
              <w:rPr>
                <w:rFonts w:cs="Arial"/>
                <w:color w:val="000000"/>
                <w:szCs w:val="22"/>
                <w:lang w:val="en"/>
              </w:rPr>
              <w:t xml:space="preserve">The Mutual Exchange Policy has been updated to fall in line with the Council’s standard complaints procedure and also that in some circumstances applications may be permitted with a leeway of one bedroom – either larger or smaller - than the household is entitled to. The exceptions to this are: </w:t>
            </w:r>
          </w:p>
          <w:p w:rsidR="00F05F9B" w:rsidRDefault="00F05F9B" w:rsidP="00F05F9B">
            <w:pPr>
              <w:pStyle w:val="DefaultParagraphFont"/>
              <w:widowControl w:val="0"/>
              <w:autoSpaceDE w:val="0"/>
              <w:autoSpaceDN w:val="0"/>
              <w:adjustRightInd w:val="0"/>
              <w:spacing w:line="276" w:lineRule="auto"/>
              <w:ind w:left="709"/>
              <w:rPr>
                <w:rFonts w:cs="Arial"/>
              </w:rPr>
            </w:pPr>
            <w:r>
              <w:rPr>
                <w:rFonts w:cs="Arial"/>
              </w:rPr>
              <w:t xml:space="preserve">- </w:t>
            </w:r>
            <w:r w:rsidRPr="00302279">
              <w:rPr>
                <w:rFonts w:cs="Arial"/>
              </w:rPr>
              <w:t>the applicant would be subject to spare room subsidy immediately on moving in</w:t>
            </w:r>
          </w:p>
          <w:p w:rsidR="00F05F9B" w:rsidRDefault="00F05F9B" w:rsidP="00F05F9B">
            <w:pPr>
              <w:pStyle w:val="DefaultParagraphFont"/>
              <w:widowControl w:val="0"/>
              <w:autoSpaceDE w:val="0"/>
              <w:autoSpaceDN w:val="0"/>
              <w:adjustRightInd w:val="0"/>
              <w:spacing w:line="276" w:lineRule="auto"/>
              <w:ind w:left="709"/>
              <w:rPr>
                <w:rFonts w:cs="Arial"/>
              </w:rPr>
            </w:pPr>
            <w:r>
              <w:rPr>
                <w:rFonts w:cs="Arial"/>
              </w:rPr>
              <w:t>– the extent of the accommodation would not be reasonably suitable, for example a couple with a child requesting to exchange into a studio flat.</w:t>
            </w:r>
          </w:p>
          <w:p w:rsidR="00BC4F53" w:rsidRDefault="00BC4F53" w:rsidP="00C97ACD">
            <w:pPr>
              <w:tabs>
                <w:tab w:val="left" w:pos="709"/>
              </w:tabs>
              <w:autoSpaceDE w:val="0"/>
              <w:autoSpaceDN w:val="0"/>
              <w:adjustRightInd w:val="0"/>
              <w:rPr>
                <w:rFonts w:cs="Arial"/>
                <w:color w:val="000000"/>
                <w:szCs w:val="22"/>
                <w:lang w:val="en"/>
              </w:rPr>
            </w:pPr>
          </w:p>
          <w:p w:rsidR="00B52CE5" w:rsidRDefault="00B52CE5" w:rsidP="00C97ACD">
            <w:pPr>
              <w:tabs>
                <w:tab w:val="left" w:pos="709"/>
              </w:tabs>
              <w:autoSpaceDE w:val="0"/>
              <w:autoSpaceDN w:val="0"/>
              <w:adjustRightInd w:val="0"/>
              <w:rPr>
                <w:rFonts w:cs="Arial"/>
                <w:color w:val="000000"/>
                <w:szCs w:val="22"/>
                <w:lang w:val="en"/>
              </w:rPr>
            </w:pPr>
          </w:p>
          <w:p w:rsidR="00B52CE5" w:rsidRPr="00162B49" w:rsidRDefault="00B52CE5" w:rsidP="00C97ACD">
            <w:pPr>
              <w:tabs>
                <w:tab w:val="left" w:pos="709"/>
              </w:tabs>
              <w:autoSpaceDE w:val="0"/>
              <w:autoSpaceDN w:val="0"/>
              <w:adjustRightInd w:val="0"/>
              <w:rPr>
                <w:rFonts w:cs="Arial"/>
                <w:color w:val="000000"/>
                <w:szCs w:val="22"/>
                <w:lang w:val="en"/>
              </w:rPr>
            </w:pPr>
          </w:p>
        </w:tc>
      </w:tr>
      <w:tr w:rsidR="00BC280A" w:rsidTr="00F67417">
        <w:tblPrEx>
          <w:tblCellMar>
            <w:top w:w="0" w:type="dxa"/>
            <w:bottom w:w="0" w:type="dxa"/>
          </w:tblCellMar>
        </w:tblPrEx>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DC6391">
            <w:pPr>
              <w:pStyle w:val="Header"/>
              <w:numPr>
                <w:ilvl w:val="0"/>
                <w:numId w:val="13"/>
              </w:numPr>
              <w:tabs>
                <w:tab w:val="clear" w:pos="4153"/>
                <w:tab w:val="clear" w:pos="8306"/>
              </w:tabs>
            </w:pPr>
            <w:r>
              <w:t xml:space="preserve">Summary of evidence used to support this assessment  </w:t>
            </w:r>
          </w:p>
          <w:p w:rsidR="00BC280A" w:rsidRDefault="00BC280A" w:rsidP="00E06D5D">
            <w:pPr>
              <w:pStyle w:val="Header"/>
              <w:numPr>
                <w:ilvl w:val="0"/>
                <w:numId w:val="2"/>
              </w:numPr>
              <w:tabs>
                <w:tab w:val="clear" w:pos="4153"/>
                <w:tab w:val="clear" w:pos="8306"/>
              </w:tabs>
              <w:rPr>
                <w:i/>
                <w:iCs/>
                <w:sz w:val="20"/>
              </w:rPr>
            </w:pPr>
            <w:r>
              <w:rPr>
                <w:i/>
                <w:iCs/>
                <w:sz w:val="20"/>
              </w:rPr>
              <w:t>Eg: Feedback from consultation, performance information, service user records etc.</w:t>
            </w:r>
          </w:p>
          <w:p w:rsidR="00BC280A" w:rsidRDefault="00BC280A" w:rsidP="00E06D5D">
            <w:pPr>
              <w:pStyle w:val="Header"/>
              <w:numPr>
                <w:ilvl w:val="0"/>
                <w:numId w:val="2"/>
              </w:numPr>
              <w:tabs>
                <w:tab w:val="clear" w:pos="4153"/>
                <w:tab w:val="clear" w:pos="8306"/>
              </w:tabs>
              <w:rPr>
                <w:rFonts w:cs="Arial"/>
              </w:rPr>
            </w:pPr>
            <w:r>
              <w:rPr>
                <w:i/>
                <w:iCs/>
                <w:sz w:val="20"/>
              </w:rPr>
              <w:t>Eg: Comparison of service user profile with Medway Community Profile</w:t>
            </w:r>
            <w:r>
              <w:rPr>
                <w:sz w:val="20"/>
              </w:rPr>
              <w:t xml:space="preserve"> </w:t>
            </w:r>
          </w:p>
        </w:tc>
      </w:tr>
      <w:tr w:rsidR="00BC280A" w:rsidTr="00F67417">
        <w:tblPrEx>
          <w:tblCellMar>
            <w:top w:w="0" w:type="dxa"/>
            <w:bottom w:w="0" w:type="dxa"/>
          </w:tblCellMar>
        </w:tblPrEx>
        <w:tc>
          <w:tcPr>
            <w:tcW w:w="847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F7057" w:rsidRPr="0069549E" w:rsidRDefault="00DF7057" w:rsidP="00E93389"/>
          <w:p w:rsidR="009D58E7" w:rsidRDefault="00741699" w:rsidP="00E93389">
            <w:r>
              <w:t xml:space="preserve">The policy was updated to give more flexibility </w:t>
            </w:r>
            <w:r w:rsidR="009D58E7">
              <w:t xml:space="preserve">to tenants </w:t>
            </w:r>
            <w:r>
              <w:t>and to improve accountability by bringing in line with the council’s standard complaints procedures.</w:t>
            </w:r>
            <w:r w:rsidR="005C539B">
              <w:t xml:space="preserve"> </w:t>
            </w:r>
          </w:p>
          <w:p w:rsidR="00FA5FEB" w:rsidRPr="00145F1E" w:rsidRDefault="00CC7418" w:rsidP="005C539B">
            <w:pPr>
              <w:rPr>
                <w:sz w:val="22"/>
                <w:szCs w:val="22"/>
              </w:rPr>
            </w:pPr>
            <w:r>
              <w:t>During the year 2018/19 there were a total of 20 mutual exchanges and the year before 15 exchanges. During this time there has only been one appeal against a decision, so we would not expect this to significantly affect the number of complaints received.</w:t>
            </w:r>
            <w:bookmarkStart w:id="0" w:name="_GoBack"/>
            <w:bookmarkEnd w:id="0"/>
            <w:r w:rsidR="005C539B" w:rsidRPr="00145F1E">
              <w:rPr>
                <w:sz w:val="22"/>
                <w:szCs w:val="22"/>
              </w:rPr>
              <w:t xml:space="preserve"> </w:t>
            </w:r>
          </w:p>
        </w:tc>
      </w:tr>
      <w:tr w:rsidR="00BC280A" w:rsidTr="00F67417">
        <w:tblPrEx>
          <w:tblCellMar>
            <w:top w:w="0" w:type="dxa"/>
            <w:bottom w:w="0" w:type="dxa"/>
          </w:tblCellMar>
        </w:tblPrEx>
        <w:trPr>
          <w:cantSplit/>
        </w:trPr>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BC280A" w:rsidRDefault="00BC280A" w:rsidP="00DC6391">
            <w:pPr>
              <w:pStyle w:val="Heading2"/>
              <w:numPr>
                <w:ilvl w:val="0"/>
                <w:numId w:val="13"/>
              </w:numPr>
              <w:rPr>
                <w:b w:val="0"/>
                <w:bCs w:val="0"/>
                <w:sz w:val="24"/>
              </w:rPr>
            </w:pPr>
            <w:r>
              <w:rPr>
                <w:b w:val="0"/>
                <w:bCs w:val="0"/>
                <w:sz w:val="24"/>
              </w:rPr>
              <w:t>What is the likely impact of the proposed change?</w:t>
            </w:r>
          </w:p>
          <w:p w:rsidR="00BC280A" w:rsidRDefault="00BC280A">
            <w:pPr>
              <w:pStyle w:val="Header"/>
              <w:tabs>
                <w:tab w:val="clear" w:pos="4153"/>
                <w:tab w:val="clear" w:pos="8306"/>
              </w:tabs>
              <w:rPr>
                <w:i/>
                <w:iCs/>
                <w:sz w:val="20"/>
              </w:rPr>
            </w:pPr>
            <w:r>
              <w:rPr>
                <w:i/>
                <w:iCs/>
                <w:sz w:val="20"/>
              </w:rPr>
              <w:t>Is it likely to :</w:t>
            </w:r>
          </w:p>
          <w:p w:rsidR="00BC280A" w:rsidRDefault="00BC280A" w:rsidP="00E06D5D">
            <w:pPr>
              <w:pStyle w:val="Header"/>
              <w:numPr>
                <w:ilvl w:val="0"/>
                <w:numId w:val="1"/>
              </w:numPr>
              <w:tabs>
                <w:tab w:val="clear" w:pos="4153"/>
                <w:tab w:val="clear" w:pos="8306"/>
              </w:tabs>
              <w:rPr>
                <w:i/>
                <w:iCs/>
                <w:sz w:val="20"/>
              </w:rPr>
            </w:pPr>
            <w:r>
              <w:rPr>
                <w:i/>
                <w:iCs/>
                <w:sz w:val="20"/>
              </w:rPr>
              <w:t xml:space="preserve">Adversely impact on one or more of the protected characteristic groups? </w:t>
            </w:r>
          </w:p>
          <w:p w:rsidR="00BC280A" w:rsidRDefault="00BC280A" w:rsidP="00E06D5D">
            <w:pPr>
              <w:pStyle w:val="Header"/>
              <w:numPr>
                <w:ilvl w:val="0"/>
                <w:numId w:val="1"/>
              </w:numPr>
              <w:tabs>
                <w:tab w:val="clear" w:pos="4153"/>
                <w:tab w:val="clear" w:pos="8306"/>
              </w:tabs>
              <w:rPr>
                <w:i/>
                <w:iCs/>
                <w:sz w:val="20"/>
              </w:rPr>
            </w:pPr>
            <w:r>
              <w:rPr>
                <w:i/>
                <w:iCs/>
                <w:sz w:val="20"/>
              </w:rPr>
              <w:t>Advance equality of opportunity for one or more of the protected characteristic groups?</w:t>
            </w:r>
          </w:p>
          <w:p w:rsidR="00BC280A" w:rsidRPr="00AA2F30" w:rsidRDefault="00BC280A" w:rsidP="00E06D5D">
            <w:pPr>
              <w:pStyle w:val="Header"/>
              <w:numPr>
                <w:ilvl w:val="0"/>
                <w:numId w:val="1"/>
              </w:numPr>
              <w:tabs>
                <w:tab w:val="clear" w:pos="4153"/>
                <w:tab w:val="clear" w:pos="8306"/>
              </w:tabs>
              <w:rPr>
                <w:i/>
                <w:iCs/>
                <w:sz w:val="20"/>
              </w:rPr>
            </w:pPr>
            <w:r>
              <w:rPr>
                <w:i/>
                <w:iCs/>
                <w:sz w:val="20"/>
              </w:rPr>
              <w:t>Foster good relations between people who share a protected characteristic and those who don’t?</w:t>
            </w:r>
            <w:r w:rsidRPr="00AA2F30">
              <w:rPr>
                <w:i/>
                <w:iCs/>
                <w:sz w:val="16"/>
              </w:rPr>
              <w:t xml:space="preserve"> (insert </w:t>
            </w:r>
            <w:r>
              <w:sym w:font="Wingdings" w:char="F0FC"/>
            </w:r>
            <w:r w:rsidRPr="00AA2F30">
              <w:rPr>
                <w:i/>
                <w:iCs/>
                <w:sz w:val="16"/>
              </w:rPr>
              <w:t xml:space="preserve"> in one or more boxes)</w:t>
            </w:r>
          </w:p>
        </w:tc>
      </w:tr>
      <w:tr w:rsidR="00BC280A" w:rsidTr="00F67417">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Protected characteristic groups</w:t>
            </w:r>
          </w:p>
        </w:tc>
        <w:tc>
          <w:tcPr>
            <w:tcW w:w="1727"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Adverse impact</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Advance equality</w:t>
            </w: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Foster good relations</w:t>
            </w:r>
          </w:p>
        </w:tc>
      </w:tr>
      <w:tr w:rsidR="00BC280A" w:rsidTr="00F67417">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lastRenderedPageBreak/>
              <w:t xml:space="preserve">Age </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Disabilty</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sz w:val="40"/>
                <w:lang w:val="en-US"/>
              </w:rPr>
            </w:pPr>
          </w:p>
        </w:tc>
      </w:tr>
      <w:tr w:rsidR="00BC280A" w:rsidTr="00F67417">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sz w:val="22"/>
              </w:rPr>
              <w:t>Gender reassignment</w:t>
            </w:r>
            <w:r>
              <w:rPr>
                <w:rFonts w:cs="Arial"/>
                <w:b/>
                <w:bCs/>
                <w:noProof/>
                <w:sz w:val="22"/>
                <w:lang w:val="en-US"/>
              </w:rPr>
              <w:t xml:space="preserve"> </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blPrEx>
          <w:tblCellMar>
            <w:top w:w="0" w:type="dxa"/>
            <w:bottom w:w="0" w:type="dxa"/>
          </w:tblCellMar>
        </w:tblPrEx>
        <w:trPr>
          <w:trHeight w:val="538"/>
        </w:trPr>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sz w:val="22"/>
              </w:rPr>
              <w:t>Marriage/civil partnership</w:t>
            </w: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Pregnancy/maternity</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CE2EE0">
            <w:pPr>
              <w:rPr>
                <w:rFonts w:cs="Arial"/>
                <w:b/>
                <w:bCs/>
                <w:noProof/>
                <w:sz w:val="22"/>
                <w:lang w:val="en-US"/>
              </w:rPr>
            </w:pPr>
            <w:r>
              <w:rPr>
                <w:rFonts w:cs="Arial"/>
                <w:b/>
                <w:bCs/>
                <w:noProof/>
                <w:sz w:val="22"/>
                <w:lang w:val="en-US"/>
              </w:rPr>
              <w:t>Ethnicity</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ing6"/>
              <w:rPr>
                <w:rFonts w:cs="Arial"/>
              </w:rPr>
            </w:pPr>
            <w:r>
              <w:rPr>
                <w:rFonts w:cs="Arial"/>
              </w:rPr>
              <w:t>Religion/belief</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Sex</w:t>
            </w:r>
          </w:p>
          <w:p w:rsidR="00BC280A" w:rsidRDefault="00BC280A">
            <w:pPr>
              <w:rPr>
                <w:rFonts w:cs="Arial"/>
                <w:b/>
                <w:bCs/>
                <w:sz w:val="22"/>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Sexual orientation</w:t>
            </w:r>
          </w:p>
          <w:p w:rsidR="00BC280A" w:rsidRDefault="00BC280A">
            <w:pPr>
              <w:rPr>
                <w:rFonts w:cs="Arial"/>
                <w:b/>
                <w:bCs/>
                <w:sz w:val="22"/>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669"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rsidTr="00F67417">
        <w:tblPrEx>
          <w:tblCellMar>
            <w:top w:w="0" w:type="dxa"/>
            <w:bottom w:w="0" w:type="dxa"/>
          </w:tblCellMar>
        </w:tblPrEx>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DC6391">
            <w:pPr>
              <w:pStyle w:val="Header"/>
              <w:numPr>
                <w:ilvl w:val="0"/>
                <w:numId w:val="13"/>
              </w:numPr>
              <w:tabs>
                <w:tab w:val="clear" w:pos="4153"/>
                <w:tab w:val="clear" w:pos="8306"/>
              </w:tabs>
            </w:pPr>
            <w:r>
              <w:t xml:space="preserve">Summary of the likely impacts </w:t>
            </w:r>
          </w:p>
          <w:p w:rsidR="00BC280A" w:rsidRDefault="00BC280A" w:rsidP="00E06D5D">
            <w:pPr>
              <w:pStyle w:val="Header"/>
              <w:numPr>
                <w:ilvl w:val="0"/>
                <w:numId w:val="3"/>
              </w:numPr>
              <w:tabs>
                <w:tab w:val="clear" w:pos="4153"/>
                <w:tab w:val="clear" w:pos="8306"/>
              </w:tabs>
              <w:rPr>
                <w:i/>
                <w:iCs/>
                <w:sz w:val="20"/>
              </w:rPr>
            </w:pPr>
            <w:r>
              <w:rPr>
                <w:i/>
                <w:iCs/>
                <w:sz w:val="20"/>
              </w:rPr>
              <w:t>Who will be affected?</w:t>
            </w:r>
          </w:p>
          <w:p w:rsidR="00BC280A" w:rsidRDefault="00BC280A" w:rsidP="00E06D5D">
            <w:pPr>
              <w:pStyle w:val="Header"/>
              <w:numPr>
                <w:ilvl w:val="0"/>
                <w:numId w:val="3"/>
              </w:numPr>
              <w:tabs>
                <w:tab w:val="clear" w:pos="4153"/>
                <w:tab w:val="clear" w:pos="8306"/>
              </w:tabs>
              <w:rPr>
                <w:sz w:val="16"/>
              </w:rPr>
            </w:pPr>
            <w:r>
              <w:rPr>
                <w:i/>
                <w:iCs/>
                <w:sz w:val="20"/>
              </w:rPr>
              <w:t>How will they be affected?</w:t>
            </w:r>
            <w:r>
              <w:rPr>
                <w:sz w:val="20"/>
              </w:rPr>
              <w:t xml:space="preserve"> </w:t>
            </w:r>
          </w:p>
        </w:tc>
      </w:tr>
      <w:tr w:rsidR="00BC280A" w:rsidTr="00F67417">
        <w:tblPrEx>
          <w:tblCellMar>
            <w:top w:w="0" w:type="dxa"/>
            <w:bottom w:w="0" w:type="dxa"/>
          </w:tblCellMar>
        </w:tblPrEx>
        <w:tc>
          <w:tcPr>
            <w:tcW w:w="847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BB282B" w:rsidRPr="00BB282B" w:rsidRDefault="00BB282B" w:rsidP="00BB282B">
            <w:pPr>
              <w:rPr>
                <w:sz w:val="22"/>
                <w:szCs w:val="22"/>
              </w:rPr>
            </w:pPr>
          </w:p>
          <w:p w:rsidR="00BB282B" w:rsidRPr="0069549E" w:rsidRDefault="00BB282B" w:rsidP="00BB282B">
            <w:r w:rsidRPr="0069549E">
              <w:t>This policy will be applied to all residents equally, but whilst not specifically targeted at any protected characteristic it is recognised that some aspects of could adversely</w:t>
            </w:r>
            <w:r w:rsidR="000656A6">
              <w:t xml:space="preserve"> impact on some of the groups e.g. some groups may</w:t>
            </w:r>
            <w:r w:rsidR="0090749E">
              <w:t xml:space="preserve"> be initially be disadvantaged if material is not immediately available in the appropriate format. </w:t>
            </w:r>
          </w:p>
          <w:p w:rsidR="00BB282B" w:rsidRPr="0069549E" w:rsidRDefault="00BB282B" w:rsidP="001B1488"/>
          <w:p w:rsidR="00386D5C" w:rsidRDefault="00386D5C" w:rsidP="0090749E"/>
        </w:tc>
      </w:tr>
      <w:tr w:rsidR="00BC280A" w:rsidTr="00F67417">
        <w:tblPrEx>
          <w:tblCellMar>
            <w:top w:w="0" w:type="dxa"/>
            <w:bottom w:w="0" w:type="dxa"/>
          </w:tblCellMar>
        </w:tblPrEx>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633BEB" w:rsidP="00DC6391">
            <w:pPr>
              <w:pStyle w:val="Header"/>
              <w:numPr>
                <w:ilvl w:val="0"/>
                <w:numId w:val="13"/>
              </w:numPr>
              <w:shd w:val="clear" w:color="auto" w:fill="F2F2F2"/>
              <w:tabs>
                <w:tab w:val="clear" w:pos="4153"/>
                <w:tab w:val="clear" w:pos="8306"/>
              </w:tabs>
            </w:pPr>
            <w:r>
              <w:t>What</w:t>
            </w:r>
            <w:r w:rsidR="00BC280A">
              <w:t xml:space="preserve"> actions can be taken to mitigate likely adverse</w:t>
            </w:r>
            <w:r w:rsidR="00BC280A">
              <w:rPr>
                <w:sz w:val="28"/>
              </w:rPr>
              <w:t xml:space="preserve"> </w:t>
            </w:r>
            <w:r w:rsidR="00BC280A">
              <w:t>impacts, improve equality of opportunity or foster good relations?</w:t>
            </w:r>
          </w:p>
          <w:p w:rsidR="00BC280A" w:rsidRDefault="00BC280A" w:rsidP="00334942">
            <w:pPr>
              <w:pStyle w:val="Header"/>
              <w:numPr>
                <w:ilvl w:val="0"/>
                <w:numId w:val="4"/>
              </w:numPr>
              <w:shd w:val="clear" w:color="auto" w:fill="F2F2F2"/>
              <w:tabs>
                <w:tab w:val="clear" w:pos="4153"/>
                <w:tab w:val="clear" w:pos="8306"/>
              </w:tabs>
              <w:rPr>
                <w:i/>
                <w:iCs/>
                <w:sz w:val="20"/>
              </w:rPr>
            </w:pPr>
            <w:r>
              <w:rPr>
                <w:i/>
                <w:iCs/>
                <w:sz w:val="20"/>
              </w:rPr>
              <w:t>Are there alternative providers?</w:t>
            </w:r>
          </w:p>
          <w:p w:rsidR="00BC280A" w:rsidRDefault="00BC280A" w:rsidP="00334942">
            <w:pPr>
              <w:pStyle w:val="Header"/>
              <w:numPr>
                <w:ilvl w:val="0"/>
                <w:numId w:val="4"/>
              </w:numPr>
              <w:shd w:val="clear" w:color="auto" w:fill="F2F2F2"/>
              <w:tabs>
                <w:tab w:val="clear" w:pos="4153"/>
                <w:tab w:val="clear" w:pos="8306"/>
              </w:tabs>
              <w:rPr>
                <w:i/>
                <w:iCs/>
                <w:sz w:val="20"/>
              </w:rPr>
            </w:pPr>
            <w:r>
              <w:rPr>
                <w:i/>
                <w:iCs/>
                <w:sz w:val="20"/>
              </w:rPr>
              <w:t>What alternative ways can the Council provide the service?</w:t>
            </w:r>
          </w:p>
          <w:p w:rsidR="005C539B" w:rsidRPr="005C539B" w:rsidRDefault="00BC280A" w:rsidP="005C539B">
            <w:pPr>
              <w:pStyle w:val="Header"/>
              <w:numPr>
                <w:ilvl w:val="0"/>
                <w:numId w:val="4"/>
              </w:numPr>
              <w:shd w:val="clear" w:color="auto" w:fill="F2F2F2"/>
              <w:tabs>
                <w:tab w:val="clear" w:pos="4153"/>
                <w:tab w:val="clear" w:pos="8306"/>
              </w:tabs>
            </w:pPr>
            <w:r>
              <w:rPr>
                <w:i/>
                <w:iCs/>
                <w:sz w:val="20"/>
              </w:rPr>
              <w:t>Can demand for services be managed differently?</w:t>
            </w:r>
          </w:p>
          <w:p w:rsidR="00D80B2D" w:rsidRPr="0069549E" w:rsidRDefault="00D80B2D" w:rsidP="005C539B">
            <w:pPr>
              <w:pStyle w:val="Header"/>
              <w:shd w:val="clear" w:color="auto" w:fill="F2F2F2"/>
              <w:tabs>
                <w:tab w:val="clear" w:pos="4153"/>
                <w:tab w:val="clear" w:pos="8306"/>
              </w:tabs>
            </w:pPr>
            <w:r w:rsidRPr="0069549E">
              <w:t>Medway Council hold profiling information of tenants and leaseholders, and will ensure that documentation produced will be in the appropriate format for the resident. Medway Council can offer information translated, Braille or taped versions of the document. In some instances an interpretation service or other person can give the pertinent information in verbal format.</w:t>
            </w:r>
          </w:p>
          <w:p w:rsidR="00BB282B" w:rsidRPr="0069549E" w:rsidRDefault="00BB282B" w:rsidP="00155F2F">
            <w:pPr>
              <w:pStyle w:val="Header"/>
              <w:tabs>
                <w:tab w:val="clear" w:pos="4153"/>
                <w:tab w:val="clear" w:pos="8306"/>
              </w:tabs>
              <w:rPr>
                <w:bCs/>
              </w:rPr>
            </w:pPr>
          </w:p>
          <w:p w:rsidR="009D58E7" w:rsidRDefault="009D58E7" w:rsidP="00155F2F">
            <w:pPr>
              <w:pStyle w:val="Header"/>
              <w:tabs>
                <w:tab w:val="clear" w:pos="4153"/>
                <w:tab w:val="clear" w:pos="8306"/>
              </w:tabs>
              <w:rPr>
                <w:bCs/>
              </w:rPr>
            </w:pPr>
            <w:r>
              <w:rPr>
                <w:bCs/>
              </w:rPr>
              <w:t xml:space="preserve">The revised policy was consulted with residents at the Estate Champion meeting in May 2019. </w:t>
            </w:r>
          </w:p>
          <w:p w:rsidR="00BB282B" w:rsidRDefault="00BB282B" w:rsidP="00CC7418">
            <w:pPr>
              <w:pStyle w:val="Header"/>
              <w:tabs>
                <w:tab w:val="clear" w:pos="4153"/>
                <w:tab w:val="clear" w:pos="8306"/>
              </w:tabs>
              <w:rPr>
                <w:b/>
                <w:bCs/>
              </w:rPr>
            </w:pPr>
          </w:p>
        </w:tc>
      </w:tr>
      <w:tr w:rsidR="00BC280A" w:rsidTr="00F67417">
        <w:tblPrEx>
          <w:tblCellMar>
            <w:top w:w="0" w:type="dxa"/>
            <w:bottom w:w="0" w:type="dxa"/>
          </w:tblCellMar>
        </w:tblPrEx>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Pr="00410849" w:rsidRDefault="00BC280A" w:rsidP="00DC6391">
            <w:pPr>
              <w:pStyle w:val="Heading2"/>
              <w:numPr>
                <w:ilvl w:val="0"/>
                <w:numId w:val="13"/>
              </w:numPr>
              <w:rPr>
                <w:bCs w:val="0"/>
                <w:sz w:val="24"/>
              </w:rPr>
            </w:pPr>
            <w:r w:rsidRPr="00410849">
              <w:rPr>
                <w:bCs w:val="0"/>
                <w:sz w:val="24"/>
              </w:rPr>
              <w:lastRenderedPageBreak/>
              <w:t>Action plan</w:t>
            </w:r>
          </w:p>
          <w:p w:rsidR="00BC280A" w:rsidRDefault="00BC280A" w:rsidP="00E06D5D">
            <w:pPr>
              <w:numPr>
                <w:ilvl w:val="0"/>
                <w:numId w:val="4"/>
              </w:numPr>
              <w:rPr>
                <w:rFonts w:cs="Arial"/>
                <w:b/>
                <w:bCs/>
                <w:i/>
                <w:iCs/>
                <w:sz w:val="20"/>
              </w:rPr>
            </w:pPr>
            <w:r>
              <w:rPr>
                <w:i/>
                <w:iCs/>
                <w:sz w:val="20"/>
              </w:rPr>
              <w:t>Actions to mitigate adverse impact, improve equality of opportunity or foster good relations and/or obtain new evidence</w:t>
            </w:r>
          </w:p>
        </w:tc>
      </w:tr>
      <w:tr w:rsidR="00BC280A" w:rsidTr="00F67417">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BC280A" w:rsidRPr="0069549E" w:rsidRDefault="0044067B" w:rsidP="009638EE">
            <w:pPr>
              <w:rPr>
                <w:rFonts w:cs="Arial"/>
                <w:bCs/>
              </w:rPr>
            </w:pPr>
            <w:r>
              <w:rPr>
                <w:rFonts w:cs="Arial"/>
              </w:rPr>
              <w:t>Monitor the number of complaints made around mutual exchange decisions</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69549E" w:rsidRDefault="00515C78">
            <w:pPr>
              <w:jc w:val="center"/>
              <w:rPr>
                <w:rFonts w:cs="Arial"/>
                <w:bCs/>
              </w:rPr>
            </w:pPr>
            <w:r w:rsidRPr="0069549E">
              <w:rPr>
                <w:rFonts w:cs="Arial"/>
                <w:bCs/>
              </w:rPr>
              <w:t xml:space="preserve">Housing Manager  </w:t>
            </w:r>
          </w:p>
        </w:tc>
        <w:tc>
          <w:tcPr>
            <w:tcW w:w="1344"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69549E" w:rsidRDefault="0069549E">
            <w:pPr>
              <w:jc w:val="center"/>
              <w:rPr>
                <w:rFonts w:cs="Arial"/>
                <w:bCs/>
              </w:rPr>
            </w:pPr>
            <w:r w:rsidRPr="0069549E">
              <w:rPr>
                <w:rFonts w:cs="Arial"/>
                <w:bCs/>
              </w:rPr>
              <w:t>April  20</w:t>
            </w:r>
            <w:r w:rsidR="00E96C2A">
              <w:rPr>
                <w:rFonts w:cs="Arial"/>
                <w:bCs/>
              </w:rPr>
              <w:t>20</w:t>
            </w:r>
          </w:p>
        </w:tc>
      </w:tr>
      <w:tr w:rsidR="0044067B" w:rsidTr="00F67417">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4067B" w:rsidRPr="00F563C9" w:rsidRDefault="0044067B" w:rsidP="00F563C9">
            <w:pPr>
              <w:rPr>
                <w:bCs/>
                <w:szCs w:val="22"/>
              </w:rPr>
            </w:pPr>
            <w:r w:rsidRPr="00F563C9">
              <w:rPr>
                <w:rFonts w:cs="Arial"/>
                <w:bCs/>
                <w:szCs w:val="22"/>
              </w:rPr>
              <w:t>Monitor the number of mutual exchanges</w:t>
            </w:r>
            <w:r w:rsidR="00F563C9" w:rsidRPr="00F563C9">
              <w:rPr>
                <w:rFonts w:cs="Arial"/>
                <w:bCs/>
                <w:szCs w:val="22"/>
              </w:rPr>
              <w:t>, applied for and completed</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4067B" w:rsidRPr="00225007" w:rsidRDefault="0044067B" w:rsidP="0044067B">
            <w:pPr>
              <w:jc w:val="center"/>
              <w:rPr>
                <w:rFonts w:cs="Arial"/>
                <w:bCs/>
                <w:sz w:val="22"/>
                <w:szCs w:val="22"/>
              </w:rPr>
            </w:pPr>
            <w:r w:rsidRPr="00302279">
              <w:rPr>
                <w:rFonts w:cs="Arial"/>
                <w:bCs/>
                <w:sz w:val="18"/>
                <w:szCs w:val="22"/>
              </w:rPr>
              <w:t>Policy and Partnerships team</w:t>
            </w:r>
          </w:p>
        </w:tc>
        <w:tc>
          <w:tcPr>
            <w:tcW w:w="1344" w:type="dxa"/>
            <w:tcBorders>
              <w:top w:val="single" w:sz="48" w:space="0" w:color="FFFFFF"/>
              <w:left w:val="single" w:sz="48" w:space="0" w:color="FFFFFF"/>
              <w:bottom w:val="single" w:sz="48" w:space="0" w:color="FFFFFF"/>
              <w:right w:val="single" w:sz="48" w:space="0" w:color="FFFFFF"/>
            </w:tcBorders>
            <w:shd w:val="clear" w:color="auto" w:fill="F3F3F3"/>
          </w:tcPr>
          <w:p w:rsidR="0044067B" w:rsidRPr="00225007" w:rsidRDefault="0044067B" w:rsidP="0044067B">
            <w:pPr>
              <w:jc w:val="center"/>
              <w:rPr>
                <w:rFonts w:cs="Arial"/>
                <w:bCs/>
                <w:sz w:val="22"/>
                <w:szCs w:val="22"/>
              </w:rPr>
            </w:pPr>
            <w:r>
              <w:rPr>
                <w:rFonts w:cs="Arial"/>
                <w:bCs/>
                <w:sz w:val="22"/>
                <w:szCs w:val="22"/>
              </w:rPr>
              <w:t>April 2020</w:t>
            </w:r>
          </w:p>
        </w:tc>
      </w:tr>
      <w:tr w:rsidR="0044067B" w:rsidTr="00F67417">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4067B" w:rsidRPr="00F7165C" w:rsidRDefault="0044067B" w:rsidP="0044067B">
            <w:pPr>
              <w:rPr>
                <w:sz w:val="22"/>
                <w:szCs w:val="22"/>
              </w:rPr>
            </w:pP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4067B" w:rsidRPr="00F7165C" w:rsidRDefault="0044067B" w:rsidP="0044067B">
            <w:pPr>
              <w:jc w:val="center"/>
              <w:rPr>
                <w:rFonts w:cs="Arial"/>
                <w:bCs/>
                <w:sz w:val="22"/>
                <w:szCs w:val="22"/>
              </w:rPr>
            </w:pPr>
          </w:p>
        </w:tc>
        <w:tc>
          <w:tcPr>
            <w:tcW w:w="1344" w:type="dxa"/>
            <w:tcBorders>
              <w:top w:val="single" w:sz="48" w:space="0" w:color="FFFFFF"/>
              <w:left w:val="single" w:sz="48" w:space="0" w:color="FFFFFF"/>
              <w:bottom w:val="single" w:sz="48" w:space="0" w:color="FFFFFF"/>
              <w:right w:val="single" w:sz="48" w:space="0" w:color="FFFFFF"/>
            </w:tcBorders>
            <w:shd w:val="clear" w:color="auto" w:fill="F3F3F3"/>
          </w:tcPr>
          <w:p w:rsidR="0044067B" w:rsidRPr="00F7165C" w:rsidRDefault="0044067B" w:rsidP="0044067B">
            <w:pPr>
              <w:jc w:val="center"/>
              <w:rPr>
                <w:rFonts w:cs="Arial"/>
                <w:bCs/>
                <w:sz w:val="22"/>
                <w:szCs w:val="22"/>
              </w:rPr>
            </w:pPr>
          </w:p>
        </w:tc>
      </w:tr>
      <w:tr w:rsidR="0044067B" w:rsidTr="00F67417">
        <w:tblPrEx>
          <w:tblCellMar>
            <w:top w:w="0" w:type="dxa"/>
            <w:bottom w:w="0" w:type="dxa"/>
          </w:tblCellMar>
        </w:tblPrEx>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4067B" w:rsidRPr="00F92ADC" w:rsidRDefault="0044067B" w:rsidP="00DC6391">
            <w:pPr>
              <w:pStyle w:val="Heading2"/>
              <w:numPr>
                <w:ilvl w:val="0"/>
                <w:numId w:val="13"/>
              </w:numPr>
              <w:rPr>
                <w:sz w:val="24"/>
              </w:rPr>
            </w:pPr>
            <w:r>
              <w:rPr>
                <w:i/>
                <w:iCs/>
                <w:sz w:val="20"/>
              </w:rPr>
              <w:t>The recommendation by the lead officer should be stated below. This may be:</w:t>
            </w:r>
          </w:p>
          <w:p w:rsidR="0044067B" w:rsidRDefault="0044067B" w:rsidP="0044067B">
            <w:pPr>
              <w:pStyle w:val="Header"/>
              <w:numPr>
                <w:ilvl w:val="0"/>
                <w:numId w:val="5"/>
              </w:numPr>
              <w:tabs>
                <w:tab w:val="clear" w:pos="4153"/>
                <w:tab w:val="clear" w:pos="8306"/>
              </w:tabs>
              <w:rPr>
                <w:i/>
                <w:iCs/>
                <w:sz w:val="20"/>
              </w:rPr>
            </w:pPr>
            <w:r>
              <w:rPr>
                <w:i/>
                <w:iCs/>
                <w:sz w:val="20"/>
              </w:rPr>
              <w:t>to proceed with the change, implementing action plan if appropriate</w:t>
            </w:r>
          </w:p>
          <w:p w:rsidR="0044067B" w:rsidRDefault="0044067B" w:rsidP="0044067B">
            <w:pPr>
              <w:pStyle w:val="Header"/>
              <w:numPr>
                <w:ilvl w:val="0"/>
                <w:numId w:val="5"/>
              </w:numPr>
              <w:tabs>
                <w:tab w:val="clear" w:pos="4153"/>
                <w:tab w:val="clear" w:pos="8306"/>
              </w:tabs>
              <w:rPr>
                <w:i/>
                <w:iCs/>
                <w:sz w:val="20"/>
              </w:rPr>
            </w:pPr>
            <w:r>
              <w:rPr>
                <w:i/>
                <w:iCs/>
                <w:sz w:val="20"/>
              </w:rPr>
              <w:t>consider alternatives</w:t>
            </w:r>
          </w:p>
          <w:p w:rsidR="0044067B" w:rsidRDefault="0044067B" w:rsidP="0044067B">
            <w:pPr>
              <w:pStyle w:val="Header"/>
              <w:numPr>
                <w:ilvl w:val="0"/>
                <w:numId w:val="5"/>
              </w:numPr>
              <w:tabs>
                <w:tab w:val="clear" w:pos="4153"/>
                <w:tab w:val="clear" w:pos="8306"/>
              </w:tabs>
              <w:rPr>
                <w:i/>
                <w:iCs/>
                <w:sz w:val="20"/>
              </w:rPr>
            </w:pPr>
            <w:r>
              <w:rPr>
                <w:i/>
                <w:iCs/>
                <w:sz w:val="20"/>
              </w:rPr>
              <w:t>gather further evidence</w:t>
            </w:r>
          </w:p>
          <w:p w:rsidR="0044067B" w:rsidRDefault="0044067B" w:rsidP="0044067B">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4067B" w:rsidTr="00F67417">
        <w:tblPrEx>
          <w:tblCellMar>
            <w:top w:w="0" w:type="dxa"/>
            <w:bottom w:w="0" w:type="dxa"/>
          </w:tblCellMar>
        </w:tblPrEx>
        <w:trPr>
          <w:cantSplit/>
        </w:trPr>
        <w:tc>
          <w:tcPr>
            <w:tcW w:w="847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4067B" w:rsidRPr="003E4D9A" w:rsidRDefault="0044067B" w:rsidP="0044067B">
            <w:pPr>
              <w:rPr>
                <w:sz w:val="22"/>
                <w:szCs w:val="22"/>
              </w:rPr>
            </w:pPr>
            <w:r w:rsidRPr="008B2434">
              <w:rPr>
                <w:sz w:val="22"/>
                <w:szCs w:val="22"/>
              </w:rPr>
              <w:t>To proceed with the implementation of the</w:t>
            </w:r>
            <w:r>
              <w:rPr>
                <w:sz w:val="22"/>
                <w:szCs w:val="22"/>
              </w:rPr>
              <w:t xml:space="preserve"> </w:t>
            </w:r>
            <w:r w:rsidR="000627CB">
              <w:rPr>
                <w:sz w:val="22"/>
                <w:szCs w:val="22"/>
              </w:rPr>
              <w:t xml:space="preserve">revised </w:t>
            </w:r>
            <w:r>
              <w:rPr>
                <w:sz w:val="22"/>
                <w:szCs w:val="22"/>
              </w:rPr>
              <w:t xml:space="preserve">Mutual Exchange Policy. </w:t>
            </w:r>
          </w:p>
          <w:p w:rsidR="0044067B" w:rsidRDefault="0044067B" w:rsidP="0044067B"/>
        </w:tc>
      </w:tr>
      <w:tr w:rsidR="0044067B" w:rsidTr="00F67417">
        <w:tblPrEx>
          <w:tblCellMar>
            <w:top w:w="0" w:type="dxa"/>
            <w:bottom w:w="0" w:type="dxa"/>
          </w:tblCellMar>
        </w:tblPrEx>
        <w:tc>
          <w:tcPr>
            <w:tcW w:w="847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4067B" w:rsidRDefault="0044067B" w:rsidP="00DC6391">
            <w:pPr>
              <w:pStyle w:val="Heading2"/>
              <w:numPr>
                <w:ilvl w:val="0"/>
                <w:numId w:val="13"/>
              </w:numPr>
              <w:rPr>
                <w:sz w:val="24"/>
              </w:rPr>
            </w:pPr>
            <w:r>
              <w:rPr>
                <w:sz w:val="24"/>
              </w:rPr>
              <w:t>A</w:t>
            </w:r>
            <w:r w:rsidRPr="009041F9">
              <w:rPr>
                <w:sz w:val="24"/>
              </w:rPr>
              <w:t xml:space="preserve">uthorisation </w:t>
            </w:r>
          </w:p>
          <w:p w:rsidR="0044067B" w:rsidRDefault="0044067B" w:rsidP="0044067B">
            <w:pPr>
              <w:pStyle w:val="Header"/>
              <w:tabs>
                <w:tab w:val="clear" w:pos="4153"/>
                <w:tab w:val="clear" w:pos="8306"/>
              </w:tabs>
              <w:rPr>
                <w:i/>
                <w:iCs/>
                <w:sz w:val="20"/>
              </w:rPr>
            </w:pPr>
            <w:r>
              <w:rPr>
                <w:i/>
                <w:iCs/>
                <w:sz w:val="20"/>
              </w:rPr>
              <w:t>The authorising officer is consenting that:</w:t>
            </w:r>
          </w:p>
          <w:p w:rsidR="0044067B" w:rsidRDefault="0044067B" w:rsidP="0044067B">
            <w:pPr>
              <w:pStyle w:val="Header"/>
              <w:numPr>
                <w:ilvl w:val="0"/>
                <w:numId w:val="7"/>
              </w:numPr>
              <w:tabs>
                <w:tab w:val="clear" w:pos="4153"/>
                <w:tab w:val="clear" w:pos="8306"/>
              </w:tabs>
              <w:rPr>
                <w:i/>
                <w:iCs/>
                <w:sz w:val="20"/>
              </w:rPr>
            </w:pPr>
            <w:r>
              <w:rPr>
                <w:i/>
                <w:iCs/>
                <w:sz w:val="20"/>
              </w:rPr>
              <w:t>the recommendation can be implemented</w:t>
            </w:r>
          </w:p>
          <w:p w:rsidR="0044067B" w:rsidRDefault="0044067B" w:rsidP="0044067B">
            <w:pPr>
              <w:pStyle w:val="Header"/>
              <w:numPr>
                <w:ilvl w:val="0"/>
                <w:numId w:val="6"/>
              </w:numPr>
              <w:tabs>
                <w:tab w:val="clear" w:pos="4153"/>
                <w:tab w:val="clear" w:pos="8306"/>
              </w:tabs>
              <w:rPr>
                <w:i/>
                <w:iCs/>
                <w:sz w:val="20"/>
              </w:rPr>
            </w:pPr>
            <w:r>
              <w:rPr>
                <w:i/>
                <w:iCs/>
                <w:sz w:val="20"/>
              </w:rPr>
              <w:t>sufficient evidence has been obtained and appropriate mitigation is planned</w:t>
            </w:r>
          </w:p>
          <w:p w:rsidR="0044067B" w:rsidRDefault="0044067B" w:rsidP="0044067B">
            <w:pPr>
              <w:numPr>
                <w:ilvl w:val="0"/>
                <w:numId w:val="6"/>
              </w:numPr>
              <w:rPr>
                <w:rFonts w:cs="Arial"/>
                <w:b/>
                <w:bCs/>
                <w:sz w:val="20"/>
                <w:szCs w:val="20"/>
              </w:rPr>
            </w:pPr>
            <w:r>
              <w:rPr>
                <w:i/>
                <w:iCs/>
                <w:sz w:val="20"/>
              </w:rPr>
              <w:t xml:space="preserve">the Action Plan will be incorporated into service plan and monitored </w:t>
            </w:r>
          </w:p>
        </w:tc>
      </w:tr>
      <w:tr w:rsidR="0044067B" w:rsidTr="00F67417">
        <w:tblPrEx>
          <w:tblCellMar>
            <w:top w:w="0" w:type="dxa"/>
            <w:bottom w:w="0" w:type="dxa"/>
          </w:tblCellMar>
        </w:tblPrEx>
        <w:tc>
          <w:tcPr>
            <w:tcW w:w="2625"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4067B" w:rsidRDefault="0044067B" w:rsidP="0044067B">
            <w:pPr>
              <w:rPr>
                <w:rFonts w:cs="Arial"/>
              </w:rPr>
            </w:pPr>
            <w:r>
              <w:rPr>
                <w:rFonts w:cs="Arial"/>
              </w:rPr>
              <w:t>Authorising Officer</w:t>
            </w:r>
          </w:p>
          <w:p w:rsidR="0044067B" w:rsidRDefault="0044067B" w:rsidP="0044067B">
            <w:pPr>
              <w:rPr>
                <w:rFonts w:cs="Arial"/>
              </w:rPr>
            </w:pPr>
          </w:p>
          <w:p w:rsidR="0044067B" w:rsidRDefault="0044067B" w:rsidP="0044067B">
            <w:pPr>
              <w:rPr>
                <w:rFonts w:cs="Arial"/>
              </w:rPr>
            </w:pPr>
          </w:p>
        </w:tc>
        <w:tc>
          <w:tcPr>
            <w:tcW w:w="5847"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44067B" w:rsidRPr="00393E97" w:rsidRDefault="0044067B" w:rsidP="0044067B">
            <w:pPr>
              <w:rPr>
                <w:rFonts w:cs="Arial"/>
                <w:bCs/>
              </w:rPr>
            </w:pPr>
            <w:r>
              <w:rPr>
                <w:rFonts w:cs="Arial"/>
                <w:bCs/>
              </w:rPr>
              <w:t>Mark Breathwick</w:t>
            </w:r>
          </w:p>
          <w:p w:rsidR="0044067B" w:rsidRPr="00B97BE3" w:rsidRDefault="0044067B" w:rsidP="0044067B">
            <w:pPr>
              <w:rPr>
                <w:rFonts w:cs="Arial"/>
                <w:b/>
                <w:color w:val="000000"/>
                <w:lang w:eastAsia="en-GB"/>
              </w:rPr>
            </w:pPr>
            <w:r w:rsidRPr="00393E97">
              <w:rPr>
                <w:rFonts w:cs="Arial"/>
                <w:color w:val="000000"/>
                <w:lang w:eastAsia="en-GB"/>
              </w:rPr>
              <w:t>Head of Housing Management</w:t>
            </w:r>
          </w:p>
        </w:tc>
      </w:tr>
      <w:tr w:rsidR="0044067B" w:rsidTr="00F67417">
        <w:tblPrEx>
          <w:tblCellMar>
            <w:top w:w="0" w:type="dxa"/>
            <w:bottom w:w="0" w:type="dxa"/>
          </w:tblCellMar>
        </w:tblPrEx>
        <w:tc>
          <w:tcPr>
            <w:tcW w:w="2625"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4067B" w:rsidRDefault="0044067B" w:rsidP="0044067B">
            <w:pPr>
              <w:rPr>
                <w:rFonts w:cs="Arial"/>
              </w:rPr>
            </w:pPr>
            <w:r>
              <w:rPr>
                <w:rFonts w:cs="Arial"/>
              </w:rPr>
              <w:t xml:space="preserve">Date </w:t>
            </w:r>
          </w:p>
        </w:tc>
        <w:tc>
          <w:tcPr>
            <w:tcW w:w="5847"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44067B" w:rsidRDefault="00140FBE" w:rsidP="0044067B">
            <w:pPr>
              <w:rPr>
                <w:rFonts w:cs="Arial"/>
                <w:b/>
                <w:bCs/>
              </w:rPr>
            </w:pPr>
            <w:r>
              <w:rPr>
                <w:rFonts w:cs="Arial"/>
                <w:b/>
                <w:bCs/>
              </w:rPr>
              <w:t>October</w:t>
            </w:r>
            <w:r w:rsidR="0090749E">
              <w:rPr>
                <w:rFonts w:cs="Arial"/>
                <w:b/>
                <w:bCs/>
              </w:rPr>
              <w:t xml:space="preserve"> 2019</w:t>
            </w:r>
          </w:p>
        </w:tc>
      </w:tr>
    </w:tbl>
    <w:p w:rsidR="00BC280A" w:rsidRPr="00D26AAC" w:rsidRDefault="00BC280A">
      <w:pPr>
        <w:rPr>
          <w:rFonts w:cs="Arial"/>
          <w:b/>
          <w:bCs/>
          <w:iCs/>
          <w:sz w:val="16"/>
          <w:szCs w:val="16"/>
        </w:rPr>
      </w:pPr>
    </w:p>
    <w:sectPr w:rsidR="00BC280A" w:rsidRPr="00D26AAC" w:rsidSect="00AA2F30">
      <w:headerReference w:type="default" r:id="rId8"/>
      <w:footerReference w:type="default" r:id="rId9"/>
      <w:type w:val="continuous"/>
      <w:pgSz w:w="11906" w:h="16838"/>
      <w:pgMar w:top="1985" w:right="1797" w:bottom="899" w:left="1797" w:header="709"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DA" w:rsidRDefault="00FB11DA">
      <w:r>
        <w:separator/>
      </w:r>
    </w:p>
  </w:endnote>
  <w:endnote w:type="continuationSeparator" w:id="0">
    <w:p w:rsidR="00FB11DA" w:rsidRDefault="00FB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0A" w:rsidRPr="00DC6391" w:rsidRDefault="00BC280A" w:rsidP="00DC6391">
    <w:pPr>
      <w:pStyle w:val="Footer"/>
      <w:jc w:val="center"/>
    </w:pPr>
    <w:r>
      <w:rPr>
        <w:rStyle w:val="PageNumber"/>
      </w:rPr>
      <w:fldChar w:fldCharType="begin"/>
    </w:r>
    <w:r>
      <w:rPr>
        <w:rStyle w:val="PageNumber"/>
      </w:rPr>
      <w:instrText xml:space="preserve"> PAGE </w:instrText>
    </w:r>
    <w:r>
      <w:rPr>
        <w:rStyle w:val="PageNumber"/>
      </w:rPr>
      <w:fldChar w:fldCharType="separate"/>
    </w:r>
    <w:r w:rsidR="005C539B">
      <w:rPr>
        <w:rStyle w:val="PageNumber"/>
        <w:noProof/>
      </w:rPr>
      <w:t>2</w:t>
    </w:r>
    <w:r>
      <w:rPr>
        <w:rStyle w:val="PageNumber"/>
      </w:rPr>
      <w:fldChar w:fldCharType="end"/>
    </w:r>
  </w:p>
  <w:p w:rsidR="00BC280A" w:rsidRDefault="00BC28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DA" w:rsidRDefault="00FB11DA">
      <w:r>
        <w:separator/>
      </w:r>
    </w:p>
  </w:footnote>
  <w:footnote w:type="continuationSeparator" w:id="0">
    <w:p w:rsidR="00FB11DA" w:rsidRDefault="00FB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0A" w:rsidRDefault="00BC280A">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6912750" r:id="rId2"/>
      </w:object>
    </w:r>
    <w:r>
      <w:rPr>
        <w:b/>
        <w:bCs/>
        <w:sz w:val="44"/>
      </w:rPr>
      <w:t>Diversity</w:t>
    </w:r>
  </w:p>
  <w:p w:rsidR="00BC280A" w:rsidRDefault="00BC280A">
    <w:pPr>
      <w:pStyle w:val="Header"/>
      <w:jc w:val="center"/>
      <w:rPr>
        <w:b/>
        <w:bCs/>
        <w:sz w:val="36"/>
      </w:rPr>
    </w:pPr>
    <w:r>
      <w:rPr>
        <w:b/>
        <w:bCs/>
        <w:sz w:val="44"/>
      </w:rPr>
      <w:t xml:space="preserve"> impact assessment </w:t>
    </w:r>
  </w:p>
  <w:p w:rsidR="00BC280A" w:rsidRDefault="00BC280A">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0619A"/>
    <w:multiLevelType w:val="multilevel"/>
    <w:tmpl w:val="B0462222"/>
    <w:lvl w:ilvl="0">
      <w:start w:val="1"/>
      <w:numFmt w:val="decimal"/>
      <w:lvlText w:val="%1."/>
      <w:lvlJc w:val="left"/>
      <w:pPr>
        <w:ind w:left="481" w:hanging="360"/>
      </w:pPr>
    </w:lvl>
    <w:lvl w:ilvl="1">
      <w:start w:val="1"/>
      <w:numFmt w:val="decimal"/>
      <w:isLgl/>
      <w:lvlText w:val="%1.%2"/>
      <w:lvlJc w:val="left"/>
      <w:pPr>
        <w:ind w:left="360" w:hanging="360"/>
      </w:pPr>
      <w:rPr>
        <w:rFonts w:hint="default"/>
        <w:i w:val="0"/>
        <w:color w:val="auto"/>
        <w:sz w:val="24"/>
        <w:szCs w:val="24"/>
      </w:rPr>
    </w:lvl>
    <w:lvl w:ilvl="2">
      <w:start w:val="1"/>
      <w:numFmt w:val="decimal"/>
      <w:isLgl/>
      <w:lvlText w:val="%1.%2.%3"/>
      <w:lvlJc w:val="left"/>
      <w:pPr>
        <w:ind w:left="1288"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312645"/>
    <w:multiLevelType w:val="hybridMultilevel"/>
    <w:tmpl w:val="3A3EA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B05AB"/>
    <w:multiLevelType w:val="multilevel"/>
    <w:tmpl w:val="B0462222"/>
    <w:lvl w:ilvl="0">
      <w:start w:val="1"/>
      <w:numFmt w:val="decimal"/>
      <w:lvlText w:val="%1."/>
      <w:lvlJc w:val="left"/>
      <w:pPr>
        <w:ind w:left="481" w:hanging="360"/>
      </w:pPr>
    </w:lvl>
    <w:lvl w:ilvl="1">
      <w:start w:val="1"/>
      <w:numFmt w:val="decimal"/>
      <w:isLgl/>
      <w:lvlText w:val="%1.%2"/>
      <w:lvlJc w:val="left"/>
      <w:pPr>
        <w:ind w:left="360" w:hanging="360"/>
      </w:pPr>
      <w:rPr>
        <w:rFonts w:hint="default"/>
        <w:i w:val="0"/>
        <w:color w:val="auto"/>
        <w:sz w:val="24"/>
        <w:szCs w:val="24"/>
      </w:rPr>
    </w:lvl>
    <w:lvl w:ilvl="2">
      <w:start w:val="1"/>
      <w:numFmt w:val="decimal"/>
      <w:isLgl/>
      <w:lvlText w:val="%1.%2.%3"/>
      <w:lvlJc w:val="left"/>
      <w:pPr>
        <w:ind w:left="1288"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abstractNum w:abstractNumId="6"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004A52"/>
    <w:multiLevelType w:val="hybridMultilevel"/>
    <w:tmpl w:val="F68E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C43E2"/>
    <w:multiLevelType w:val="multilevel"/>
    <w:tmpl w:val="C798C86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80379A"/>
    <w:multiLevelType w:val="hybridMultilevel"/>
    <w:tmpl w:val="7604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6"/>
  </w:num>
  <w:num w:numId="4">
    <w:abstractNumId w:val="10"/>
  </w:num>
  <w:num w:numId="5">
    <w:abstractNumId w:val="3"/>
  </w:num>
  <w:num w:numId="6">
    <w:abstractNumId w:val="1"/>
  </w:num>
  <w:num w:numId="7">
    <w:abstractNumId w:val="12"/>
  </w:num>
  <w:num w:numId="8">
    <w:abstractNumId w:val="8"/>
  </w:num>
  <w:num w:numId="9">
    <w:abstractNumId w:val="7"/>
  </w:num>
  <w:num w:numId="10">
    <w:abstractNumId w:val="11"/>
  </w:num>
  <w:num w:numId="11">
    <w:abstractNumId w:val="5"/>
  </w:num>
  <w:num w:numId="12">
    <w:abstractNumId w:val="2"/>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noPunctuationKerning/>
  <w:characterSpacingControl w:val="doNotCompress"/>
  <w:hdrShapeDefaults>
    <o:shapedefaults v:ext="edit" spidmax="3074">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3A"/>
    <w:rsid w:val="000045BB"/>
    <w:rsid w:val="00015FED"/>
    <w:rsid w:val="00017A30"/>
    <w:rsid w:val="00041BC0"/>
    <w:rsid w:val="00051AAE"/>
    <w:rsid w:val="000627CB"/>
    <w:rsid w:val="000656A6"/>
    <w:rsid w:val="00082DA4"/>
    <w:rsid w:val="00082EFF"/>
    <w:rsid w:val="00087358"/>
    <w:rsid w:val="0009414F"/>
    <w:rsid w:val="000D531B"/>
    <w:rsid w:val="000E0DFA"/>
    <w:rsid w:val="000E4C7F"/>
    <w:rsid w:val="000E52CE"/>
    <w:rsid w:val="000E5ED3"/>
    <w:rsid w:val="000F2732"/>
    <w:rsid w:val="00103C60"/>
    <w:rsid w:val="001042C1"/>
    <w:rsid w:val="00123AEA"/>
    <w:rsid w:val="00125593"/>
    <w:rsid w:val="00137AE9"/>
    <w:rsid w:val="00140FBE"/>
    <w:rsid w:val="00145F1E"/>
    <w:rsid w:val="00155F2F"/>
    <w:rsid w:val="00157BAB"/>
    <w:rsid w:val="00160255"/>
    <w:rsid w:val="001618BD"/>
    <w:rsid w:val="00162B49"/>
    <w:rsid w:val="0016528A"/>
    <w:rsid w:val="00176079"/>
    <w:rsid w:val="001B1488"/>
    <w:rsid w:val="001D7B16"/>
    <w:rsid w:val="001E0429"/>
    <w:rsid w:val="001E4A7A"/>
    <w:rsid w:val="001F1662"/>
    <w:rsid w:val="00224651"/>
    <w:rsid w:val="00225007"/>
    <w:rsid w:val="00266EE0"/>
    <w:rsid w:val="00271E5D"/>
    <w:rsid w:val="0027614E"/>
    <w:rsid w:val="00277ED9"/>
    <w:rsid w:val="002E4971"/>
    <w:rsid w:val="002E51CB"/>
    <w:rsid w:val="00310A27"/>
    <w:rsid w:val="00316253"/>
    <w:rsid w:val="00334942"/>
    <w:rsid w:val="00334CFD"/>
    <w:rsid w:val="00354B52"/>
    <w:rsid w:val="00355EE5"/>
    <w:rsid w:val="003562C0"/>
    <w:rsid w:val="00386D5C"/>
    <w:rsid w:val="00390963"/>
    <w:rsid w:val="00393E97"/>
    <w:rsid w:val="003A2273"/>
    <w:rsid w:val="003D11D1"/>
    <w:rsid w:val="003E4D9A"/>
    <w:rsid w:val="003E5DDE"/>
    <w:rsid w:val="003E6993"/>
    <w:rsid w:val="003F767B"/>
    <w:rsid w:val="0040529F"/>
    <w:rsid w:val="00410849"/>
    <w:rsid w:val="00421A6C"/>
    <w:rsid w:val="00426E1C"/>
    <w:rsid w:val="00430EBC"/>
    <w:rsid w:val="0044067B"/>
    <w:rsid w:val="00446E42"/>
    <w:rsid w:val="004517F7"/>
    <w:rsid w:val="00485529"/>
    <w:rsid w:val="00491108"/>
    <w:rsid w:val="004B4686"/>
    <w:rsid w:val="005075D5"/>
    <w:rsid w:val="00515C78"/>
    <w:rsid w:val="00516B92"/>
    <w:rsid w:val="00521AC3"/>
    <w:rsid w:val="005247C6"/>
    <w:rsid w:val="0052523F"/>
    <w:rsid w:val="0052605A"/>
    <w:rsid w:val="0057247E"/>
    <w:rsid w:val="00575EC0"/>
    <w:rsid w:val="00590E98"/>
    <w:rsid w:val="005A22B5"/>
    <w:rsid w:val="005B772A"/>
    <w:rsid w:val="005C539B"/>
    <w:rsid w:val="005D3C15"/>
    <w:rsid w:val="005F6888"/>
    <w:rsid w:val="0060623D"/>
    <w:rsid w:val="00633BEB"/>
    <w:rsid w:val="00644DC9"/>
    <w:rsid w:val="00650481"/>
    <w:rsid w:val="006576CB"/>
    <w:rsid w:val="0069549E"/>
    <w:rsid w:val="006B056C"/>
    <w:rsid w:val="006B1FB6"/>
    <w:rsid w:val="006C028E"/>
    <w:rsid w:val="006D69CF"/>
    <w:rsid w:val="00727D69"/>
    <w:rsid w:val="00732E5A"/>
    <w:rsid w:val="00736950"/>
    <w:rsid w:val="00741699"/>
    <w:rsid w:val="007524DD"/>
    <w:rsid w:val="00773618"/>
    <w:rsid w:val="00792715"/>
    <w:rsid w:val="00793416"/>
    <w:rsid w:val="00796240"/>
    <w:rsid w:val="007B37D4"/>
    <w:rsid w:val="007B7920"/>
    <w:rsid w:val="007D5EA9"/>
    <w:rsid w:val="007E0ACC"/>
    <w:rsid w:val="007E6D28"/>
    <w:rsid w:val="008030A5"/>
    <w:rsid w:val="00830CF2"/>
    <w:rsid w:val="00850A8C"/>
    <w:rsid w:val="0085746B"/>
    <w:rsid w:val="00864856"/>
    <w:rsid w:val="008761C7"/>
    <w:rsid w:val="008773CC"/>
    <w:rsid w:val="008920D0"/>
    <w:rsid w:val="00892366"/>
    <w:rsid w:val="008B2434"/>
    <w:rsid w:val="008B4A0A"/>
    <w:rsid w:val="008D2161"/>
    <w:rsid w:val="008D5FAA"/>
    <w:rsid w:val="008E781B"/>
    <w:rsid w:val="008F166F"/>
    <w:rsid w:val="009002EF"/>
    <w:rsid w:val="009040B7"/>
    <w:rsid w:val="009041F9"/>
    <w:rsid w:val="0090494A"/>
    <w:rsid w:val="0090749E"/>
    <w:rsid w:val="009152D4"/>
    <w:rsid w:val="00917659"/>
    <w:rsid w:val="00917F89"/>
    <w:rsid w:val="009543CB"/>
    <w:rsid w:val="009638EE"/>
    <w:rsid w:val="00966F3A"/>
    <w:rsid w:val="009A1B6E"/>
    <w:rsid w:val="009B109C"/>
    <w:rsid w:val="009D58E7"/>
    <w:rsid w:val="00A024A4"/>
    <w:rsid w:val="00A43A3F"/>
    <w:rsid w:val="00A87782"/>
    <w:rsid w:val="00AA2F30"/>
    <w:rsid w:val="00AA76DC"/>
    <w:rsid w:val="00AD4F97"/>
    <w:rsid w:val="00AF64B7"/>
    <w:rsid w:val="00B03D44"/>
    <w:rsid w:val="00B06890"/>
    <w:rsid w:val="00B44C8F"/>
    <w:rsid w:val="00B52CE5"/>
    <w:rsid w:val="00B56973"/>
    <w:rsid w:val="00B74D05"/>
    <w:rsid w:val="00B97BE3"/>
    <w:rsid w:val="00BB282B"/>
    <w:rsid w:val="00BC280A"/>
    <w:rsid w:val="00BC4F53"/>
    <w:rsid w:val="00BD4DF3"/>
    <w:rsid w:val="00BE26E7"/>
    <w:rsid w:val="00BE465F"/>
    <w:rsid w:val="00C23B12"/>
    <w:rsid w:val="00C34A83"/>
    <w:rsid w:val="00C80C19"/>
    <w:rsid w:val="00C92517"/>
    <w:rsid w:val="00C953D7"/>
    <w:rsid w:val="00C97ACD"/>
    <w:rsid w:val="00CC7418"/>
    <w:rsid w:val="00CE039A"/>
    <w:rsid w:val="00CE2EE0"/>
    <w:rsid w:val="00CE30F0"/>
    <w:rsid w:val="00CF0177"/>
    <w:rsid w:val="00CF6D53"/>
    <w:rsid w:val="00D10352"/>
    <w:rsid w:val="00D127F6"/>
    <w:rsid w:val="00D26AAC"/>
    <w:rsid w:val="00D30085"/>
    <w:rsid w:val="00D339F8"/>
    <w:rsid w:val="00D47C3E"/>
    <w:rsid w:val="00D54B76"/>
    <w:rsid w:val="00D57C86"/>
    <w:rsid w:val="00D71C3A"/>
    <w:rsid w:val="00D743AF"/>
    <w:rsid w:val="00D80B2D"/>
    <w:rsid w:val="00D80F37"/>
    <w:rsid w:val="00D9173D"/>
    <w:rsid w:val="00DB5F7D"/>
    <w:rsid w:val="00DC520E"/>
    <w:rsid w:val="00DC6391"/>
    <w:rsid w:val="00DD3D7E"/>
    <w:rsid w:val="00DD682D"/>
    <w:rsid w:val="00DF6C8E"/>
    <w:rsid w:val="00DF7057"/>
    <w:rsid w:val="00DF7B66"/>
    <w:rsid w:val="00E02E31"/>
    <w:rsid w:val="00E06D5D"/>
    <w:rsid w:val="00E10CAE"/>
    <w:rsid w:val="00E12793"/>
    <w:rsid w:val="00E12860"/>
    <w:rsid w:val="00E27A7A"/>
    <w:rsid w:val="00E3359E"/>
    <w:rsid w:val="00E5774D"/>
    <w:rsid w:val="00E93389"/>
    <w:rsid w:val="00E967FE"/>
    <w:rsid w:val="00E96C2A"/>
    <w:rsid w:val="00EA31C6"/>
    <w:rsid w:val="00EB17C9"/>
    <w:rsid w:val="00EB5CD4"/>
    <w:rsid w:val="00F05F9B"/>
    <w:rsid w:val="00F14E9E"/>
    <w:rsid w:val="00F20C2D"/>
    <w:rsid w:val="00F32601"/>
    <w:rsid w:val="00F34755"/>
    <w:rsid w:val="00F4656B"/>
    <w:rsid w:val="00F53AD7"/>
    <w:rsid w:val="00F563C9"/>
    <w:rsid w:val="00F610F9"/>
    <w:rsid w:val="00F65FBE"/>
    <w:rsid w:val="00F67417"/>
    <w:rsid w:val="00F7044A"/>
    <w:rsid w:val="00F70741"/>
    <w:rsid w:val="00F7165C"/>
    <w:rsid w:val="00F7186A"/>
    <w:rsid w:val="00F92ADC"/>
    <w:rsid w:val="00F931D8"/>
    <w:rsid w:val="00FA5F3B"/>
    <w:rsid w:val="00FA5FEB"/>
    <w:rsid w:val="00FB11DA"/>
    <w:rsid w:val="00FB12ED"/>
    <w:rsid w:val="00FC47AD"/>
    <w:rsid w:val="00FD18C3"/>
    <w:rsid w:val="00FD1CCE"/>
    <w:rsid w:val="00FF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9cef3"/>
    </o:shapedefaults>
    <o:shapelayout v:ext="edit">
      <o:idmap v:ext="edit" data="1"/>
    </o:shapelayout>
  </w:shapeDefaults>
  <w:decimalSymbol w:val="."/>
  <w:listSeparator w:val=","/>
  <w14:docId w14:val="7EB81829"/>
  <w15:chartTrackingRefBased/>
  <w15:docId w15:val="{ADCC870D-B022-42F7-BF7F-6D0B0A71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uiPriority w:val="99"/>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uiPriority w:val="59"/>
    <w:rsid w:val="0090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040B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semiHidden/>
    <w:rsid w:val="00D80B2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64">
      <w:bodyDiv w:val="1"/>
      <w:marLeft w:val="0"/>
      <w:marRight w:val="0"/>
      <w:marTop w:val="0"/>
      <w:marBottom w:val="0"/>
      <w:divBdr>
        <w:top w:val="none" w:sz="0" w:space="0" w:color="auto"/>
        <w:left w:val="none" w:sz="0" w:space="0" w:color="auto"/>
        <w:bottom w:val="none" w:sz="0" w:space="0" w:color="auto"/>
        <w:right w:val="none" w:sz="0" w:space="0" w:color="auto"/>
      </w:divBdr>
    </w:div>
    <w:div w:id="13194260">
      <w:bodyDiv w:val="1"/>
      <w:marLeft w:val="0"/>
      <w:marRight w:val="0"/>
      <w:marTop w:val="0"/>
      <w:marBottom w:val="0"/>
      <w:divBdr>
        <w:top w:val="none" w:sz="0" w:space="0" w:color="auto"/>
        <w:left w:val="none" w:sz="0" w:space="0" w:color="auto"/>
        <w:bottom w:val="none" w:sz="0" w:space="0" w:color="auto"/>
        <w:right w:val="none" w:sz="0" w:space="0" w:color="auto"/>
      </w:divBdr>
    </w:div>
    <w:div w:id="236479312">
      <w:bodyDiv w:val="1"/>
      <w:marLeft w:val="0"/>
      <w:marRight w:val="0"/>
      <w:marTop w:val="0"/>
      <w:marBottom w:val="0"/>
      <w:divBdr>
        <w:top w:val="none" w:sz="0" w:space="0" w:color="auto"/>
        <w:left w:val="none" w:sz="0" w:space="0" w:color="auto"/>
        <w:bottom w:val="none" w:sz="0" w:space="0" w:color="auto"/>
        <w:right w:val="none" w:sz="0" w:space="0" w:color="auto"/>
      </w:divBdr>
    </w:div>
    <w:div w:id="328801042">
      <w:bodyDiv w:val="1"/>
      <w:marLeft w:val="0"/>
      <w:marRight w:val="0"/>
      <w:marTop w:val="0"/>
      <w:marBottom w:val="0"/>
      <w:divBdr>
        <w:top w:val="none" w:sz="0" w:space="0" w:color="auto"/>
        <w:left w:val="none" w:sz="0" w:space="0" w:color="auto"/>
        <w:bottom w:val="none" w:sz="0" w:space="0" w:color="auto"/>
        <w:right w:val="none" w:sz="0" w:space="0" w:color="auto"/>
      </w:divBdr>
    </w:div>
    <w:div w:id="996498068">
      <w:bodyDiv w:val="1"/>
      <w:marLeft w:val="0"/>
      <w:marRight w:val="0"/>
      <w:marTop w:val="0"/>
      <w:marBottom w:val="0"/>
      <w:divBdr>
        <w:top w:val="none" w:sz="0" w:space="0" w:color="auto"/>
        <w:left w:val="none" w:sz="0" w:space="0" w:color="auto"/>
        <w:bottom w:val="none" w:sz="0" w:space="0" w:color="auto"/>
        <w:right w:val="none" w:sz="0" w:space="0" w:color="auto"/>
      </w:divBdr>
    </w:div>
    <w:div w:id="1038357519">
      <w:bodyDiv w:val="1"/>
      <w:marLeft w:val="0"/>
      <w:marRight w:val="0"/>
      <w:marTop w:val="0"/>
      <w:marBottom w:val="0"/>
      <w:divBdr>
        <w:top w:val="none" w:sz="0" w:space="0" w:color="auto"/>
        <w:left w:val="none" w:sz="0" w:space="0" w:color="auto"/>
        <w:bottom w:val="none" w:sz="0" w:space="0" w:color="auto"/>
        <w:right w:val="none" w:sz="0" w:space="0" w:color="auto"/>
      </w:divBdr>
      <w:divsChild>
        <w:div w:id="1785152905">
          <w:marLeft w:val="0"/>
          <w:marRight w:val="0"/>
          <w:marTop w:val="0"/>
          <w:marBottom w:val="0"/>
          <w:divBdr>
            <w:top w:val="none" w:sz="0" w:space="0" w:color="auto"/>
            <w:left w:val="none" w:sz="0" w:space="0" w:color="auto"/>
            <w:bottom w:val="none" w:sz="0" w:space="0" w:color="auto"/>
            <w:right w:val="none" w:sz="0" w:space="0" w:color="auto"/>
          </w:divBdr>
          <w:divsChild>
            <w:div w:id="677271307">
              <w:marLeft w:val="0"/>
              <w:marRight w:val="0"/>
              <w:marTop w:val="0"/>
              <w:marBottom w:val="0"/>
              <w:divBdr>
                <w:top w:val="none" w:sz="0" w:space="0" w:color="auto"/>
                <w:left w:val="none" w:sz="0" w:space="0" w:color="auto"/>
                <w:bottom w:val="none" w:sz="0" w:space="0" w:color="auto"/>
                <w:right w:val="none" w:sz="0" w:space="0" w:color="auto"/>
              </w:divBdr>
              <w:divsChild>
                <w:div w:id="2054693514">
                  <w:marLeft w:val="0"/>
                  <w:marRight w:val="0"/>
                  <w:marTop w:val="150"/>
                  <w:marBottom w:val="150"/>
                  <w:divBdr>
                    <w:top w:val="none" w:sz="0" w:space="0" w:color="auto"/>
                    <w:left w:val="none" w:sz="0" w:space="0" w:color="auto"/>
                    <w:bottom w:val="none" w:sz="0" w:space="0" w:color="auto"/>
                    <w:right w:val="none" w:sz="0" w:space="0" w:color="auto"/>
                  </w:divBdr>
                  <w:divsChild>
                    <w:div w:id="712191005">
                      <w:marLeft w:val="0"/>
                      <w:marRight w:val="0"/>
                      <w:marTop w:val="0"/>
                      <w:marBottom w:val="0"/>
                      <w:divBdr>
                        <w:top w:val="none" w:sz="0" w:space="0" w:color="auto"/>
                        <w:left w:val="none" w:sz="0" w:space="0" w:color="auto"/>
                        <w:bottom w:val="none" w:sz="0" w:space="0" w:color="auto"/>
                        <w:right w:val="none" w:sz="0" w:space="0" w:color="auto"/>
                      </w:divBdr>
                      <w:divsChild>
                        <w:div w:id="1826702665">
                          <w:marLeft w:val="0"/>
                          <w:marRight w:val="0"/>
                          <w:marTop w:val="0"/>
                          <w:marBottom w:val="0"/>
                          <w:divBdr>
                            <w:top w:val="none" w:sz="0" w:space="0" w:color="auto"/>
                            <w:left w:val="none" w:sz="0" w:space="0" w:color="auto"/>
                            <w:bottom w:val="none" w:sz="0" w:space="0" w:color="auto"/>
                            <w:right w:val="none" w:sz="0" w:space="0" w:color="auto"/>
                          </w:divBdr>
                          <w:divsChild>
                            <w:div w:id="199510911">
                              <w:marLeft w:val="0"/>
                              <w:marRight w:val="0"/>
                              <w:marTop w:val="0"/>
                              <w:marBottom w:val="0"/>
                              <w:divBdr>
                                <w:top w:val="none" w:sz="0" w:space="0" w:color="auto"/>
                                <w:left w:val="none" w:sz="0" w:space="0" w:color="auto"/>
                                <w:bottom w:val="none" w:sz="0" w:space="0" w:color="auto"/>
                                <w:right w:val="none" w:sz="0" w:space="0" w:color="auto"/>
                              </w:divBdr>
                              <w:divsChild>
                                <w:div w:id="1869565354">
                                  <w:marLeft w:val="0"/>
                                  <w:marRight w:val="0"/>
                                  <w:marTop w:val="0"/>
                                  <w:marBottom w:val="0"/>
                                  <w:divBdr>
                                    <w:top w:val="none" w:sz="0" w:space="0" w:color="auto"/>
                                    <w:left w:val="none" w:sz="0" w:space="0" w:color="auto"/>
                                    <w:bottom w:val="none" w:sz="0" w:space="0" w:color="auto"/>
                                    <w:right w:val="none" w:sz="0" w:space="0" w:color="auto"/>
                                  </w:divBdr>
                                  <w:divsChild>
                                    <w:div w:id="600769039">
                                      <w:marLeft w:val="0"/>
                                      <w:marRight w:val="0"/>
                                      <w:marTop w:val="0"/>
                                      <w:marBottom w:val="0"/>
                                      <w:divBdr>
                                        <w:top w:val="none" w:sz="0" w:space="0" w:color="auto"/>
                                        <w:left w:val="none" w:sz="0" w:space="0" w:color="auto"/>
                                        <w:bottom w:val="none" w:sz="0" w:space="0" w:color="auto"/>
                                        <w:right w:val="none" w:sz="0" w:space="0" w:color="auto"/>
                                      </w:divBdr>
                                      <w:divsChild>
                                        <w:div w:id="1483505514">
                                          <w:marLeft w:val="0"/>
                                          <w:marRight w:val="0"/>
                                          <w:marTop w:val="0"/>
                                          <w:marBottom w:val="0"/>
                                          <w:divBdr>
                                            <w:top w:val="none" w:sz="0" w:space="0" w:color="auto"/>
                                            <w:left w:val="none" w:sz="0" w:space="0" w:color="auto"/>
                                            <w:bottom w:val="none" w:sz="0" w:space="0" w:color="auto"/>
                                            <w:right w:val="none" w:sz="0" w:space="0" w:color="auto"/>
                                          </w:divBdr>
                                          <w:divsChild>
                                            <w:div w:id="1400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7527-B94E-4AF2-A663-A6B694D3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4427</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2555906</vt:i4>
      </vt:variant>
      <vt:variant>
        <vt:i4>3</vt:i4>
      </vt:variant>
      <vt:variant>
        <vt:i4>0</vt:i4>
      </vt:variant>
      <vt:variant>
        <vt:i4>5</vt:i4>
      </vt:variant>
      <vt:variant>
        <vt:lpwstr>mailto:paddy.cahill@medway.gov.uk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sims, aisling</cp:lastModifiedBy>
  <cp:revision>2</cp:revision>
  <cp:lastPrinted>2014-04-04T10:41:00Z</cp:lastPrinted>
  <dcterms:created xsi:type="dcterms:W3CDTF">2020-07-22T07:46:00Z</dcterms:created>
  <dcterms:modified xsi:type="dcterms:W3CDTF">2020-07-22T07:46:00Z</dcterms:modified>
</cp:coreProperties>
</file>