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D23F" w14:textId="1FA32684" w:rsidR="00F9756F" w:rsidRPr="00E65154" w:rsidRDefault="00F9756F" w:rsidP="00E65154">
      <w:pPr>
        <w:pStyle w:val="Heading1"/>
        <w:jc w:val="left"/>
        <w:rPr>
          <w:color w:val="auto"/>
        </w:rPr>
      </w:pPr>
      <w:bookmarkStart w:id="1" w:name="_Hlk161739030"/>
      <w:r w:rsidRPr="00E65154">
        <w:rPr>
          <w:color w:val="auto"/>
        </w:rPr>
        <w:t xml:space="preserve">Delivering Fair &amp; Responsive Services </w:t>
      </w:r>
      <w:r w:rsidR="00F505AE" w:rsidRPr="00E65154">
        <w:rPr>
          <w:color w:val="auto"/>
        </w:rPr>
        <w:t>2023</w:t>
      </w:r>
    </w:p>
    <w:p w14:paraId="0C889B3F" w14:textId="77777777" w:rsidR="00F9756F" w:rsidRPr="00E65154" w:rsidRDefault="00F9756F" w:rsidP="00E65154">
      <w:pPr>
        <w:pStyle w:val="Heading1"/>
        <w:jc w:val="left"/>
        <w:rPr>
          <w:color w:val="auto"/>
        </w:rPr>
      </w:pPr>
      <w:r w:rsidRPr="00E65154">
        <w:rPr>
          <w:color w:val="auto"/>
        </w:rPr>
        <w:t>Meeting Our Equality Duty</w:t>
      </w:r>
    </w:p>
    <w:p w14:paraId="47F339D4" w14:textId="77777777" w:rsidR="00F9756F" w:rsidRDefault="00F9756F" w:rsidP="00C40662">
      <w:pPr>
        <w:tabs>
          <w:tab w:val="center" w:pos="1080"/>
          <w:tab w:val="right" w:pos="9000"/>
        </w:tabs>
        <w:rPr>
          <w:szCs w:val="28"/>
        </w:rPr>
      </w:pPr>
    </w:p>
    <w:p w14:paraId="431B74AF" w14:textId="77777777" w:rsidR="00C40662" w:rsidRPr="00C95C51" w:rsidRDefault="00C40662" w:rsidP="00C40662">
      <w:pPr>
        <w:tabs>
          <w:tab w:val="center" w:pos="1080"/>
          <w:tab w:val="right" w:pos="9000"/>
        </w:tabs>
        <w:ind w:right="-720"/>
        <w:jc w:val="both"/>
        <w:rPr>
          <w:szCs w:val="28"/>
        </w:rPr>
      </w:pPr>
      <w:r w:rsidRPr="00C95C51">
        <w:rPr>
          <w:szCs w:val="28"/>
        </w:rPr>
        <w:t xml:space="preserve">Medway has a wide range of initiatives across all services that have contributed </w:t>
      </w:r>
    </w:p>
    <w:p w14:paraId="431B74B0" w14:textId="77777777" w:rsidR="00C40662" w:rsidRPr="00C95C51" w:rsidRDefault="00C40662" w:rsidP="00C40662">
      <w:pPr>
        <w:tabs>
          <w:tab w:val="center" w:pos="1080"/>
          <w:tab w:val="right" w:pos="9000"/>
        </w:tabs>
        <w:ind w:right="-720"/>
        <w:jc w:val="both"/>
      </w:pPr>
      <w:r w:rsidRPr="00C95C51">
        <w:rPr>
          <w:szCs w:val="28"/>
        </w:rPr>
        <w:t>towards meeting our equality duty. This section includes examples of these.</w:t>
      </w:r>
    </w:p>
    <w:bookmarkEnd w:id="1"/>
    <w:p w14:paraId="431B74B1" w14:textId="554C2645" w:rsidR="00C40662" w:rsidRDefault="00C40662" w:rsidP="00C40662">
      <w:pPr>
        <w:tabs>
          <w:tab w:val="center" w:pos="1080"/>
          <w:tab w:val="right" w:pos="9000"/>
        </w:tabs>
      </w:pPr>
    </w:p>
    <w:p w14:paraId="01505898" w14:textId="2B2F565E" w:rsidR="00A0168E" w:rsidRPr="007A45CE" w:rsidRDefault="00DE0A77" w:rsidP="00E65154">
      <w:pPr>
        <w:pStyle w:val="Heading2"/>
        <w:rPr>
          <w:sz w:val="28"/>
          <w:szCs w:val="28"/>
        </w:rPr>
      </w:pPr>
      <w:r w:rsidRPr="007A45CE">
        <w:rPr>
          <w:sz w:val="28"/>
          <w:szCs w:val="28"/>
        </w:rPr>
        <w:t>Equality Duty 1: Eliminating unlawful discrimination, harassment &amp; victimisation</w:t>
      </w:r>
    </w:p>
    <w:p w14:paraId="669C1D0E" w14:textId="77777777" w:rsidR="002A1DF4" w:rsidRPr="002A1DF4" w:rsidRDefault="002A1DF4" w:rsidP="002A1DF4">
      <w:pPr>
        <w:rPr>
          <w:lang w:val="en-US" w:eastAsia="en-US"/>
        </w:rPr>
      </w:pPr>
    </w:p>
    <w:p w14:paraId="13E28F23" w14:textId="7A8AAB9C" w:rsidR="002A1DF4" w:rsidRPr="003214D1" w:rsidRDefault="002A1DF4" w:rsidP="00E65154">
      <w:pPr>
        <w:pStyle w:val="Heading3"/>
        <w:rPr>
          <w:lang w:eastAsia="en-US"/>
        </w:rPr>
      </w:pPr>
      <w:r w:rsidRPr="003214D1">
        <w:rPr>
          <w:lang w:eastAsia="en-US"/>
        </w:rPr>
        <w:t>Multi- Agency Safeguarding Hub (MASH)</w:t>
      </w:r>
    </w:p>
    <w:p w14:paraId="65535357" w14:textId="3C82A29C" w:rsidR="002A1DF4" w:rsidRDefault="002A1DF4" w:rsidP="002A1DF4">
      <w:r w:rsidRPr="00E93E2C">
        <w:t xml:space="preserve">Members of the public and professionals can contact Medway’s First Response service to report any safeguarding concerns they have about a child. </w:t>
      </w:r>
      <w:r w:rsidR="009E4D98">
        <w:t xml:space="preserve"> </w:t>
      </w:r>
      <w:r w:rsidRPr="00E93E2C">
        <w:t xml:space="preserve">The council has </w:t>
      </w:r>
      <w:r>
        <w:t xml:space="preserve">an online contact and referral form </w:t>
      </w:r>
      <w:r w:rsidRPr="00E93E2C">
        <w:t xml:space="preserve">for reporting concerns. </w:t>
      </w:r>
      <w:r w:rsidR="009E4D98">
        <w:t xml:space="preserve"> </w:t>
      </w:r>
      <w:r w:rsidRPr="00E93E2C">
        <w:t xml:space="preserve">Once the form has been submitted it will be reviewed and appropriate action will be taken. </w:t>
      </w:r>
      <w:r w:rsidR="009E4D98">
        <w:t xml:space="preserve"> </w:t>
      </w:r>
      <w:r>
        <w:t xml:space="preserve">The </w:t>
      </w:r>
      <w:r w:rsidRPr="00E93E2C">
        <w:t xml:space="preserve">Multi-Agency Safeguarding Hub (MASH) </w:t>
      </w:r>
      <w:r>
        <w:t xml:space="preserve">includes </w:t>
      </w:r>
      <w:r w:rsidRPr="00E93E2C">
        <w:t>key partner agencies including</w:t>
      </w:r>
      <w:r>
        <w:t xml:space="preserve"> Education</w:t>
      </w:r>
      <w:r w:rsidRPr="00E93E2C">
        <w:t xml:space="preserve">, health professionals and the police, </w:t>
      </w:r>
      <w:r>
        <w:t xml:space="preserve">who work </w:t>
      </w:r>
      <w:r w:rsidRPr="00E93E2C">
        <w:t>together to make sure children and young people receive the right support at the right time.</w:t>
      </w:r>
    </w:p>
    <w:p w14:paraId="2598EFD4" w14:textId="77777777" w:rsidR="002A1DF4" w:rsidRDefault="002A1DF4" w:rsidP="002A1DF4"/>
    <w:p w14:paraId="54B77A43" w14:textId="28BA5E76" w:rsidR="002A1DF4" w:rsidRPr="003214D1" w:rsidRDefault="002A1DF4" w:rsidP="00E65154">
      <w:pPr>
        <w:pStyle w:val="Heading3"/>
        <w:rPr>
          <w:lang w:eastAsia="en-US"/>
        </w:rPr>
      </w:pPr>
      <w:r w:rsidRPr="003214D1">
        <w:rPr>
          <w:lang w:eastAsia="en-US"/>
        </w:rPr>
        <w:t>Healthy Workplace Programme</w:t>
      </w:r>
    </w:p>
    <w:p w14:paraId="508E00ED" w14:textId="2BCD1159" w:rsidR="002A1DF4" w:rsidRPr="002A1DF4" w:rsidRDefault="002A1DF4" w:rsidP="002A1DF4">
      <w:r w:rsidRPr="002A1DF4">
        <w:t xml:space="preserve">The Council’s priorities include supporting Medway’s residents to realise their potential. </w:t>
      </w:r>
      <w:r w:rsidR="009E4D98">
        <w:t xml:space="preserve"> </w:t>
      </w:r>
      <w:r w:rsidRPr="002A1DF4">
        <w:t xml:space="preserve">One way of achieving this is by supporting communities to be healthier and more active by using a settings-based approach. </w:t>
      </w:r>
      <w:r w:rsidR="009E4D98">
        <w:t xml:space="preserve"> </w:t>
      </w:r>
      <w:r w:rsidRPr="002A1DF4">
        <w:t xml:space="preserve">A range of advice and support is provided to local organisations through the Workplace Health Programme (WPH). The programme assists Medway businesses in the development of their own wellbeing initiatives which support their staff and foster healthy workplace environments. </w:t>
      </w:r>
      <w:r w:rsidR="009E4D98">
        <w:t xml:space="preserve"> </w:t>
      </w:r>
      <w:r w:rsidRPr="002A1DF4">
        <w:t xml:space="preserve">This includes initiatives to encourage physical activity, healthy eating, sensible drinking and stopping smoking. </w:t>
      </w:r>
      <w:r w:rsidR="009E4D98">
        <w:t xml:space="preserve"> </w:t>
      </w:r>
      <w:r w:rsidRPr="002A1DF4">
        <w:t xml:space="preserve">As part of the workplace wellbeing Bronze award, an organisation’s policies including equality and diversity are assessed. Where appropriate, guidance is issued to eliminate discrimination and create a fairer society. </w:t>
      </w:r>
    </w:p>
    <w:p w14:paraId="3F31104F" w14:textId="751F54A0" w:rsidR="002A1DF4" w:rsidRPr="002A1DF4" w:rsidRDefault="002A1DF4" w:rsidP="002A1DF4">
      <w:r w:rsidRPr="002A1DF4">
        <w:t xml:space="preserve">An unforeseen impact of COVID19 to the WPH programme was its reduced ability to undertake bronze assessments face to face. </w:t>
      </w:r>
      <w:r w:rsidR="009E4D98">
        <w:t xml:space="preserve"> </w:t>
      </w:r>
      <w:r w:rsidRPr="002A1DF4">
        <w:t xml:space="preserve">With restrictions now lifted these can take place in person again but it has been decided to keep them online to increase the number which can be completed. </w:t>
      </w:r>
    </w:p>
    <w:p w14:paraId="6584FF45" w14:textId="454C2B8E" w:rsidR="002A1DF4" w:rsidRDefault="002A1DF4" w:rsidP="002A1DF4">
      <w:r w:rsidRPr="002A1DF4">
        <w:t xml:space="preserve">A theme for the programme moving forward is aiding local business and their staff around the cost-of-living crisis. </w:t>
      </w:r>
      <w:r w:rsidR="009E4D98">
        <w:t xml:space="preserve"> </w:t>
      </w:r>
      <w:r w:rsidRPr="002A1DF4">
        <w:t xml:space="preserve">This includes signposting and raising awareness of tools and services which can assist, as well as offering further support through the core programme for wellbeing-related fall out. </w:t>
      </w:r>
      <w:r w:rsidR="009E4D98">
        <w:t xml:space="preserve"> </w:t>
      </w:r>
      <w:r w:rsidRPr="002A1DF4">
        <w:t xml:space="preserve">This year, to increase equity in delivery of the programme, the workplace health team have been proactively targeting organisations located in the most deprived areas of Medway. </w:t>
      </w:r>
      <w:r w:rsidR="009E4D98">
        <w:t xml:space="preserve"> </w:t>
      </w:r>
      <w:r w:rsidRPr="002A1DF4">
        <w:t xml:space="preserve">Location data for organisations engaged in the programme is now routinely assessed. </w:t>
      </w:r>
      <w:r w:rsidR="009E4D98">
        <w:t xml:space="preserve"> </w:t>
      </w:r>
      <w:r w:rsidRPr="002A1DF4">
        <w:t>This ensures broad representation, not just of different employment types such as routine and manual ones, but now also geographically.</w:t>
      </w:r>
    </w:p>
    <w:p w14:paraId="5358F685" w14:textId="77777777" w:rsidR="002A1DF4" w:rsidRDefault="002A1DF4" w:rsidP="002A1DF4"/>
    <w:p w14:paraId="7D842E4B" w14:textId="52F0EAD5" w:rsidR="002A1DF4" w:rsidRPr="003214D1" w:rsidRDefault="002A1DF4" w:rsidP="00E65154">
      <w:pPr>
        <w:pStyle w:val="Heading3"/>
        <w:rPr>
          <w:lang w:eastAsia="en-US"/>
        </w:rPr>
      </w:pPr>
      <w:r w:rsidRPr="003214D1">
        <w:rPr>
          <w:lang w:eastAsia="en-US"/>
        </w:rPr>
        <w:t>Recruitment and Selection Framework</w:t>
      </w:r>
    </w:p>
    <w:p w14:paraId="2ACF67ED" w14:textId="162FBB68" w:rsidR="002A1DF4" w:rsidRDefault="002A1DF4" w:rsidP="002A1DF4">
      <w:r w:rsidRPr="00686FDE">
        <w:t xml:space="preserve">Medway Council recognises its duty to ensure all recruitment and selection procedures are open, transparent, and fair. </w:t>
      </w:r>
      <w:r w:rsidR="009E4D98">
        <w:t xml:space="preserve"> </w:t>
      </w:r>
      <w:r w:rsidRPr="00686FDE">
        <w:t xml:space="preserve">The Recruitment and Selection </w:t>
      </w:r>
      <w:r w:rsidRPr="00686FDE">
        <w:lastRenderedPageBreak/>
        <w:t>Framework requires all staff with responsibility for recruitment and selection undertake training to ensure that all appointments are based on merit and according to the principles of our equality policy.</w:t>
      </w:r>
    </w:p>
    <w:p w14:paraId="37AC9280" w14:textId="77777777" w:rsidR="002A1DF4" w:rsidRDefault="002A1DF4" w:rsidP="002A1DF4">
      <w:pPr>
        <w:rPr>
          <w:lang w:val="en-US"/>
        </w:rPr>
      </w:pPr>
    </w:p>
    <w:p w14:paraId="4DD40C5A" w14:textId="30B0A279" w:rsidR="002A1DF4" w:rsidRPr="003214D1" w:rsidRDefault="002A1DF4" w:rsidP="00E65154">
      <w:pPr>
        <w:pStyle w:val="Heading3"/>
        <w:rPr>
          <w:lang w:eastAsia="en-US"/>
        </w:rPr>
      </w:pPr>
      <w:r w:rsidRPr="003214D1">
        <w:rPr>
          <w:lang w:eastAsia="en-US"/>
        </w:rPr>
        <w:t>Grievance &amp; Harassment Procedure</w:t>
      </w:r>
    </w:p>
    <w:p w14:paraId="55E2B25E" w14:textId="40E63C5E" w:rsidR="002A1DF4" w:rsidRDefault="002A1DF4" w:rsidP="002A1DF4">
      <w:r w:rsidRPr="00F671E5">
        <w:t xml:space="preserve">The Council is committed to providing a working environment where individuals are treated with fairness, dignity and respect and take all employee complaints seriously. This procedure allows employees to raise genuine workplace grievances and have them dealt with fairly, consistently, promptly, and </w:t>
      </w:r>
      <w:r w:rsidRPr="00834C73">
        <w:t>objectively and aims to achieve an agreed resolution.</w:t>
      </w:r>
    </w:p>
    <w:p w14:paraId="284FB605" w14:textId="77777777" w:rsidR="002A1DF4" w:rsidRDefault="002A1DF4" w:rsidP="002A1DF4"/>
    <w:p w14:paraId="3D395FC8" w14:textId="502D4C83" w:rsidR="002A1DF4" w:rsidRPr="003214D1" w:rsidRDefault="002A1DF4" w:rsidP="00E65154">
      <w:pPr>
        <w:pStyle w:val="Heading3"/>
        <w:rPr>
          <w:lang w:eastAsia="en-US"/>
        </w:rPr>
      </w:pPr>
      <w:r w:rsidRPr="003214D1">
        <w:rPr>
          <w:lang w:eastAsia="en-US"/>
        </w:rPr>
        <w:t>Council’s Disciplinary Policy</w:t>
      </w:r>
    </w:p>
    <w:p w14:paraId="10A91062" w14:textId="40354FEF" w:rsidR="002A1DF4" w:rsidRDefault="002A1DF4" w:rsidP="002A1DF4">
      <w:r w:rsidRPr="00EE0D51">
        <w:t xml:space="preserve">All employees of Medway Council are expected to maintain high standards of conduct. </w:t>
      </w:r>
      <w:r w:rsidR="009E4D98">
        <w:t xml:space="preserve"> </w:t>
      </w:r>
      <w:r w:rsidRPr="00EE0D51">
        <w:t>This procedure is designed to help and encourage employees to achieve and maintain standards of conduct and aims to ensure fairness, equity, and consistency in the management of employees.</w:t>
      </w:r>
    </w:p>
    <w:p w14:paraId="6AC6360B" w14:textId="77777777" w:rsidR="002A1DF4" w:rsidRDefault="002A1DF4" w:rsidP="002A1DF4"/>
    <w:p w14:paraId="55E7D4E6" w14:textId="39DF4EF3" w:rsidR="002A1DF4" w:rsidRPr="003214D1" w:rsidRDefault="002A1DF4" w:rsidP="00E65154">
      <w:pPr>
        <w:pStyle w:val="Heading3"/>
        <w:rPr>
          <w:lang w:eastAsia="en-US"/>
        </w:rPr>
      </w:pPr>
      <w:r w:rsidRPr="003214D1">
        <w:rPr>
          <w:lang w:eastAsia="en-US"/>
        </w:rPr>
        <w:t>Domestic Abuse Workplace Policy</w:t>
      </w:r>
    </w:p>
    <w:p w14:paraId="119A6980" w14:textId="584864C8" w:rsidR="002A1DF4" w:rsidRDefault="002A1DF4" w:rsidP="002A1DF4">
      <w:r w:rsidRPr="00EE0D51">
        <w:t>The Council promotes the view that abuse against any individual is totally unacceptable and that every employee who is experiencing domestic abuse can raise the issue and be assured that the Council will support h</w:t>
      </w:r>
      <w:r>
        <w:t>im</w:t>
      </w:r>
      <w:r w:rsidRPr="00EE0D51">
        <w:t xml:space="preserve"> or h</w:t>
      </w:r>
      <w:r>
        <w:t>er</w:t>
      </w:r>
      <w:r w:rsidRPr="00EE0D51">
        <w:t xml:space="preserve">. </w:t>
      </w:r>
      <w:r w:rsidR="009E4D98">
        <w:t xml:space="preserve"> </w:t>
      </w:r>
      <w:r w:rsidRPr="00EE0D51">
        <w:t>The Council will take seriously cases where its employees are perpetrators of domestic abuse and will investigate such cases as misconduct/gross misconduct in accordance with its disciplinary procedure.</w:t>
      </w:r>
    </w:p>
    <w:p w14:paraId="1811B388" w14:textId="77777777" w:rsidR="002A1DF4" w:rsidRDefault="002A1DF4" w:rsidP="002A1DF4"/>
    <w:p w14:paraId="670E928B" w14:textId="3EFD1E3C" w:rsidR="002A1DF4" w:rsidRPr="003214D1" w:rsidRDefault="00334810" w:rsidP="00E65154">
      <w:pPr>
        <w:pStyle w:val="Heading3"/>
        <w:rPr>
          <w:lang w:eastAsia="en-US"/>
        </w:rPr>
      </w:pPr>
      <w:r w:rsidRPr="003214D1">
        <w:rPr>
          <w:lang w:eastAsia="en-US"/>
        </w:rPr>
        <w:t>Learning and development policy</w:t>
      </w:r>
    </w:p>
    <w:p w14:paraId="019D9FA3" w14:textId="4DDA6831" w:rsidR="00334810" w:rsidRPr="00334810" w:rsidRDefault="00334810" w:rsidP="00334810">
      <w:r w:rsidRPr="00334810">
        <w:t>The Council aims to ensure that learning and development actions are aligned with the goals of the organisation as set out in the Council Plan.</w:t>
      </w:r>
    </w:p>
    <w:p w14:paraId="3B91FC9D" w14:textId="6C4F2824" w:rsidR="00334810" w:rsidRPr="00334810" w:rsidRDefault="00334810" w:rsidP="00334810">
      <w:r w:rsidRPr="00334810">
        <w:t xml:space="preserve">People are a key driver for success. </w:t>
      </w:r>
      <w:r w:rsidR="009E4D98">
        <w:t xml:space="preserve"> </w:t>
      </w:r>
      <w:r w:rsidRPr="00334810">
        <w:t>The Council is committed to being an employer of choice and aims to demonstrate best practice in training and developing our people.</w:t>
      </w:r>
    </w:p>
    <w:p w14:paraId="488E20FE" w14:textId="6A94F1DB" w:rsidR="00334810" w:rsidRDefault="00334810" w:rsidP="00334810">
      <w:r w:rsidRPr="00334810">
        <w:t>The Council seeks to develop its employees and Members, so they have the skills and knowledge to do their jobs effectively now and, in the future, to realise potential and continuously improve performance and service delivery.</w:t>
      </w:r>
    </w:p>
    <w:p w14:paraId="4BFC4589" w14:textId="77777777" w:rsidR="00334810" w:rsidRDefault="00334810" w:rsidP="00334810"/>
    <w:p w14:paraId="4EFB0D57" w14:textId="103BB0AE" w:rsidR="00334810" w:rsidRPr="003214D1" w:rsidRDefault="00334810" w:rsidP="00E65154">
      <w:pPr>
        <w:pStyle w:val="Heading3"/>
        <w:rPr>
          <w:lang w:eastAsia="en-US"/>
        </w:rPr>
      </w:pPr>
      <w:r w:rsidRPr="003214D1">
        <w:rPr>
          <w:lang w:eastAsia="en-US"/>
        </w:rPr>
        <w:t>Speak Up Policy (formerly known as Whistleblowing Policy)</w:t>
      </w:r>
    </w:p>
    <w:p w14:paraId="7C30DDFB" w14:textId="26523DE3" w:rsidR="00334810" w:rsidRDefault="00334810" w:rsidP="00334810">
      <w:r w:rsidRPr="00EE0D51">
        <w:t xml:space="preserve">Council employees, workers, those undertaking work for or on behalf of the council (including volunteers) and members of the public can raise concerns relating to unethical or unprofessional conduct within the council including malpractice and abuse or some policy or action which is contrary to the public interest via the council’s Speak Up Policy.  </w:t>
      </w:r>
      <w:r w:rsidRPr="00497360">
        <w:t>The council has a Response Group made up of the Chief Organisational Culture Officer, the Chief Finance Officer and the Chief Legal Officer which can triage and advise on complex or escalated queries.</w:t>
      </w:r>
    </w:p>
    <w:p w14:paraId="3F779AFA" w14:textId="77777777" w:rsidR="00334810" w:rsidRDefault="00334810" w:rsidP="00334810"/>
    <w:p w14:paraId="798B7A39" w14:textId="436BB317" w:rsidR="00334810" w:rsidRPr="003214D1" w:rsidRDefault="00334810" w:rsidP="00E65154">
      <w:pPr>
        <w:pStyle w:val="Heading3"/>
        <w:rPr>
          <w:lang w:eastAsia="en-US"/>
        </w:rPr>
      </w:pPr>
      <w:r w:rsidRPr="003214D1">
        <w:rPr>
          <w:lang w:eastAsia="en-US"/>
        </w:rPr>
        <w:t>Incorporating equalities into decision making</w:t>
      </w:r>
    </w:p>
    <w:p w14:paraId="6E8052EF" w14:textId="18D03B63" w:rsidR="00334810" w:rsidRDefault="00334810" w:rsidP="00334810">
      <w:r w:rsidRPr="00D07499">
        <w:t>Equality is at the heart of our decision making. Guidance for Cabinet reports makes clear the requirement to comply with the Equality Act 2010.</w:t>
      </w:r>
    </w:p>
    <w:p w14:paraId="470BD284" w14:textId="77777777" w:rsidR="00334810" w:rsidRDefault="00334810" w:rsidP="00334810"/>
    <w:p w14:paraId="7D466789" w14:textId="04150292" w:rsidR="00334810" w:rsidRPr="003214D1" w:rsidRDefault="00334810" w:rsidP="00E65154">
      <w:pPr>
        <w:pStyle w:val="Heading3"/>
        <w:rPr>
          <w:lang w:eastAsia="en-US"/>
        </w:rPr>
      </w:pPr>
      <w:r w:rsidRPr="003214D1">
        <w:rPr>
          <w:lang w:eastAsia="en-US"/>
        </w:rPr>
        <w:lastRenderedPageBreak/>
        <w:t>Diversity Impact Assessments (DIAs)</w:t>
      </w:r>
    </w:p>
    <w:p w14:paraId="390604FD" w14:textId="3678DE11" w:rsidR="00334810" w:rsidRDefault="00334810" w:rsidP="00334810">
      <w:pPr>
        <w:rPr>
          <w:color w:val="2F5496" w:themeColor="accent1" w:themeShade="BF"/>
          <w:lang w:eastAsia="en-US"/>
        </w:rPr>
      </w:pPr>
      <w:r w:rsidRPr="006E1726">
        <w:t>Carrying out Diversity Impact Assessments (DIAs) and making sure decision makers consider the findings of DIAs, demonstrates compliance with our public sector equality duty</w:t>
      </w:r>
      <w:r w:rsidR="009D5CA2">
        <w:t>.</w:t>
      </w:r>
    </w:p>
    <w:p w14:paraId="6B0278AC" w14:textId="77777777" w:rsidR="00E65154" w:rsidRDefault="00E65154" w:rsidP="00334810">
      <w:pPr>
        <w:rPr>
          <w:color w:val="2F5496" w:themeColor="accent1" w:themeShade="BF"/>
          <w:lang w:eastAsia="en-US"/>
        </w:rPr>
      </w:pPr>
    </w:p>
    <w:p w14:paraId="4AAD118A" w14:textId="067F1AC5" w:rsidR="00334810" w:rsidRPr="003214D1" w:rsidRDefault="002E2FEA" w:rsidP="00E65154">
      <w:pPr>
        <w:pStyle w:val="Heading3"/>
        <w:rPr>
          <w:lang w:eastAsia="en-US"/>
        </w:rPr>
      </w:pPr>
      <w:r w:rsidRPr="003214D1">
        <w:rPr>
          <w:lang w:eastAsia="en-US"/>
        </w:rPr>
        <w:t>Community Interpreting Service</w:t>
      </w:r>
    </w:p>
    <w:p w14:paraId="06D98622" w14:textId="33C3E4F7" w:rsidR="00334810" w:rsidRDefault="002E2FEA" w:rsidP="00334810">
      <w:r w:rsidRPr="00D07499">
        <w:t xml:space="preserve">The Council’s Community Interpreting Service supports customers whose first language is not English in gaining access to services. </w:t>
      </w:r>
      <w:r w:rsidR="009E4D98">
        <w:t xml:space="preserve"> </w:t>
      </w:r>
      <w:r w:rsidRPr="00D07499">
        <w:t>This covers not only council services, but extends across a range of public sector bodies, including, but not exclusively, teams within the NHS.</w:t>
      </w:r>
    </w:p>
    <w:p w14:paraId="4BE35515" w14:textId="77777777" w:rsidR="002E2FEA" w:rsidRDefault="002E2FEA" w:rsidP="00334810"/>
    <w:p w14:paraId="2557D528" w14:textId="6701F10C" w:rsidR="002E2FEA" w:rsidRPr="003214D1" w:rsidRDefault="002E2FEA" w:rsidP="00E65154">
      <w:pPr>
        <w:pStyle w:val="Heading3"/>
        <w:rPr>
          <w:lang w:eastAsia="en-US"/>
        </w:rPr>
      </w:pPr>
      <w:r w:rsidRPr="003214D1">
        <w:rPr>
          <w:lang w:eastAsia="en-US"/>
        </w:rPr>
        <w:t>Disabled Workers’ and Carers Network</w:t>
      </w:r>
    </w:p>
    <w:p w14:paraId="2068A0B4" w14:textId="6EA257A6" w:rsidR="002E2FEA" w:rsidRDefault="002E2FEA" w:rsidP="00334810">
      <w:r w:rsidRPr="00D07499">
        <w:t xml:space="preserve">The Disabled Workers’ and Carers Network (DWCN) supports staff with all types of disabilities for example: physical, sensory, mental health and learning difficulties, including hidden disabilities such as ME, epilepsy, diabetes and heart conditions. </w:t>
      </w:r>
      <w:r w:rsidR="009E4D98">
        <w:t xml:space="preserve"> </w:t>
      </w:r>
      <w:r w:rsidRPr="00D07499">
        <w:t>The DWCN is consulted on policies across the breadth of Medway’s activities and is consulted on relevant issues.</w:t>
      </w:r>
    </w:p>
    <w:p w14:paraId="431B74F6" w14:textId="093F659B" w:rsidR="00C40662" w:rsidRDefault="00C40662" w:rsidP="00DE0A77">
      <w:pPr>
        <w:rPr>
          <w:highlight w:val="yellow"/>
        </w:rPr>
      </w:pPr>
    </w:p>
    <w:p w14:paraId="2CA80910" w14:textId="18C7228E" w:rsidR="00A0168E" w:rsidRPr="007A45CE" w:rsidRDefault="00DE0A77" w:rsidP="002E2FEA">
      <w:pPr>
        <w:pStyle w:val="Heading2"/>
        <w:ind w:right="-426"/>
        <w:rPr>
          <w:sz w:val="28"/>
          <w:szCs w:val="28"/>
        </w:rPr>
      </w:pPr>
      <w:r w:rsidRPr="007A45CE">
        <w:rPr>
          <w:sz w:val="28"/>
          <w:szCs w:val="28"/>
        </w:rPr>
        <w:t>Equality Duty 2: Advance equality of opportunity</w:t>
      </w:r>
    </w:p>
    <w:p w14:paraId="7F6F63D8" w14:textId="77777777" w:rsidR="001F0D5B" w:rsidRPr="001F0D5B" w:rsidRDefault="001F0D5B" w:rsidP="001F0D5B">
      <w:pPr>
        <w:rPr>
          <w:lang w:val="en-US" w:eastAsia="en-US"/>
        </w:rPr>
      </w:pPr>
    </w:p>
    <w:p w14:paraId="790B513A" w14:textId="77777777" w:rsidR="001F0D5B" w:rsidRPr="003214D1" w:rsidRDefault="001F0D5B" w:rsidP="00E65154">
      <w:pPr>
        <w:pStyle w:val="Heading3"/>
        <w:rPr>
          <w:lang w:eastAsia="en-US"/>
        </w:rPr>
      </w:pPr>
      <w:r w:rsidRPr="003214D1">
        <w:rPr>
          <w:lang w:eastAsia="en-US"/>
        </w:rPr>
        <w:t xml:space="preserve">Child-Friendly Medway </w:t>
      </w:r>
    </w:p>
    <w:p w14:paraId="5D2E8EDD" w14:textId="77777777" w:rsidR="001F0D5B" w:rsidRPr="001F0D5B" w:rsidRDefault="001F0D5B" w:rsidP="001F0D5B">
      <w:pPr>
        <w:rPr>
          <w:lang w:val="en-US" w:eastAsia="en-US"/>
        </w:rPr>
      </w:pPr>
      <w:r w:rsidRPr="001F0D5B">
        <w:rPr>
          <w:lang w:val="en-US" w:eastAsia="en-US"/>
        </w:rPr>
        <w:t xml:space="preserve">Child-Friendly Medway endeavours to provide the best start in life, giving children and young people the means to have their voices heard and responded to. </w:t>
      </w:r>
    </w:p>
    <w:p w14:paraId="5E2B9338" w14:textId="77777777" w:rsidR="001F0D5B" w:rsidRPr="001F0D5B" w:rsidRDefault="001F0D5B" w:rsidP="001F0D5B">
      <w:pPr>
        <w:rPr>
          <w:lang w:val="en-US" w:eastAsia="en-US"/>
        </w:rPr>
      </w:pPr>
    </w:p>
    <w:p w14:paraId="48BBAA81" w14:textId="77777777" w:rsidR="001F0D5B" w:rsidRPr="001F0D5B" w:rsidRDefault="001F0D5B" w:rsidP="001F0D5B">
      <w:pPr>
        <w:rPr>
          <w:lang w:val="en-US" w:eastAsia="en-US"/>
        </w:rPr>
      </w:pPr>
      <w:r w:rsidRPr="001F0D5B">
        <w:rPr>
          <w:lang w:val="en-US" w:eastAsia="en-US"/>
        </w:rPr>
        <w:t xml:space="preserve">Child-Friendly Medway provides regular consultation opportunities throughout the year for children and young people, parents, carers and the wider community to work towards making Medway even more child-friendly, with the aim to make Medway one of the best places in the country to grow up. </w:t>
      </w:r>
    </w:p>
    <w:p w14:paraId="6288E490" w14:textId="77777777" w:rsidR="001F0D5B" w:rsidRPr="001F0D5B" w:rsidRDefault="001F0D5B" w:rsidP="001F0D5B">
      <w:pPr>
        <w:rPr>
          <w:lang w:val="en-US" w:eastAsia="en-US"/>
        </w:rPr>
      </w:pPr>
    </w:p>
    <w:p w14:paraId="38B55004" w14:textId="65095C43" w:rsidR="001F0D5B" w:rsidRPr="001F0D5B" w:rsidRDefault="001F0D5B" w:rsidP="001F0D5B">
      <w:pPr>
        <w:rPr>
          <w:lang w:val="en-US" w:eastAsia="en-US"/>
        </w:rPr>
      </w:pPr>
      <w:r w:rsidRPr="001F0D5B">
        <w:rPr>
          <w:lang w:val="en-US" w:eastAsia="en-US"/>
        </w:rPr>
        <w:t xml:space="preserve">Child-Friendly Medway provide a range of free events and activities for children, young people, and families in Medway, narrowing the gap and ensuring that the voices of children and young people are heard and responded to. </w:t>
      </w:r>
      <w:r w:rsidR="009E4D98">
        <w:rPr>
          <w:lang w:val="en-US" w:eastAsia="en-US"/>
        </w:rPr>
        <w:t xml:space="preserve"> </w:t>
      </w:r>
      <w:r w:rsidRPr="001F0D5B">
        <w:rPr>
          <w:lang w:val="en-US" w:eastAsia="en-US"/>
        </w:rPr>
        <w:t>In 2023, Child-Friendly Medway ran/supported over 4,000 events, with an audience of over 91,000.</w:t>
      </w:r>
    </w:p>
    <w:p w14:paraId="1ECB6BEB" w14:textId="77777777" w:rsidR="001F0D5B" w:rsidRPr="001F0D5B" w:rsidRDefault="001F0D5B" w:rsidP="001F0D5B">
      <w:pPr>
        <w:rPr>
          <w:lang w:val="en-US" w:eastAsia="en-US"/>
        </w:rPr>
      </w:pPr>
    </w:p>
    <w:p w14:paraId="7CF7CE44" w14:textId="332551FA" w:rsidR="001F0D5B" w:rsidRPr="001F0D5B" w:rsidRDefault="001F0D5B" w:rsidP="001F0D5B">
      <w:pPr>
        <w:rPr>
          <w:lang w:val="en-US" w:eastAsia="en-US"/>
        </w:rPr>
      </w:pPr>
      <w:r w:rsidRPr="001F0D5B">
        <w:rPr>
          <w:lang w:val="en-US" w:eastAsia="en-US"/>
        </w:rPr>
        <w:t xml:space="preserve">Seeing is Believing is a universal programme of activities that broadens horizons for children and young people, providing positive and creative events and activities to build confidence and a sense of community. </w:t>
      </w:r>
      <w:r w:rsidR="009E4D98">
        <w:rPr>
          <w:lang w:val="en-US" w:eastAsia="en-US"/>
        </w:rPr>
        <w:t xml:space="preserve"> </w:t>
      </w:r>
      <w:r w:rsidRPr="001F0D5B">
        <w:rPr>
          <w:lang w:val="en-US" w:eastAsia="en-US"/>
        </w:rPr>
        <w:t>Examples of these events are Super Saturday (30,000+ in attendance) and Dino Day (20,000+), which invited children and young people to take part in trail activities, meet characters and get creative at workshops.</w:t>
      </w:r>
    </w:p>
    <w:p w14:paraId="49B0F3E0" w14:textId="77777777" w:rsidR="001F0D5B" w:rsidRPr="001F0D5B" w:rsidRDefault="001F0D5B" w:rsidP="001F0D5B">
      <w:pPr>
        <w:rPr>
          <w:lang w:val="en-US" w:eastAsia="en-US"/>
        </w:rPr>
      </w:pPr>
    </w:p>
    <w:p w14:paraId="2488A4E1" w14:textId="77777777" w:rsidR="001F0D5B" w:rsidRPr="001F0D5B" w:rsidRDefault="001F0D5B" w:rsidP="001F0D5B">
      <w:pPr>
        <w:rPr>
          <w:lang w:val="en-US" w:eastAsia="en-US"/>
        </w:rPr>
      </w:pPr>
      <w:r w:rsidRPr="001F0D5B">
        <w:rPr>
          <w:lang w:val="en-US" w:eastAsia="en-US"/>
        </w:rPr>
        <w:t xml:space="preserve">As part of Child-Friendly Medway’s Seeing is Believing programming, which is open to all, SEND-specific events and activities are held and supported to help narrow the gap.  For example, a BSL performance of Jack and the Beanstalk Pantomime, Disability Youth Games, Stage and Social Sundays. </w:t>
      </w:r>
    </w:p>
    <w:p w14:paraId="292A10AD" w14:textId="77777777" w:rsidR="001F0D5B" w:rsidRPr="001F0D5B" w:rsidRDefault="001F0D5B" w:rsidP="001F0D5B">
      <w:pPr>
        <w:rPr>
          <w:lang w:val="en-US" w:eastAsia="en-US"/>
        </w:rPr>
      </w:pPr>
    </w:p>
    <w:p w14:paraId="4DCE7485" w14:textId="39C6C348" w:rsidR="001F0D5B" w:rsidRPr="001F0D5B" w:rsidRDefault="001F0D5B" w:rsidP="001F0D5B">
      <w:pPr>
        <w:rPr>
          <w:lang w:val="en-US" w:eastAsia="en-US"/>
        </w:rPr>
      </w:pPr>
      <w:r w:rsidRPr="001F0D5B">
        <w:rPr>
          <w:lang w:val="en-US" w:eastAsia="en-US"/>
        </w:rPr>
        <w:t>For the Love of Reading is an initiative that provides free books and storytelling activities for children and young people.</w:t>
      </w:r>
      <w:r w:rsidR="009E4D98">
        <w:rPr>
          <w:lang w:val="en-US" w:eastAsia="en-US"/>
        </w:rPr>
        <w:t xml:space="preserve"> </w:t>
      </w:r>
      <w:r w:rsidRPr="001F0D5B">
        <w:rPr>
          <w:lang w:val="en-US" w:eastAsia="en-US"/>
        </w:rPr>
        <w:t xml:space="preserve"> In multiple studies, the presence of books in the home has proved to be the biggest indicator of a child’s future success, it is therefore vital Medway’s children are given the opportunity to own their own book. Soft play and Story Corner, Storytime and Snacks, Book Nooks and Book Trails are some of the events that are run as part of this initiative. </w:t>
      </w:r>
    </w:p>
    <w:p w14:paraId="0458EA96" w14:textId="77777777" w:rsidR="001F0D5B" w:rsidRPr="001F0D5B" w:rsidRDefault="001F0D5B" w:rsidP="001F0D5B">
      <w:pPr>
        <w:rPr>
          <w:lang w:val="en-US" w:eastAsia="en-US"/>
        </w:rPr>
      </w:pPr>
    </w:p>
    <w:p w14:paraId="67D2B20B" w14:textId="622C2EEB" w:rsidR="001F0D5B" w:rsidRDefault="001F0D5B" w:rsidP="001F0D5B">
      <w:pPr>
        <w:rPr>
          <w:lang w:val="en-US" w:eastAsia="en-US"/>
        </w:rPr>
      </w:pPr>
      <w:r w:rsidRPr="001F0D5B">
        <w:rPr>
          <w:lang w:val="en-US" w:eastAsia="en-US"/>
        </w:rPr>
        <w:t>Through the Start for Life programme, Child-Friendly Medway provides activities and events for children aged   0-5 and their parents and carers, including activities such as Pop-Up Messy Play, Soft Play and Story Corner and Baby/Toddler with Parent/Carer Pilates.</w:t>
      </w:r>
    </w:p>
    <w:p w14:paraId="1373FADD" w14:textId="77777777" w:rsidR="003214D1" w:rsidRDefault="003214D1" w:rsidP="001F0D5B">
      <w:pPr>
        <w:rPr>
          <w:lang w:val="en-US" w:eastAsia="en-US"/>
        </w:rPr>
      </w:pPr>
    </w:p>
    <w:p w14:paraId="23822FD4" w14:textId="25D591DB" w:rsidR="001F0D5B" w:rsidRPr="003214D1" w:rsidRDefault="001F0D5B" w:rsidP="00E65154">
      <w:pPr>
        <w:pStyle w:val="Heading3"/>
        <w:rPr>
          <w:lang w:eastAsia="en-US"/>
        </w:rPr>
      </w:pPr>
      <w:r w:rsidRPr="003214D1">
        <w:rPr>
          <w:lang w:eastAsia="en-US"/>
        </w:rPr>
        <w:t>Medway Youth Council</w:t>
      </w:r>
    </w:p>
    <w:p w14:paraId="76119BFF" w14:textId="68AE915C" w:rsidR="001F0D5B" w:rsidRDefault="001F0D5B" w:rsidP="001F0D5B">
      <w:r w:rsidRPr="003B4352">
        <w:t>Medway Youth Council is an independent body of young people aged 13-19, supported by Medway Council, to enable young people to influence decisions concerning them.</w:t>
      </w:r>
    </w:p>
    <w:p w14:paraId="42999CDF" w14:textId="77777777" w:rsidR="001F0D5B" w:rsidRDefault="001F0D5B" w:rsidP="001F0D5B"/>
    <w:p w14:paraId="5352796B" w14:textId="77777777" w:rsidR="001F0D5B" w:rsidRPr="003214D1" w:rsidRDefault="001F0D5B" w:rsidP="00E65154">
      <w:pPr>
        <w:pStyle w:val="Heading3"/>
        <w:rPr>
          <w:lang w:eastAsia="en-US"/>
        </w:rPr>
      </w:pPr>
      <w:r w:rsidRPr="003214D1">
        <w:rPr>
          <w:lang w:eastAsia="en-US"/>
        </w:rPr>
        <w:t>Reducing teenage pregnancy rates</w:t>
      </w:r>
    </w:p>
    <w:p w14:paraId="16DC7F78" w14:textId="193E645F" w:rsidR="001F0D5B" w:rsidRPr="001F0D5B" w:rsidRDefault="001F0D5B" w:rsidP="001F0D5B">
      <w:pPr>
        <w:rPr>
          <w:lang w:eastAsia="en-US"/>
        </w:rPr>
      </w:pPr>
      <w:r w:rsidRPr="001F0D5B">
        <w:rPr>
          <w:lang w:eastAsia="en-US"/>
        </w:rPr>
        <w:t xml:space="preserve">High quality relationships and sex education is being supported through the development of the Medway Relationship and Sex Education (RSE) scheme of work, produced by the Personal, Social, Health and Economic Education (PSHE) Association for Medway schools and is highlighted nationally as best practice. </w:t>
      </w:r>
      <w:r w:rsidR="009E4D98">
        <w:rPr>
          <w:lang w:eastAsia="en-US"/>
        </w:rPr>
        <w:t xml:space="preserve"> </w:t>
      </w:r>
      <w:r w:rsidRPr="001F0D5B">
        <w:rPr>
          <w:lang w:eastAsia="en-US"/>
        </w:rPr>
        <w:t xml:space="preserve">Over 89% of Schools in Medway are signed up to deliver RSE through the PSHE curriculum and 63 schools are actively engaged in the PSHE network. </w:t>
      </w:r>
    </w:p>
    <w:p w14:paraId="2412D1EC" w14:textId="77777777" w:rsidR="001F0D5B" w:rsidRPr="001F0D5B" w:rsidRDefault="001F0D5B" w:rsidP="001F0D5B">
      <w:pPr>
        <w:rPr>
          <w:lang w:eastAsia="en-US"/>
        </w:rPr>
      </w:pPr>
    </w:p>
    <w:p w14:paraId="010C0E79" w14:textId="70E1771B" w:rsidR="001F0D5B" w:rsidRPr="001F0D5B" w:rsidRDefault="001F0D5B" w:rsidP="001F0D5B">
      <w:pPr>
        <w:rPr>
          <w:lang w:eastAsia="en-US"/>
        </w:rPr>
      </w:pPr>
      <w:r w:rsidRPr="001F0D5B">
        <w:rPr>
          <w:lang w:eastAsia="en-US"/>
        </w:rPr>
        <w:t xml:space="preserve">Contraceptive and sexual health services are available in several secondary schools, as well as Mid-Kent college. </w:t>
      </w:r>
      <w:r w:rsidR="009E4D98">
        <w:rPr>
          <w:lang w:eastAsia="en-US"/>
        </w:rPr>
        <w:t xml:space="preserve"> </w:t>
      </w:r>
      <w:r w:rsidRPr="001F0D5B">
        <w:rPr>
          <w:lang w:eastAsia="en-US"/>
        </w:rPr>
        <w:t xml:space="preserve">The ‘Get It’ free condom scheme has been integrated into wider sexual health services to increase accessibility. </w:t>
      </w:r>
      <w:r w:rsidR="009E4D98">
        <w:rPr>
          <w:lang w:eastAsia="en-US"/>
        </w:rPr>
        <w:t xml:space="preserve"> </w:t>
      </w:r>
      <w:r w:rsidRPr="001F0D5B">
        <w:rPr>
          <w:lang w:eastAsia="en-US"/>
        </w:rPr>
        <w:t>Emergency hormonal contraception is available at pharmacies free of charge for women under 30 years of age.</w:t>
      </w:r>
    </w:p>
    <w:p w14:paraId="4693F33A" w14:textId="77777777" w:rsidR="001F0D5B" w:rsidRPr="001F0D5B" w:rsidRDefault="001F0D5B" w:rsidP="001F0D5B">
      <w:pPr>
        <w:rPr>
          <w:lang w:eastAsia="en-US"/>
        </w:rPr>
      </w:pPr>
    </w:p>
    <w:p w14:paraId="71909935" w14:textId="55754098" w:rsidR="001F0D5B" w:rsidRDefault="001F0D5B" w:rsidP="001F0D5B">
      <w:pPr>
        <w:rPr>
          <w:lang w:eastAsia="en-US"/>
        </w:rPr>
      </w:pPr>
      <w:r w:rsidRPr="001F0D5B">
        <w:rPr>
          <w:lang w:eastAsia="en-US"/>
        </w:rPr>
        <w:t xml:space="preserve">Sexual health nurses provide contraception and advice in youth settings. </w:t>
      </w:r>
      <w:r w:rsidR="009E4D98">
        <w:rPr>
          <w:lang w:eastAsia="en-US"/>
        </w:rPr>
        <w:t xml:space="preserve"> </w:t>
      </w:r>
      <w:r w:rsidRPr="001F0D5B">
        <w:rPr>
          <w:lang w:eastAsia="en-US"/>
        </w:rPr>
        <w:t xml:space="preserve">Targeted sexual health clinics for young people take place at the Hub in Clover Street, with the remainder being young person friendly. </w:t>
      </w:r>
      <w:r w:rsidR="009E4D98">
        <w:rPr>
          <w:lang w:eastAsia="en-US"/>
        </w:rPr>
        <w:t xml:space="preserve"> </w:t>
      </w:r>
      <w:r w:rsidRPr="001F0D5B">
        <w:rPr>
          <w:lang w:eastAsia="en-US"/>
        </w:rPr>
        <w:t>Specialist sexual health outreach nurses provide home visits to vulnerable young people, including children in care (CIC) and young parents.</w:t>
      </w:r>
    </w:p>
    <w:p w14:paraId="69503708" w14:textId="77777777" w:rsidR="001F0D5B" w:rsidRDefault="001F0D5B" w:rsidP="001F0D5B">
      <w:pPr>
        <w:rPr>
          <w:lang w:eastAsia="en-US"/>
        </w:rPr>
      </w:pPr>
    </w:p>
    <w:p w14:paraId="7B4526A5" w14:textId="26E879AF" w:rsidR="001F0D5B" w:rsidRPr="003214D1" w:rsidRDefault="001F0D5B" w:rsidP="00E65154">
      <w:pPr>
        <w:pStyle w:val="Heading3"/>
        <w:rPr>
          <w:lang w:eastAsia="en-US"/>
        </w:rPr>
      </w:pPr>
      <w:r w:rsidRPr="003214D1">
        <w:rPr>
          <w:lang w:eastAsia="en-US"/>
        </w:rPr>
        <w:t>Local Offer</w:t>
      </w:r>
    </w:p>
    <w:p w14:paraId="6263B275" w14:textId="2B696049" w:rsidR="001F0D5B" w:rsidRPr="001F0D5B" w:rsidRDefault="001F0D5B" w:rsidP="001F0D5B">
      <w:pPr>
        <w:rPr>
          <w:lang w:eastAsia="en-US"/>
        </w:rPr>
      </w:pPr>
      <w:r w:rsidRPr="001F0D5B">
        <w:rPr>
          <w:lang w:eastAsia="en-US"/>
        </w:rPr>
        <w:t xml:space="preserve">Medway's Local Offer is a one-stop shop for everything you need to know and services you might need to access that support children and young people with Special Educational Needs and Disabilities (SEND). </w:t>
      </w:r>
      <w:r w:rsidR="009E4D98">
        <w:rPr>
          <w:lang w:eastAsia="en-US"/>
        </w:rPr>
        <w:t xml:space="preserve"> </w:t>
      </w:r>
      <w:r w:rsidRPr="001F0D5B">
        <w:rPr>
          <w:lang w:eastAsia="en-US"/>
        </w:rPr>
        <w:t xml:space="preserve">Our Local Offer has been developed with the help of local families. </w:t>
      </w:r>
      <w:r w:rsidR="009E4D98">
        <w:rPr>
          <w:lang w:eastAsia="en-US"/>
        </w:rPr>
        <w:t xml:space="preserve"> </w:t>
      </w:r>
      <w:r w:rsidRPr="001F0D5B">
        <w:rPr>
          <w:lang w:eastAsia="en-US"/>
        </w:rPr>
        <w:t>Inspectors looked at the support given to children and young people to help them reach their full potential and found that schools have ‘highly effective systems to identify and support pupils’ with special educational needs</w:t>
      </w:r>
    </w:p>
    <w:p w14:paraId="3E102C48" w14:textId="049F96F5" w:rsidR="001F0D5B" w:rsidRDefault="001F0D5B" w:rsidP="001F0D5B">
      <w:pPr>
        <w:rPr>
          <w:lang w:eastAsia="en-US"/>
        </w:rPr>
      </w:pPr>
      <w:r w:rsidRPr="001F0D5B">
        <w:rPr>
          <w:lang w:eastAsia="en-US"/>
        </w:rPr>
        <w:t xml:space="preserve">A young person’s disability group was set up to help implement this work. </w:t>
      </w:r>
      <w:r w:rsidR="009E4D98">
        <w:rPr>
          <w:lang w:eastAsia="en-US"/>
        </w:rPr>
        <w:t xml:space="preserve"> </w:t>
      </w:r>
      <w:r w:rsidRPr="001F0D5B">
        <w:rPr>
          <w:lang w:eastAsia="en-US"/>
        </w:rPr>
        <w:t>There is a strong link with the Medway Parent Carer Forum, which is a group for parent’s carers who care for children with additional needs such as a disability.</w:t>
      </w:r>
    </w:p>
    <w:p w14:paraId="1FC5F90B" w14:textId="77777777" w:rsidR="001F0D5B" w:rsidRDefault="001F0D5B" w:rsidP="001F0D5B">
      <w:pPr>
        <w:rPr>
          <w:lang w:eastAsia="en-US"/>
        </w:rPr>
      </w:pPr>
    </w:p>
    <w:p w14:paraId="0B4F7FFD" w14:textId="77777777" w:rsidR="001F0D5B" w:rsidRPr="003214D1" w:rsidRDefault="001F0D5B" w:rsidP="00E65154">
      <w:pPr>
        <w:pStyle w:val="Heading3"/>
        <w:rPr>
          <w:lang w:eastAsia="en-US"/>
        </w:rPr>
      </w:pPr>
      <w:r w:rsidRPr="003214D1">
        <w:rPr>
          <w:lang w:eastAsia="en-US"/>
        </w:rPr>
        <w:t>Dementia Awareness</w:t>
      </w:r>
    </w:p>
    <w:p w14:paraId="7776D416" w14:textId="2D5E196E" w:rsidR="001F0D5B" w:rsidRDefault="0078515C" w:rsidP="001F0D5B">
      <w:r w:rsidRPr="007D6775">
        <w:t xml:space="preserve">Medway Council actively supports the Medway Dementia Action Alliance (DAA) which comprises membership from local elected members, residents, businesses, and stakeholders from health and third sector organisations. </w:t>
      </w:r>
      <w:r w:rsidR="009E4D98">
        <w:t xml:space="preserve"> </w:t>
      </w:r>
      <w:r w:rsidRPr="007D6775">
        <w:t xml:space="preserve">In consort with the DAA, the Public Health team utilise online resources and existing partnership working opportunities to increase capacity for the delivery of Dementia Friendly campaigns, including “champions” training for individuals and an accreditation process for organisations and workplaces to reach a recognised dementia friendly status. </w:t>
      </w:r>
      <w:r w:rsidR="009E4D98">
        <w:t xml:space="preserve"> </w:t>
      </w:r>
      <w:r w:rsidRPr="007D6775">
        <w:t>This has increased the accessibility and support for individuals living with or caring for those with Dementia.</w:t>
      </w:r>
    </w:p>
    <w:p w14:paraId="62DC7D01" w14:textId="77777777" w:rsidR="00E65154" w:rsidRDefault="00E65154" w:rsidP="001F0D5B"/>
    <w:p w14:paraId="53D36AF7" w14:textId="77777777" w:rsidR="0078515C" w:rsidRPr="003214D1" w:rsidRDefault="0078515C" w:rsidP="00E65154">
      <w:pPr>
        <w:pStyle w:val="Heading3"/>
        <w:rPr>
          <w:lang w:eastAsia="en-US"/>
        </w:rPr>
      </w:pPr>
      <w:r w:rsidRPr="003214D1">
        <w:rPr>
          <w:lang w:eastAsia="en-US"/>
        </w:rPr>
        <w:t>Tobacco control</w:t>
      </w:r>
    </w:p>
    <w:p w14:paraId="794456CD" w14:textId="090542FB" w:rsidR="0078515C" w:rsidRDefault="0078515C" w:rsidP="0078515C">
      <w:pPr>
        <w:rPr>
          <w:lang w:eastAsia="en-US"/>
        </w:rPr>
      </w:pPr>
      <w:r>
        <w:rPr>
          <w:lang w:eastAsia="en-US"/>
        </w:rPr>
        <w:t xml:space="preserve">Local authorities are at the forefront of national efforts to achieve the government’s ambition of being smokefree by 2030. Medway brings together partners and champions that work collaboratively towards achieving this. </w:t>
      </w:r>
      <w:r w:rsidR="009E4D98">
        <w:rPr>
          <w:lang w:eastAsia="en-US"/>
        </w:rPr>
        <w:t xml:space="preserve"> </w:t>
      </w:r>
      <w:r>
        <w:rPr>
          <w:lang w:eastAsia="en-US"/>
        </w:rPr>
        <w:t xml:space="preserve">The team has continued to develop locally responsive approaches to reducing the burden of tobacco on individuals and the community. </w:t>
      </w:r>
      <w:r w:rsidR="009E4D98">
        <w:rPr>
          <w:lang w:eastAsia="en-US"/>
        </w:rPr>
        <w:t xml:space="preserve"> </w:t>
      </w:r>
      <w:r>
        <w:rPr>
          <w:lang w:eastAsia="en-US"/>
        </w:rPr>
        <w:t xml:space="preserve">This has included supporting every smoker to quit, providing specialised services to reduce maternal smoking, supporting smoke-free workplaces, tackling the sale and supply of illicit tobacco, providing education concerning the harms of exposure to second-hand smoke, understanding youth vaping and working towards prevention, and promoting e-cigarettes as an effective quit tool for adults. </w:t>
      </w:r>
    </w:p>
    <w:p w14:paraId="4DC2E72A" w14:textId="77777777" w:rsidR="0078515C" w:rsidRDefault="0078515C" w:rsidP="0078515C">
      <w:pPr>
        <w:rPr>
          <w:lang w:eastAsia="en-US"/>
        </w:rPr>
      </w:pPr>
    </w:p>
    <w:p w14:paraId="492B174A" w14:textId="29E75F31" w:rsidR="0078515C" w:rsidRDefault="0078515C" w:rsidP="0078515C">
      <w:pPr>
        <w:rPr>
          <w:lang w:eastAsia="en-US"/>
        </w:rPr>
      </w:pPr>
      <w:r>
        <w:rPr>
          <w:lang w:eastAsia="en-US"/>
        </w:rPr>
        <w:t xml:space="preserve">The Medway Tobacco Control Alliance’s focus has been to collectively drive down smoking prevalence and reduce the many health, social and economic costs of smoking by implementing ten high impact actions. </w:t>
      </w:r>
      <w:r w:rsidR="009E4D98">
        <w:rPr>
          <w:lang w:eastAsia="en-US"/>
        </w:rPr>
        <w:t xml:space="preserve"> </w:t>
      </w:r>
      <w:r>
        <w:rPr>
          <w:lang w:eastAsia="en-US"/>
        </w:rPr>
        <w:t>These include prioritising health inequalities, promoting harm reduction and enabling young people to live smokefree.</w:t>
      </w:r>
    </w:p>
    <w:p w14:paraId="15295457" w14:textId="2C3BA3A2" w:rsidR="0078515C" w:rsidRDefault="0078515C" w:rsidP="0078515C">
      <w:pPr>
        <w:rPr>
          <w:lang w:eastAsia="en-US"/>
        </w:rPr>
      </w:pPr>
      <w:r>
        <w:rPr>
          <w:lang w:eastAsia="en-US"/>
        </w:rPr>
        <w:t xml:space="preserve">In October 2023, the Government released the policy paper “Stopping the Start: Our Strategy for achieving a smokefree generation 2023”. </w:t>
      </w:r>
      <w:r w:rsidR="009E4D98">
        <w:rPr>
          <w:lang w:eastAsia="en-US"/>
        </w:rPr>
        <w:t xml:space="preserve"> </w:t>
      </w:r>
      <w:r>
        <w:rPr>
          <w:lang w:eastAsia="en-US"/>
        </w:rPr>
        <w:t xml:space="preserve">This policy outlines the rationale for intensifying efforts to prevent new smoking addictions, whilst tackling the emerging issue of youth vaping. </w:t>
      </w:r>
    </w:p>
    <w:p w14:paraId="6D955B01" w14:textId="77777777" w:rsidR="0078515C" w:rsidRDefault="0078515C" w:rsidP="0078515C">
      <w:pPr>
        <w:rPr>
          <w:lang w:eastAsia="en-US"/>
        </w:rPr>
      </w:pPr>
    </w:p>
    <w:p w14:paraId="15D1278F" w14:textId="56FE9075" w:rsidR="0078515C" w:rsidRDefault="0078515C" w:rsidP="0078515C">
      <w:pPr>
        <w:rPr>
          <w:lang w:eastAsia="en-US"/>
        </w:rPr>
      </w:pPr>
      <w:r>
        <w:rPr>
          <w:lang w:eastAsia="en-US"/>
        </w:rPr>
        <w:t xml:space="preserve">The tobacco control team have commissioned a research company to carry out insights and engagement work with young people, parents, and professionals in Medway to better understand vaping behaviour amongst young people, including identifying potential enablers and disruptors. </w:t>
      </w:r>
      <w:r w:rsidR="009E4D98">
        <w:rPr>
          <w:lang w:eastAsia="en-US"/>
        </w:rPr>
        <w:t xml:space="preserve"> </w:t>
      </w:r>
      <w:r>
        <w:rPr>
          <w:lang w:eastAsia="en-US"/>
        </w:rPr>
        <w:t xml:space="preserve">The research began in September 2023, and is due for completion in March 2024. </w:t>
      </w:r>
      <w:r w:rsidR="009E4D98">
        <w:rPr>
          <w:lang w:eastAsia="en-US"/>
        </w:rPr>
        <w:t xml:space="preserve"> </w:t>
      </w:r>
      <w:r>
        <w:rPr>
          <w:lang w:eastAsia="en-US"/>
        </w:rPr>
        <w:t xml:space="preserve">The team will look to implement recommendations from the research in 2024/25. </w:t>
      </w:r>
    </w:p>
    <w:p w14:paraId="526B60D3" w14:textId="6EAE4550" w:rsidR="0078515C" w:rsidRDefault="0078515C" w:rsidP="0078515C">
      <w:pPr>
        <w:rPr>
          <w:lang w:eastAsia="en-US"/>
        </w:rPr>
      </w:pPr>
      <w:r>
        <w:rPr>
          <w:lang w:eastAsia="en-US"/>
        </w:rPr>
        <w:t xml:space="preserve">In April 2022, the service saw the launch of its first e-cigarette pilot in collaboration with social housing. </w:t>
      </w:r>
      <w:r w:rsidR="009E4D98">
        <w:rPr>
          <w:lang w:eastAsia="en-US"/>
        </w:rPr>
        <w:t xml:space="preserve"> </w:t>
      </w:r>
      <w:r>
        <w:rPr>
          <w:lang w:eastAsia="en-US"/>
        </w:rPr>
        <w:t xml:space="preserve">This project presented the opportunity to engage vulnerable clients from the most deprived communities. </w:t>
      </w:r>
      <w:r w:rsidR="009E4D98">
        <w:rPr>
          <w:lang w:eastAsia="en-US"/>
        </w:rPr>
        <w:t xml:space="preserve"> </w:t>
      </w:r>
      <w:r>
        <w:rPr>
          <w:lang w:eastAsia="en-US"/>
        </w:rPr>
        <w:t xml:space="preserve">This included those who may not have previously had access to such support due to financial or other barriers. </w:t>
      </w:r>
      <w:r w:rsidR="009E4D98">
        <w:rPr>
          <w:lang w:eastAsia="en-US"/>
        </w:rPr>
        <w:t xml:space="preserve"> </w:t>
      </w:r>
      <w:r>
        <w:rPr>
          <w:lang w:eastAsia="en-US"/>
        </w:rPr>
        <w:t xml:space="preserve">The Core stop smoking service launched their universal vape offer in September 2023. Nationally, </w:t>
      </w:r>
      <w:r w:rsidR="009E4D98">
        <w:rPr>
          <w:lang w:eastAsia="en-US"/>
        </w:rPr>
        <w:t xml:space="preserve"> </w:t>
      </w:r>
      <w:r>
        <w:rPr>
          <w:lang w:eastAsia="en-US"/>
        </w:rPr>
        <w:t xml:space="preserve">Central Government have launched a ‘swap to stop’ scheme. This is to promote vaping as an effective quit tool for adult smokers. </w:t>
      </w:r>
      <w:r w:rsidR="009E4D98">
        <w:rPr>
          <w:lang w:eastAsia="en-US"/>
        </w:rPr>
        <w:t xml:space="preserve"> </w:t>
      </w:r>
      <w:r>
        <w:rPr>
          <w:lang w:eastAsia="en-US"/>
        </w:rPr>
        <w:t>Medway has successfully bid for a portion of vape starter kits to support identified groups to quit smoking, including maternal smokers and military personnel.</w:t>
      </w:r>
    </w:p>
    <w:p w14:paraId="57D10F13" w14:textId="77777777" w:rsidR="0078515C" w:rsidRDefault="0078515C" w:rsidP="0078515C">
      <w:pPr>
        <w:rPr>
          <w:lang w:eastAsia="en-US"/>
        </w:rPr>
      </w:pPr>
    </w:p>
    <w:p w14:paraId="37E0E229" w14:textId="77777777" w:rsidR="0078515C" w:rsidRPr="003214D1" w:rsidRDefault="0078515C" w:rsidP="00E65154">
      <w:pPr>
        <w:pStyle w:val="Heading3"/>
        <w:rPr>
          <w:lang w:eastAsia="en-US"/>
        </w:rPr>
      </w:pPr>
      <w:r w:rsidRPr="003214D1">
        <w:rPr>
          <w:lang w:eastAsia="en-US"/>
        </w:rPr>
        <w:t>Mental health promotion</w:t>
      </w:r>
    </w:p>
    <w:p w14:paraId="4409C54F" w14:textId="5997C96F" w:rsidR="0078515C" w:rsidRDefault="0078515C" w:rsidP="0078515C">
      <w:pPr>
        <w:rPr>
          <w:lang w:eastAsia="en-US"/>
        </w:rPr>
      </w:pPr>
      <w:r>
        <w:rPr>
          <w:lang w:eastAsia="en-US"/>
        </w:rPr>
        <w:t xml:space="preserve">Public mental health and mental health promotion have continued to remain a priority, particularly due to the impact of the cost-of-living increase. </w:t>
      </w:r>
      <w:r w:rsidR="009E4D98">
        <w:rPr>
          <w:lang w:eastAsia="en-US"/>
        </w:rPr>
        <w:t xml:space="preserve"> </w:t>
      </w:r>
      <w:r>
        <w:rPr>
          <w:lang w:eastAsia="en-US"/>
        </w:rPr>
        <w:t xml:space="preserve">In 2023, Medway Council committed to delivering the actions within the Kent and Medway Prevention Concordat for Better Mental Health, an ICS level agreement. </w:t>
      </w:r>
      <w:r w:rsidR="009E4D98">
        <w:rPr>
          <w:lang w:eastAsia="en-US"/>
        </w:rPr>
        <w:t xml:space="preserve"> </w:t>
      </w:r>
      <w:r>
        <w:rPr>
          <w:lang w:eastAsia="en-US"/>
        </w:rPr>
        <w:t xml:space="preserve">A new </w:t>
      </w:r>
      <w:r w:rsidR="009E4D98">
        <w:rPr>
          <w:lang w:eastAsia="en-US"/>
        </w:rPr>
        <w:t xml:space="preserve">two </w:t>
      </w:r>
      <w:r>
        <w:rPr>
          <w:lang w:eastAsia="en-US"/>
        </w:rPr>
        <w:t xml:space="preserve">year contract for delivery of Men in Sheds was awarded to Sunlight Development Trust from April 2023 with additional shed provision for specific areas of deprivation included in the service specification. </w:t>
      </w:r>
    </w:p>
    <w:p w14:paraId="1E803794" w14:textId="32F1E349" w:rsidR="0078515C" w:rsidRDefault="0078515C" w:rsidP="0078515C">
      <w:pPr>
        <w:rPr>
          <w:lang w:eastAsia="en-US"/>
        </w:rPr>
      </w:pPr>
      <w:r>
        <w:rPr>
          <w:lang w:eastAsia="en-US"/>
        </w:rPr>
        <w:t xml:space="preserve">Investment continued to support the Release the Pressure helpline. </w:t>
      </w:r>
      <w:r w:rsidR="009E4D98">
        <w:rPr>
          <w:lang w:eastAsia="en-US"/>
        </w:rPr>
        <w:t xml:space="preserve"> </w:t>
      </w:r>
      <w:r>
        <w:rPr>
          <w:lang w:eastAsia="en-US"/>
        </w:rPr>
        <w:t xml:space="preserve">A campaign to promote the Five Ways to Wellbeing across Medway was launched in Feb 2023 with new creative design and resources, and existing mental health promotion resource Unwind with a Healthy Mind was updated. </w:t>
      </w:r>
      <w:r w:rsidR="009E4D98">
        <w:rPr>
          <w:lang w:eastAsia="en-US"/>
        </w:rPr>
        <w:t xml:space="preserve"> </w:t>
      </w:r>
      <w:r>
        <w:rPr>
          <w:lang w:eastAsia="en-US"/>
        </w:rPr>
        <w:t>Mental Health and Wellbeing training continued through the workforce development team and was available to anyone living or working in Medway.</w:t>
      </w:r>
      <w:r w:rsidR="009E4D98">
        <w:rPr>
          <w:lang w:eastAsia="en-US"/>
        </w:rPr>
        <w:t xml:space="preserve"> </w:t>
      </w:r>
      <w:r>
        <w:rPr>
          <w:lang w:eastAsia="en-US"/>
        </w:rPr>
        <w:t xml:space="preserve"> Partnership work has continued to support Livewell service to link with the local communities, VCS and A Better Medway services, and to drive referrals from deprivation Quintiles 1 and 2. Higher risk groups such as LGBTQ and middle-aged men have been targeted for mental health promotion and suicide prevention work via the K&amp;M Suicide Prevention programme. </w:t>
      </w:r>
      <w:r w:rsidR="009E4D98">
        <w:rPr>
          <w:lang w:eastAsia="en-US"/>
        </w:rPr>
        <w:t xml:space="preserve"> </w:t>
      </w:r>
      <w:r>
        <w:rPr>
          <w:lang w:eastAsia="en-US"/>
        </w:rPr>
        <w:t>Focus has continued on convening cross system action to improve the physical health outcomes of people with Serious Mental Illness and reduce health inequalities for this population group.</w:t>
      </w:r>
    </w:p>
    <w:p w14:paraId="7DF8A2DD" w14:textId="77777777" w:rsidR="0078515C" w:rsidRDefault="0078515C" w:rsidP="0078515C">
      <w:pPr>
        <w:rPr>
          <w:lang w:eastAsia="en-US"/>
        </w:rPr>
      </w:pPr>
    </w:p>
    <w:p w14:paraId="333B1E7A" w14:textId="2DE32469" w:rsidR="0078515C" w:rsidRPr="003214D1" w:rsidRDefault="0078515C" w:rsidP="00E65154">
      <w:pPr>
        <w:pStyle w:val="Heading3"/>
        <w:rPr>
          <w:lang w:eastAsia="en-US"/>
        </w:rPr>
      </w:pPr>
      <w:r w:rsidRPr="003214D1">
        <w:rPr>
          <w:lang w:eastAsia="en-US"/>
        </w:rPr>
        <w:t>Children and Young People’s Mental Health</w:t>
      </w:r>
    </w:p>
    <w:p w14:paraId="6B9A0E65" w14:textId="77777777" w:rsidR="0078515C" w:rsidRDefault="0078515C" w:rsidP="0078515C">
      <w:pPr>
        <w:rPr>
          <w:lang w:eastAsia="en-US"/>
        </w:rPr>
      </w:pPr>
      <w:r>
        <w:rPr>
          <w:lang w:eastAsia="en-US"/>
        </w:rPr>
        <w:t>The Thrive framework is being embedded into the wider system to ensure all children and young people can access appropriate services and support in a timely manner. The Thrive framework led to the implementation of the I-thrive directory, which allows professionals across Medway to be able to navigate mental health and emotional wellbeing support for Children and Young People (CYP).</w:t>
      </w:r>
    </w:p>
    <w:p w14:paraId="1027305B" w14:textId="77777777" w:rsidR="0078515C" w:rsidRDefault="0078515C" w:rsidP="0078515C">
      <w:pPr>
        <w:rPr>
          <w:lang w:eastAsia="en-US"/>
        </w:rPr>
      </w:pPr>
    </w:p>
    <w:p w14:paraId="4A76C9AE" w14:textId="3421C868" w:rsidR="0078515C" w:rsidRDefault="0078515C" w:rsidP="0078515C">
      <w:pPr>
        <w:rPr>
          <w:lang w:eastAsia="en-US"/>
        </w:rPr>
      </w:pPr>
      <w:r>
        <w:rPr>
          <w:lang w:eastAsia="en-US"/>
        </w:rPr>
        <w:t xml:space="preserve">In addition, services and support are promoted through the Child Mental Health Flow Chart as well as the Kent and Medway Local Children’s Partnership Groups. </w:t>
      </w:r>
      <w:r w:rsidR="00F94650">
        <w:rPr>
          <w:lang w:eastAsia="en-US"/>
        </w:rPr>
        <w:t xml:space="preserve"> </w:t>
      </w:r>
      <w:r>
        <w:rPr>
          <w:lang w:eastAsia="en-US"/>
        </w:rPr>
        <w:t xml:space="preserve">There are a variety of services commissioned to support CYP in Medway. Kooth is a digital online platform free for CYP to access which provides online counselling as well as peer support and resources for CYP aged 10-25. QWELL furthermore supports young adults aged 18+. </w:t>
      </w:r>
    </w:p>
    <w:p w14:paraId="4A240202" w14:textId="77777777" w:rsidR="0078515C" w:rsidRDefault="0078515C" w:rsidP="0078515C">
      <w:pPr>
        <w:rPr>
          <w:lang w:eastAsia="en-US"/>
        </w:rPr>
      </w:pPr>
    </w:p>
    <w:p w14:paraId="626DF2D9" w14:textId="40B1B362" w:rsidR="0078515C" w:rsidRDefault="0078515C" w:rsidP="0078515C">
      <w:pPr>
        <w:rPr>
          <w:lang w:eastAsia="en-US"/>
        </w:rPr>
      </w:pPr>
      <w:r>
        <w:rPr>
          <w:lang w:eastAsia="en-US"/>
        </w:rPr>
        <w:t xml:space="preserve">In addition, Medway Emotional Support Teams (EST) are working in over 33 schools in Medway supporting CYP with low to moderate needs. </w:t>
      </w:r>
      <w:r w:rsidR="00F94650">
        <w:rPr>
          <w:lang w:eastAsia="en-US"/>
        </w:rPr>
        <w:t xml:space="preserve"> </w:t>
      </w:r>
      <w:r>
        <w:rPr>
          <w:lang w:eastAsia="en-US"/>
        </w:rPr>
        <w:t xml:space="preserve">Any school that doesn’t have Medway ESTs can access Medway Community Healthcare’s Emotional Wellbeing Service. </w:t>
      </w:r>
      <w:r w:rsidR="00F94650">
        <w:rPr>
          <w:lang w:eastAsia="en-US"/>
        </w:rPr>
        <w:t xml:space="preserve"> </w:t>
      </w:r>
      <w:r>
        <w:rPr>
          <w:lang w:eastAsia="en-US"/>
        </w:rPr>
        <w:t xml:space="preserve">This ensures equality across the Medway footprint. In addition, North East London Foundation Trust’s Medway Young Persons’s Wellbeing Service provide specialist mental health support, as well as diagnostic assessments and prescribing for Attention Deficit Hyperactivity Disorder (over 11’s) and ASD (over 11’s). </w:t>
      </w:r>
      <w:r w:rsidR="00F94650">
        <w:rPr>
          <w:lang w:eastAsia="en-US"/>
        </w:rPr>
        <w:t xml:space="preserve"> </w:t>
      </w:r>
      <w:r>
        <w:rPr>
          <w:lang w:eastAsia="en-US"/>
        </w:rPr>
        <w:t xml:space="preserve">Under 11’s are able to access assessments and medication through Medway Community Healthcare. </w:t>
      </w:r>
      <w:r w:rsidR="00F94650">
        <w:rPr>
          <w:lang w:eastAsia="en-US"/>
        </w:rPr>
        <w:t xml:space="preserve"> </w:t>
      </w:r>
      <w:r>
        <w:rPr>
          <w:lang w:eastAsia="en-US"/>
        </w:rPr>
        <w:t xml:space="preserve">Other specialist and targeted services are commissioned for Specialist Bereavement, LGBTQ+, peer and parenting support for Special Educational Needs, and evidence-based interventions for our children in care and care leavers. </w:t>
      </w:r>
    </w:p>
    <w:p w14:paraId="2F0A4CCB" w14:textId="77777777" w:rsidR="0078515C" w:rsidRDefault="0078515C" w:rsidP="0078515C">
      <w:pPr>
        <w:rPr>
          <w:lang w:eastAsia="en-US"/>
        </w:rPr>
      </w:pPr>
    </w:p>
    <w:p w14:paraId="636BA238" w14:textId="7C3B8FC3" w:rsidR="0078515C" w:rsidRDefault="0078515C" w:rsidP="0078515C">
      <w:pPr>
        <w:rPr>
          <w:lang w:eastAsia="en-US"/>
        </w:rPr>
      </w:pPr>
      <w:r>
        <w:rPr>
          <w:lang w:eastAsia="en-US"/>
        </w:rPr>
        <w:t xml:space="preserve">The Kent and Medway Local Transformation Plan details the key priorities and ambitions in focus and ensures equality across all areas. </w:t>
      </w:r>
      <w:r w:rsidR="00F94650">
        <w:rPr>
          <w:lang w:eastAsia="en-US"/>
        </w:rPr>
        <w:t xml:space="preserve"> </w:t>
      </w:r>
      <w:r>
        <w:rPr>
          <w:lang w:eastAsia="en-US"/>
        </w:rPr>
        <w:t>The Medway Local Transformation Plan Board have oversight of the mental health and emotional wellbeing for Children and Young People in Medway and work collaboratively with health, social care and education partners.</w:t>
      </w:r>
    </w:p>
    <w:p w14:paraId="23051C6B" w14:textId="77777777" w:rsidR="0078515C" w:rsidRDefault="0078515C" w:rsidP="0078515C">
      <w:pPr>
        <w:rPr>
          <w:lang w:eastAsia="en-US"/>
        </w:rPr>
      </w:pPr>
    </w:p>
    <w:p w14:paraId="41203211" w14:textId="77777777" w:rsidR="0078515C" w:rsidRPr="003214D1" w:rsidRDefault="0078515C" w:rsidP="00E65154">
      <w:pPr>
        <w:pStyle w:val="Heading3"/>
        <w:rPr>
          <w:lang w:eastAsia="en-US"/>
        </w:rPr>
      </w:pPr>
      <w:r w:rsidRPr="003214D1">
        <w:rPr>
          <w:lang w:eastAsia="en-US"/>
        </w:rPr>
        <w:t xml:space="preserve">A Better Medway </w:t>
      </w:r>
    </w:p>
    <w:p w14:paraId="3FEB90F1" w14:textId="07A663DB" w:rsidR="002C2FF6" w:rsidRDefault="002C2FF6" w:rsidP="002C2FF6">
      <w:pPr>
        <w:rPr>
          <w:lang w:eastAsia="en-US"/>
        </w:rPr>
      </w:pPr>
      <w:r>
        <w:rPr>
          <w:lang w:eastAsia="en-US"/>
        </w:rPr>
        <w:t xml:space="preserve">This programme disseminates public health knowledge out into the community and targets recruitment to front line healthy lifestyle programmes. </w:t>
      </w:r>
      <w:r w:rsidR="00F94650">
        <w:rPr>
          <w:lang w:eastAsia="en-US"/>
        </w:rPr>
        <w:t xml:space="preserve"> </w:t>
      </w:r>
      <w:r>
        <w:rPr>
          <w:lang w:eastAsia="en-US"/>
        </w:rPr>
        <w:t xml:space="preserve">The focus of the service is where the greatest impact on reducing health inequalities can be made. </w:t>
      </w:r>
      <w:r w:rsidR="00F94650">
        <w:rPr>
          <w:lang w:eastAsia="en-US"/>
        </w:rPr>
        <w:t xml:space="preserve"> </w:t>
      </w:r>
      <w:r>
        <w:rPr>
          <w:lang w:eastAsia="en-US"/>
        </w:rPr>
        <w:t xml:space="preserve">It seeks to engage agencies working with hard to reach and vulnerable groups to try to ensure that all Medway residents have access to high quality advice about a range of health issues. </w:t>
      </w:r>
      <w:r w:rsidR="00F94650">
        <w:rPr>
          <w:lang w:eastAsia="en-US"/>
        </w:rPr>
        <w:t xml:space="preserve"> </w:t>
      </w:r>
      <w:r>
        <w:rPr>
          <w:lang w:eastAsia="en-US"/>
        </w:rPr>
        <w:t xml:space="preserve">A Better Medway has a strong social media presence with daily activity on Facebook, Instagram and X, engaging with residents on a range of public health messages. </w:t>
      </w:r>
    </w:p>
    <w:p w14:paraId="4B2433C2" w14:textId="77777777" w:rsidR="002C2FF6" w:rsidRDefault="002C2FF6" w:rsidP="002C2FF6">
      <w:pPr>
        <w:rPr>
          <w:lang w:eastAsia="en-US"/>
        </w:rPr>
      </w:pPr>
    </w:p>
    <w:p w14:paraId="61B6E947" w14:textId="7C9B0942" w:rsidR="0078515C" w:rsidRDefault="002C2FF6" w:rsidP="002C2FF6">
      <w:pPr>
        <w:rPr>
          <w:lang w:eastAsia="en-US"/>
        </w:rPr>
      </w:pPr>
      <w:r>
        <w:rPr>
          <w:lang w:eastAsia="en-US"/>
        </w:rPr>
        <w:t xml:space="preserve">Since the COVID19 pandemic, the service has been forced to adapt, which it has done effectively. </w:t>
      </w:r>
      <w:r w:rsidR="00F94650">
        <w:rPr>
          <w:lang w:eastAsia="en-US"/>
        </w:rPr>
        <w:t xml:space="preserve"> </w:t>
      </w:r>
      <w:r>
        <w:rPr>
          <w:lang w:eastAsia="en-US"/>
        </w:rPr>
        <w:t xml:space="preserve">This year has also seen an even greater focus on communities that have been hardest hit by COVID19. </w:t>
      </w:r>
      <w:r w:rsidR="00F94650">
        <w:rPr>
          <w:lang w:eastAsia="en-US"/>
        </w:rPr>
        <w:t xml:space="preserve"> </w:t>
      </w:r>
      <w:r>
        <w:rPr>
          <w:lang w:eastAsia="en-US"/>
        </w:rPr>
        <w:t xml:space="preserve">Examples include a greater emphasis on uptake from under-represented groups on our NHS Health Check programme, prioritisation work within our stop smoking service and targeted work for tier two weight management service. </w:t>
      </w:r>
      <w:r w:rsidR="00F94650">
        <w:rPr>
          <w:lang w:eastAsia="en-US"/>
        </w:rPr>
        <w:t xml:space="preserve"> </w:t>
      </w:r>
      <w:r>
        <w:rPr>
          <w:lang w:eastAsia="en-US"/>
        </w:rPr>
        <w:t>The Healthy Way programme has been working collaboratively with several community and voluntary sector groups to reach residents who are underrepresented in weight services.</w:t>
      </w:r>
    </w:p>
    <w:p w14:paraId="27FC3B21" w14:textId="77777777" w:rsidR="002C2FF6" w:rsidRDefault="002C2FF6" w:rsidP="002C2FF6">
      <w:pPr>
        <w:rPr>
          <w:lang w:eastAsia="en-US"/>
        </w:rPr>
      </w:pPr>
    </w:p>
    <w:p w14:paraId="35E5EE1F" w14:textId="50ECE1EB" w:rsidR="002C2FF6" w:rsidRPr="003214D1" w:rsidRDefault="002C2FF6" w:rsidP="00E65154">
      <w:pPr>
        <w:pStyle w:val="Heading3"/>
        <w:rPr>
          <w:lang w:eastAsia="en-US"/>
        </w:rPr>
      </w:pPr>
      <w:r w:rsidRPr="003214D1">
        <w:rPr>
          <w:lang w:eastAsia="en-US"/>
        </w:rPr>
        <w:t>Health Visiting and Supporting Young and Vulnerable Parents</w:t>
      </w:r>
    </w:p>
    <w:p w14:paraId="072D3B20" w14:textId="62BF1459" w:rsidR="002C2FF6" w:rsidRPr="008A23A9" w:rsidRDefault="002C2FF6" w:rsidP="002C2FF6">
      <w:pPr>
        <w:rPr>
          <w:lang w:eastAsia="en-US"/>
        </w:rPr>
      </w:pPr>
      <w:r w:rsidRPr="008A23A9">
        <w:rPr>
          <w:lang w:eastAsia="en-US"/>
        </w:rPr>
        <w:t xml:space="preserve">Health Visitors and School Nurses in Medway deliver the national Healthy Child Programme (HCP), which is the prevention and early intervention public health programme. </w:t>
      </w:r>
      <w:r w:rsidR="00F94650">
        <w:rPr>
          <w:lang w:eastAsia="en-US"/>
        </w:rPr>
        <w:t xml:space="preserve"> </w:t>
      </w:r>
      <w:r w:rsidRPr="008A23A9">
        <w:rPr>
          <w:lang w:eastAsia="en-US"/>
        </w:rPr>
        <w:t>This programme lies at the heart of the universal service for children and families and aims to:</w:t>
      </w:r>
    </w:p>
    <w:p w14:paraId="6D41E5EE" w14:textId="47E22132"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Support parents at this crucial stage of life.</w:t>
      </w:r>
    </w:p>
    <w:p w14:paraId="141EDB37" w14:textId="4920650A"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Promote child development.</w:t>
      </w:r>
    </w:p>
    <w:p w14:paraId="7ECC9B47" w14:textId="7AD0FD5B"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Improve child health outcomes.</w:t>
      </w:r>
    </w:p>
    <w:p w14:paraId="0A6DEBE1" w14:textId="3E948C43"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Support transitions through key life stages and into specialist health services.</w:t>
      </w:r>
    </w:p>
    <w:p w14:paraId="35FEDE98" w14:textId="63D5B816"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Ensure that families at risk are identified at the earliest opportunity.</w:t>
      </w:r>
    </w:p>
    <w:p w14:paraId="0DAE4E7B" w14:textId="71361699" w:rsidR="002C2FF6" w:rsidRPr="008A23A9" w:rsidRDefault="002C2FF6" w:rsidP="00000472">
      <w:pPr>
        <w:rPr>
          <w:lang w:eastAsia="en-US"/>
        </w:rPr>
      </w:pPr>
      <w:r w:rsidRPr="008A23A9">
        <w:rPr>
          <w:lang w:eastAsia="en-US"/>
        </w:rPr>
        <w:t>•</w:t>
      </w:r>
      <w:r w:rsidR="00000472">
        <w:rPr>
          <w:lang w:eastAsia="en-US"/>
        </w:rPr>
        <w:t xml:space="preserve"> </w:t>
      </w:r>
      <w:r w:rsidR="00651F31">
        <w:rPr>
          <w:lang w:eastAsia="en-US"/>
        </w:rPr>
        <w:t xml:space="preserve"> </w:t>
      </w:r>
      <w:r w:rsidRPr="008A23A9">
        <w:rPr>
          <w:lang w:eastAsia="en-US"/>
        </w:rPr>
        <w:t xml:space="preserve">Offer additional support and packages of care to young and vulnerable families via </w:t>
      </w:r>
      <w:r w:rsidR="00651F31">
        <w:rPr>
          <w:lang w:eastAsia="en-US"/>
        </w:rPr>
        <w:t xml:space="preserve">  </w:t>
      </w:r>
      <w:r w:rsidRPr="008A23A9">
        <w:rPr>
          <w:lang w:eastAsia="en-US"/>
        </w:rPr>
        <w:t>a bespoke pathway.</w:t>
      </w:r>
    </w:p>
    <w:p w14:paraId="73056F51" w14:textId="77777777" w:rsidR="002C2FF6" w:rsidRPr="002C2FF6" w:rsidRDefault="002C2FF6" w:rsidP="002C2FF6">
      <w:pPr>
        <w:rPr>
          <w:color w:val="2F5496" w:themeColor="accent1" w:themeShade="BF"/>
          <w:lang w:eastAsia="en-US"/>
        </w:rPr>
      </w:pPr>
    </w:p>
    <w:p w14:paraId="328C5DD4" w14:textId="523F474D" w:rsidR="002C2FF6" w:rsidRPr="008A23A9" w:rsidRDefault="002C2FF6" w:rsidP="002C2FF6">
      <w:pPr>
        <w:rPr>
          <w:lang w:eastAsia="en-US"/>
        </w:rPr>
      </w:pPr>
      <w:r w:rsidRPr="008A23A9">
        <w:rPr>
          <w:lang w:eastAsia="en-US"/>
        </w:rPr>
        <w:t xml:space="preserve">Health visitors and School Nurses are part of the integrated Child Health service for Medway allowing more joined-up working. </w:t>
      </w:r>
      <w:r w:rsidR="00F94650">
        <w:rPr>
          <w:lang w:eastAsia="en-US"/>
        </w:rPr>
        <w:t xml:space="preserve"> </w:t>
      </w:r>
      <w:r w:rsidRPr="008A23A9">
        <w:rPr>
          <w:lang w:eastAsia="en-US"/>
        </w:rPr>
        <w:t xml:space="preserve">This means families only have to tell their story once. </w:t>
      </w:r>
      <w:r w:rsidR="00F94650">
        <w:rPr>
          <w:lang w:eastAsia="en-US"/>
        </w:rPr>
        <w:t xml:space="preserve"> </w:t>
      </w:r>
      <w:r w:rsidRPr="008A23A9">
        <w:rPr>
          <w:lang w:eastAsia="en-US"/>
        </w:rPr>
        <w:t xml:space="preserve">The teams are co-aligned to the four early help hubs to ensure better integration between health and social care. </w:t>
      </w:r>
      <w:r w:rsidR="00F94650">
        <w:rPr>
          <w:lang w:eastAsia="en-US"/>
        </w:rPr>
        <w:t xml:space="preserve"> </w:t>
      </w:r>
      <w:r w:rsidRPr="008A23A9">
        <w:rPr>
          <w:lang w:eastAsia="en-US"/>
        </w:rPr>
        <w:t xml:space="preserve">The 0-19 service focuses on providing families with a programme of screening, immunisation, health and development reviews, supplemented by advice around health, wellbeing, and parenting. </w:t>
      </w:r>
      <w:r w:rsidR="00F94650">
        <w:rPr>
          <w:lang w:eastAsia="en-US"/>
        </w:rPr>
        <w:t xml:space="preserve"> </w:t>
      </w:r>
      <w:r w:rsidRPr="008A23A9">
        <w:rPr>
          <w:lang w:eastAsia="en-US"/>
        </w:rPr>
        <w:t>Due to its universal reach, the HCP provides an invaluable opportunity to identify those families that need additional support and those children who are at risk of poor outcomes.</w:t>
      </w:r>
    </w:p>
    <w:p w14:paraId="4DF85AF7" w14:textId="77777777" w:rsidR="002C2FF6" w:rsidRPr="008A23A9" w:rsidRDefault="002C2FF6" w:rsidP="002C2FF6">
      <w:pPr>
        <w:rPr>
          <w:lang w:eastAsia="en-US"/>
        </w:rPr>
      </w:pPr>
    </w:p>
    <w:p w14:paraId="4BC6A479" w14:textId="609F2A2A" w:rsidR="002C2FF6" w:rsidRPr="008A23A9" w:rsidRDefault="002C2FF6" w:rsidP="002C2FF6">
      <w:pPr>
        <w:rPr>
          <w:lang w:eastAsia="en-US"/>
        </w:rPr>
      </w:pPr>
      <w:r w:rsidRPr="008A23A9">
        <w:rPr>
          <w:lang w:eastAsia="en-US"/>
        </w:rPr>
        <w:t xml:space="preserve">Health visiting and school nursing are universal services. </w:t>
      </w:r>
      <w:r w:rsidR="00F94650">
        <w:rPr>
          <w:lang w:eastAsia="en-US"/>
        </w:rPr>
        <w:t xml:space="preserve"> </w:t>
      </w:r>
      <w:r w:rsidRPr="008A23A9">
        <w:rPr>
          <w:lang w:eastAsia="en-US"/>
        </w:rPr>
        <w:t>This means that all families in Medway can access and obtain the services they need, regardless of circumstances, as part of the HCP.</w:t>
      </w:r>
    </w:p>
    <w:p w14:paraId="1EA0A1A2" w14:textId="77777777" w:rsidR="002C2FF6" w:rsidRPr="008A23A9" w:rsidRDefault="002C2FF6" w:rsidP="002C2FF6">
      <w:pPr>
        <w:rPr>
          <w:lang w:eastAsia="en-US"/>
        </w:rPr>
      </w:pPr>
    </w:p>
    <w:p w14:paraId="13657801" w14:textId="55217B40" w:rsidR="002C2FF6" w:rsidRPr="008A23A9" w:rsidRDefault="002C2FF6" w:rsidP="002C2FF6">
      <w:pPr>
        <w:rPr>
          <w:lang w:eastAsia="en-US"/>
        </w:rPr>
      </w:pPr>
      <w:r w:rsidRPr="008A23A9">
        <w:rPr>
          <w:lang w:eastAsia="en-US"/>
        </w:rPr>
        <w:t xml:space="preserve">A bespoke programme and package of care is available to young &amp; vulnerable parents and their families as part of the Vulnerable Parents Pathway. Families requiring additional support (e.g., Children in Care, Care Leavers, parents aged under 18, parents with learning difficulties) are identified through a range of channels including the maternity service safeguarding hub, universal health visitor contacts and school referral. </w:t>
      </w:r>
      <w:r w:rsidR="00F94650">
        <w:rPr>
          <w:lang w:eastAsia="en-US"/>
        </w:rPr>
        <w:t xml:space="preserve"> </w:t>
      </w:r>
      <w:r w:rsidRPr="008A23A9">
        <w:rPr>
          <w:lang w:eastAsia="en-US"/>
        </w:rPr>
        <w:t>The work is led by the member of the health visiting or school nursing team and is shaped by the needs of the family. Families receive additional support from a range of specialist interventions and packages of care that can support their needs.</w:t>
      </w:r>
    </w:p>
    <w:p w14:paraId="36B98206" w14:textId="77777777" w:rsidR="002C2FF6" w:rsidRPr="002C2FF6" w:rsidRDefault="002C2FF6" w:rsidP="002C2FF6">
      <w:pPr>
        <w:rPr>
          <w:lang w:eastAsia="en-US"/>
        </w:rPr>
      </w:pPr>
      <w:r w:rsidRPr="008A23A9">
        <w:rPr>
          <w:lang w:eastAsia="en-US"/>
        </w:rPr>
        <w:t xml:space="preserve">The service has a representative based in the Medway Safeguarding Hub (MASH). This representative ensures health is considered as part of all referrals into social </w:t>
      </w:r>
      <w:r w:rsidRPr="002C2FF6">
        <w:rPr>
          <w:lang w:eastAsia="en-US"/>
        </w:rPr>
        <w:t>care and links in all the other local health providers (GPs, Hospital, Mental Health etc).</w:t>
      </w:r>
    </w:p>
    <w:p w14:paraId="05BDFAD9" w14:textId="77777777" w:rsidR="002C2FF6" w:rsidRPr="002C2FF6" w:rsidRDefault="002C2FF6" w:rsidP="002C2FF6">
      <w:pPr>
        <w:rPr>
          <w:lang w:eastAsia="en-US"/>
        </w:rPr>
      </w:pPr>
    </w:p>
    <w:p w14:paraId="6DD6E8D1" w14:textId="644D0210" w:rsidR="001F0D5B" w:rsidRDefault="002C2FF6" w:rsidP="002C2FF6">
      <w:pPr>
        <w:rPr>
          <w:lang w:eastAsia="en-US"/>
        </w:rPr>
      </w:pPr>
      <w:r w:rsidRPr="002C2FF6">
        <w:rPr>
          <w:lang w:eastAsia="en-US"/>
        </w:rPr>
        <w:t>A new service contract is being mobilised (starting January 2024). This service is working with Medway’s Public Health Intelligence Service to devise more sophisticated ways of monitoring geographical and demographic trends of those taking up the offer to ensure that no communities are unfairly disadvantaged.</w:t>
      </w:r>
    </w:p>
    <w:p w14:paraId="2E7C1CFC" w14:textId="77777777" w:rsidR="00E65154" w:rsidRDefault="00E65154" w:rsidP="002C2FF6">
      <w:pPr>
        <w:rPr>
          <w:lang w:eastAsia="en-US"/>
        </w:rPr>
      </w:pPr>
    </w:p>
    <w:p w14:paraId="3E377699" w14:textId="5F6474F3" w:rsidR="008A23A9" w:rsidRPr="003214D1" w:rsidRDefault="008A23A9" w:rsidP="00E65154">
      <w:pPr>
        <w:pStyle w:val="Heading3"/>
        <w:rPr>
          <w:lang w:eastAsia="en-US"/>
        </w:rPr>
      </w:pPr>
      <w:r w:rsidRPr="003214D1">
        <w:rPr>
          <w:lang w:eastAsia="en-US"/>
        </w:rPr>
        <w:t>Medway Adult Education</w:t>
      </w:r>
    </w:p>
    <w:p w14:paraId="5B441192" w14:textId="3E259548" w:rsidR="008A23A9" w:rsidRPr="008A23A9" w:rsidRDefault="008A23A9" w:rsidP="008A23A9">
      <w:pPr>
        <w:rPr>
          <w:lang w:eastAsia="en-US"/>
        </w:rPr>
      </w:pPr>
      <w:r w:rsidRPr="008A23A9">
        <w:rPr>
          <w:lang w:eastAsia="en-US"/>
        </w:rPr>
        <w:t xml:space="preserve">Medway Adult Education </w:t>
      </w:r>
      <w:r w:rsidR="00596582">
        <w:rPr>
          <w:lang w:eastAsia="en-US"/>
        </w:rPr>
        <w:t xml:space="preserve">(MAE) </w:t>
      </w:r>
      <w:r w:rsidRPr="008A23A9">
        <w:rPr>
          <w:lang w:eastAsia="en-US"/>
        </w:rPr>
        <w:t>aim to provide inclusive, welcoming programmes and spaces to help all residents reach their potential and thrive.</w:t>
      </w:r>
    </w:p>
    <w:p w14:paraId="5D62F9B6" w14:textId="77777777" w:rsidR="008A23A9" w:rsidRPr="008A23A9" w:rsidRDefault="008A23A9" w:rsidP="008A23A9">
      <w:pPr>
        <w:rPr>
          <w:lang w:eastAsia="en-US"/>
        </w:rPr>
      </w:pPr>
    </w:p>
    <w:p w14:paraId="391295A2" w14:textId="77777777" w:rsidR="008A23A9" w:rsidRPr="008A23A9" w:rsidRDefault="008A23A9" w:rsidP="008A23A9">
      <w:pPr>
        <w:rPr>
          <w:lang w:eastAsia="en-US"/>
        </w:rPr>
      </w:pPr>
      <w:r w:rsidRPr="008A23A9">
        <w:rPr>
          <w:lang w:eastAsia="en-US"/>
        </w:rPr>
        <w:t>MAE work across Medway, currently with 27 active partners- as part of the strategy to reach people distanced from taking part in lifelong learning.</w:t>
      </w:r>
    </w:p>
    <w:p w14:paraId="19032B84" w14:textId="77777777" w:rsidR="008A23A9" w:rsidRPr="008A23A9" w:rsidRDefault="008A23A9" w:rsidP="008A23A9">
      <w:pPr>
        <w:rPr>
          <w:lang w:eastAsia="en-US"/>
        </w:rPr>
      </w:pPr>
    </w:p>
    <w:p w14:paraId="29A91B41" w14:textId="77777777" w:rsidR="008A23A9" w:rsidRPr="008A23A9" w:rsidRDefault="008A23A9" w:rsidP="008A23A9">
      <w:pPr>
        <w:rPr>
          <w:lang w:eastAsia="en-US"/>
        </w:rPr>
      </w:pPr>
      <w:r w:rsidRPr="008A23A9">
        <w:rPr>
          <w:lang w:eastAsia="en-US"/>
        </w:rPr>
        <w:t>This includes working with food poverty charities, disability groups, schools in deprived wards and cultural and ethnicity specific organisations.</w:t>
      </w:r>
    </w:p>
    <w:p w14:paraId="57875E36" w14:textId="77777777" w:rsidR="008A23A9" w:rsidRPr="008A23A9" w:rsidRDefault="008A23A9" w:rsidP="008A23A9">
      <w:pPr>
        <w:rPr>
          <w:lang w:eastAsia="en-US"/>
        </w:rPr>
      </w:pPr>
    </w:p>
    <w:p w14:paraId="7F361009" w14:textId="77777777" w:rsidR="008A23A9" w:rsidRPr="008A23A9" w:rsidRDefault="008A23A9" w:rsidP="008A23A9">
      <w:pPr>
        <w:rPr>
          <w:lang w:eastAsia="en-US"/>
        </w:rPr>
      </w:pPr>
      <w:r w:rsidRPr="008A23A9">
        <w:rPr>
          <w:lang w:eastAsia="en-US"/>
        </w:rPr>
        <w:t>All qualification courses are provided fully funded to those on benefits or low incomes.</w:t>
      </w:r>
    </w:p>
    <w:p w14:paraId="581221FA" w14:textId="77777777" w:rsidR="008A23A9" w:rsidRPr="008A23A9" w:rsidRDefault="008A23A9" w:rsidP="008A23A9">
      <w:pPr>
        <w:rPr>
          <w:lang w:eastAsia="en-US"/>
        </w:rPr>
      </w:pPr>
    </w:p>
    <w:p w14:paraId="4AAE65A3" w14:textId="77777777" w:rsidR="008A23A9" w:rsidRPr="008A23A9" w:rsidRDefault="008A23A9" w:rsidP="008A23A9">
      <w:pPr>
        <w:rPr>
          <w:lang w:eastAsia="en-US"/>
        </w:rPr>
      </w:pPr>
      <w:r w:rsidRPr="008A23A9">
        <w:rPr>
          <w:lang w:eastAsia="en-US"/>
        </w:rPr>
        <w:t xml:space="preserve">MAE has a referral process in place for employability services including JCP and REED. </w:t>
      </w:r>
    </w:p>
    <w:p w14:paraId="1F7DF4AF" w14:textId="77777777" w:rsidR="008A23A9" w:rsidRPr="008A23A9" w:rsidRDefault="008A23A9" w:rsidP="008A23A9">
      <w:pPr>
        <w:rPr>
          <w:lang w:eastAsia="en-US"/>
        </w:rPr>
      </w:pPr>
    </w:p>
    <w:p w14:paraId="3E20A894" w14:textId="77777777" w:rsidR="008A23A9" w:rsidRPr="008A23A9" w:rsidRDefault="008A23A9" w:rsidP="008A23A9">
      <w:pPr>
        <w:rPr>
          <w:lang w:eastAsia="en-US"/>
        </w:rPr>
      </w:pPr>
      <w:r w:rsidRPr="008A23A9">
        <w:rPr>
          <w:lang w:eastAsia="en-US"/>
        </w:rPr>
        <w:t>Online learning options are available for those who cannot attend in person, long-term or short-term.</w:t>
      </w:r>
    </w:p>
    <w:p w14:paraId="05F008CA" w14:textId="77777777" w:rsidR="008A23A9" w:rsidRPr="008A23A9" w:rsidRDefault="008A23A9" w:rsidP="008A23A9">
      <w:pPr>
        <w:rPr>
          <w:lang w:eastAsia="en-US"/>
        </w:rPr>
      </w:pPr>
    </w:p>
    <w:p w14:paraId="648DEABF" w14:textId="674DC948" w:rsidR="008A23A9" w:rsidRPr="008A23A9" w:rsidRDefault="008A23A9" w:rsidP="008A23A9">
      <w:pPr>
        <w:rPr>
          <w:lang w:eastAsia="en-US"/>
        </w:rPr>
      </w:pPr>
      <w:r w:rsidRPr="008A23A9">
        <w:rPr>
          <w:lang w:eastAsia="en-US"/>
        </w:rPr>
        <w:t xml:space="preserve">The service has a long-standing Supported Learning programme for adults living with learning difficulties or disabilities. </w:t>
      </w:r>
      <w:r w:rsidR="00F94650">
        <w:rPr>
          <w:lang w:eastAsia="en-US"/>
        </w:rPr>
        <w:t xml:space="preserve"> </w:t>
      </w:r>
      <w:r w:rsidRPr="008A23A9">
        <w:rPr>
          <w:lang w:eastAsia="en-US"/>
        </w:rPr>
        <w:t xml:space="preserve">All learners are assessed for their specific needs to ensure high level support is in place to give them enjoyable and successful learning experiences. </w:t>
      </w:r>
    </w:p>
    <w:p w14:paraId="33739886" w14:textId="77777777" w:rsidR="008A23A9" w:rsidRPr="008A23A9" w:rsidRDefault="008A23A9" w:rsidP="008A23A9">
      <w:pPr>
        <w:rPr>
          <w:lang w:eastAsia="en-US"/>
        </w:rPr>
      </w:pPr>
    </w:p>
    <w:p w14:paraId="74AF1F2C" w14:textId="77777777" w:rsidR="008A23A9" w:rsidRPr="008A23A9" w:rsidRDefault="008A23A9" w:rsidP="008A23A9">
      <w:pPr>
        <w:rPr>
          <w:lang w:eastAsia="en-US"/>
        </w:rPr>
      </w:pPr>
      <w:r w:rsidRPr="008A23A9">
        <w:rPr>
          <w:lang w:eastAsia="en-US"/>
        </w:rPr>
        <w:t>MAE is delivering Medway’s part of the national Multiply programme-which seeks to improve adult confidence with numbers- this provides free courses including budgeting, work-skills numeracy sessions and well-being.</w:t>
      </w:r>
    </w:p>
    <w:p w14:paraId="7D4BDAA9" w14:textId="77777777" w:rsidR="008A23A9" w:rsidRPr="008A23A9" w:rsidRDefault="008A23A9" w:rsidP="008A23A9">
      <w:pPr>
        <w:rPr>
          <w:lang w:eastAsia="en-US"/>
        </w:rPr>
      </w:pPr>
    </w:p>
    <w:p w14:paraId="62107303" w14:textId="77777777" w:rsidR="008A23A9" w:rsidRPr="008A23A9" w:rsidRDefault="008A23A9" w:rsidP="008A23A9">
      <w:pPr>
        <w:rPr>
          <w:lang w:eastAsia="en-US"/>
        </w:rPr>
      </w:pPr>
      <w:r w:rsidRPr="008A23A9">
        <w:rPr>
          <w:lang w:eastAsia="en-US"/>
        </w:rPr>
        <w:t xml:space="preserve">This is currently being used in several schools – to help support and build confidence in parents who have been out of work for some time. </w:t>
      </w:r>
    </w:p>
    <w:p w14:paraId="2C193067" w14:textId="77777777" w:rsidR="008A23A9" w:rsidRPr="008A23A9" w:rsidRDefault="008A23A9" w:rsidP="008A23A9">
      <w:pPr>
        <w:rPr>
          <w:lang w:eastAsia="en-US"/>
        </w:rPr>
      </w:pPr>
    </w:p>
    <w:p w14:paraId="5D62B1FD" w14:textId="77777777" w:rsidR="008A23A9" w:rsidRPr="008A23A9" w:rsidRDefault="008A23A9" w:rsidP="008A23A9">
      <w:pPr>
        <w:rPr>
          <w:lang w:eastAsia="en-US"/>
        </w:rPr>
      </w:pPr>
      <w:r w:rsidRPr="008A23A9">
        <w:rPr>
          <w:lang w:eastAsia="en-US"/>
        </w:rPr>
        <w:t>The service runs weekly drop-in Tai Chi courses for those with mental or physical conditions that prevent them from enrolling for longer periods.</w:t>
      </w:r>
    </w:p>
    <w:p w14:paraId="2E531732" w14:textId="77777777" w:rsidR="008A23A9" w:rsidRPr="008A23A9" w:rsidRDefault="008A23A9" w:rsidP="008A23A9">
      <w:pPr>
        <w:rPr>
          <w:lang w:eastAsia="en-US"/>
        </w:rPr>
      </w:pPr>
    </w:p>
    <w:p w14:paraId="44AD9C4D" w14:textId="77777777" w:rsidR="008A23A9" w:rsidRPr="008A23A9" w:rsidRDefault="008A23A9" w:rsidP="008A23A9">
      <w:pPr>
        <w:rPr>
          <w:lang w:eastAsia="en-US"/>
        </w:rPr>
      </w:pPr>
      <w:r w:rsidRPr="008A23A9">
        <w:rPr>
          <w:lang w:eastAsia="en-US"/>
        </w:rPr>
        <w:t xml:space="preserve">Dementia-Friendly Gardening and Tai Chi classes are held weekly and include an emphasis on the importance of social interaction. </w:t>
      </w:r>
    </w:p>
    <w:p w14:paraId="53520638" w14:textId="77777777" w:rsidR="008A23A9" w:rsidRPr="008A23A9" w:rsidRDefault="008A23A9" w:rsidP="008A23A9">
      <w:pPr>
        <w:rPr>
          <w:lang w:eastAsia="en-US"/>
        </w:rPr>
      </w:pPr>
    </w:p>
    <w:p w14:paraId="0FEA952F" w14:textId="3C443848" w:rsidR="008A23A9" w:rsidRDefault="008A23A9" w:rsidP="008A23A9">
      <w:pPr>
        <w:rPr>
          <w:lang w:eastAsia="en-US"/>
        </w:rPr>
      </w:pPr>
      <w:r w:rsidRPr="008A23A9">
        <w:rPr>
          <w:lang w:eastAsia="en-US"/>
        </w:rPr>
        <w:t xml:space="preserve">MAE is a key partner in the ‘Medway Non-Visible Disabilities Initiative’. </w:t>
      </w:r>
    </w:p>
    <w:p w14:paraId="685F7FC9" w14:textId="77777777" w:rsidR="008A23A9" w:rsidRPr="008A23A9" w:rsidRDefault="008A23A9" w:rsidP="008A23A9">
      <w:pPr>
        <w:rPr>
          <w:lang w:eastAsia="en-US"/>
        </w:rPr>
      </w:pPr>
    </w:p>
    <w:p w14:paraId="20F7BA46" w14:textId="3569F0B6" w:rsidR="008A23A9" w:rsidRDefault="008A23A9" w:rsidP="008A23A9">
      <w:pPr>
        <w:rPr>
          <w:lang w:eastAsia="en-US"/>
        </w:rPr>
      </w:pPr>
      <w:r w:rsidRPr="008A23A9">
        <w:rPr>
          <w:lang w:eastAsia="en-US"/>
        </w:rPr>
        <w:t>MAE regularly monitor demographic data, including to inform programme planning- devising new approaches to under-represented groups.</w:t>
      </w:r>
    </w:p>
    <w:p w14:paraId="0EA63B94" w14:textId="77777777" w:rsidR="008A23A9" w:rsidRDefault="008A23A9" w:rsidP="008A23A9">
      <w:pPr>
        <w:rPr>
          <w:lang w:eastAsia="en-US"/>
        </w:rPr>
      </w:pPr>
    </w:p>
    <w:p w14:paraId="6821B65C" w14:textId="5CF93465" w:rsidR="008A23A9" w:rsidRPr="003214D1" w:rsidRDefault="008A23A9" w:rsidP="00E65154">
      <w:pPr>
        <w:pStyle w:val="Heading3"/>
        <w:rPr>
          <w:lang w:eastAsia="en-US"/>
        </w:rPr>
      </w:pPr>
      <w:r w:rsidRPr="003214D1">
        <w:rPr>
          <w:lang w:eastAsia="en-US"/>
        </w:rPr>
        <w:t>Community Hubs and Library Service</w:t>
      </w:r>
    </w:p>
    <w:p w14:paraId="7FD334D6" w14:textId="62A5B2EB" w:rsidR="008A23A9" w:rsidRDefault="008A23A9" w:rsidP="008A23A9">
      <w:pPr>
        <w:autoSpaceDE w:val="0"/>
        <w:autoSpaceDN w:val="0"/>
        <w:adjustRightInd w:val="0"/>
      </w:pPr>
      <w:r>
        <w:t>The development of community hubs is a key driver in increasing access to council and agency services. Community hubs and libraries offer free WiFi, PCs for public use, access to support services and groups alongside activities for all age groups.  Currently the Council has six Community Hubs.</w:t>
      </w:r>
    </w:p>
    <w:p w14:paraId="422E4C93" w14:textId="4073E54C" w:rsidR="008A23A9" w:rsidRDefault="008A23A9" w:rsidP="008A23A9">
      <w:pPr>
        <w:autoSpaceDE w:val="0"/>
        <w:autoSpaceDN w:val="0"/>
        <w:adjustRightInd w:val="0"/>
      </w:pPr>
      <w:r>
        <w:t xml:space="preserve">The Community Hub and Library Service provides a service to over 220 housebound residents throughout Medway. </w:t>
      </w:r>
      <w:r w:rsidR="00F94650">
        <w:t xml:space="preserve"> </w:t>
      </w:r>
      <w:r>
        <w:t xml:space="preserve">By working with volunteer couriers, books are delivered to these residents in their own home. </w:t>
      </w:r>
      <w:r w:rsidR="00F94650">
        <w:t xml:space="preserve"> </w:t>
      </w:r>
      <w:r>
        <w:t xml:space="preserve">Books are also delivered to over 20 Medway residential homes. </w:t>
      </w:r>
      <w:r w:rsidR="00F94650">
        <w:t xml:space="preserve"> </w:t>
      </w:r>
      <w:r>
        <w:t>Alongside this over a 100 Medway visually impaired residents to receive spoken word cd’s through the post.</w:t>
      </w:r>
    </w:p>
    <w:p w14:paraId="7819D1C7" w14:textId="053C753A" w:rsidR="001F0D5B" w:rsidRDefault="008A23A9" w:rsidP="008A23A9">
      <w:r>
        <w:t>A whole range of free events and activities supporting residents to engage in a healthy lifestyle and avoid isolation are provided.</w:t>
      </w:r>
    </w:p>
    <w:p w14:paraId="28ECF7FA" w14:textId="77777777" w:rsidR="003214D1" w:rsidRDefault="003214D1" w:rsidP="008A23A9">
      <w:pPr>
        <w:rPr>
          <w:lang w:val="en-US"/>
        </w:rPr>
      </w:pPr>
    </w:p>
    <w:p w14:paraId="1996CA3B" w14:textId="48D8FA19" w:rsidR="008A23A9" w:rsidRPr="003214D1" w:rsidRDefault="008A23A9" w:rsidP="00E65154">
      <w:pPr>
        <w:pStyle w:val="Heading3"/>
        <w:rPr>
          <w:lang w:eastAsia="en-US"/>
        </w:rPr>
      </w:pPr>
      <w:r w:rsidRPr="003214D1">
        <w:rPr>
          <w:lang w:eastAsia="en-US"/>
        </w:rPr>
        <w:t>Stop Smoking Service</w:t>
      </w:r>
    </w:p>
    <w:p w14:paraId="5FCD78E9" w14:textId="11240DCC" w:rsidR="008A23A9" w:rsidRDefault="008A23A9" w:rsidP="008A23A9">
      <w:pPr>
        <w:autoSpaceDE w:val="0"/>
        <w:autoSpaceDN w:val="0"/>
        <w:adjustRightInd w:val="0"/>
      </w:pPr>
      <w:r>
        <w:t xml:space="preserve">Medway Stop Smoking Service offers several free initiatives to support local people in their fight to kick the habit. </w:t>
      </w:r>
      <w:r w:rsidR="00F94650">
        <w:t xml:space="preserve"> </w:t>
      </w:r>
      <w:r>
        <w:t xml:space="preserve">Our stop smoking team can provide one-to-one advice and support. </w:t>
      </w:r>
      <w:r w:rsidR="00F94650">
        <w:t xml:space="preserve"> </w:t>
      </w:r>
      <w:r>
        <w:t>They recognise that every smoker is different and will work closely with each smoker to agree a date to quit smoking and prepare them for their stop smoking journey to give them the best chance to quit.</w:t>
      </w:r>
    </w:p>
    <w:p w14:paraId="7289EF43" w14:textId="2F3214EA" w:rsidR="008A23A9" w:rsidRDefault="008A23A9" w:rsidP="008A23A9">
      <w:r>
        <w:t xml:space="preserve">The service offers community-based sessions in both Gillingham and Strood and has a Smokefree Advice Centre in Chatham town centre that is open Monday to Saturday. </w:t>
      </w:r>
      <w:r w:rsidR="00F94650">
        <w:t xml:space="preserve"> </w:t>
      </w:r>
      <w:r>
        <w:t>Medway residents are also able to access Text to Quit support using a text messaging service as well as phone support.</w:t>
      </w:r>
    </w:p>
    <w:p w14:paraId="4B676398" w14:textId="77777777" w:rsidR="008A23A9" w:rsidRDefault="008A23A9" w:rsidP="008A23A9"/>
    <w:p w14:paraId="28DC2A16" w14:textId="6BCC6480" w:rsidR="008A23A9" w:rsidRPr="003214D1" w:rsidRDefault="008A23A9" w:rsidP="00E65154">
      <w:pPr>
        <w:pStyle w:val="Heading3"/>
        <w:rPr>
          <w:lang w:eastAsia="en-US"/>
        </w:rPr>
      </w:pPr>
      <w:r w:rsidRPr="003214D1">
        <w:rPr>
          <w:lang w:eastAsia="en-US"/>
        </w:rPr>
        <w:t>‘Get it’ condom distribution scheme</w:t>
      </w:r>
    </w:p>
    <w:p w14:paraId="6C2C1285" w14:textId="0AEB7212" w:rsidR="008A23A9" w:rsidRDefault="008A23A9" w:rsidP="008A23A9">
      <w:r>
        <w:t xml:space="preserve">The “Get It” condom scheme is a free and confidential service for young people aged 13 – 24 years-old, offering access to sexual health advice and condoms in a range of non-clinical settings across Medway. </w:t>
      </w:r>
      <w:r w:rsidR="00F94650">
        <w:t xml:space="preserve"> </w:t>
      </w:r>
      <w:r>
        <w:t xml:space="preserve">It is delivered as part of the Integrated Sexual Health Service. As the service is primarily web based it has been largely unaffected by COVID-19 related changes to services. </w:t>
      </w:r>
      <w:r w:rsidR="00F94650">
        <w:t xml:space="preserve"> </w:t>
      </w:r>
      <w:r>
        <w:t>Young people under 16 or other vulnerable young people are still required to register face to face with a professional.</w:t>
      </w:r>
    </w:p>
    <w:p w14:paraId="609A2F44" w14:textId="71CF5EE4" w:rsidR="008A23A9" w:rsidRDefault="008A23A9" w:rsidP="008A23A9">
      <w:r>
        <w:t>To support those digitally excluded or for whom an online service is not appropriate, condoms are available through Medway youth services and other relevant partner organisations.</w:t>
      </w:r>
    </w:p>
    <w:p w14:paraId="0F923196" w14:textId="77777777" w:rsidR="002F4A7B" w:rsidRDefault="002F4A7B" w:rsidP="008A23A9"/>
    <w:p w14:paraId="657D5AB2" w14:textId="150D54AE" w:rsidR="002F4A7B" w:rsidRPr="003214D1" w:rsidRDefault="002F4A7B" w:rsidP="00E65154">
      <w:pPr>
        <w:pStyle w:val="Heading3"/>
        <w:rPr>
          <w:lang w:eastAsia="en-US"/>
        </w:rPr>
      </w:pPr>
      <w:r w:rsidRPr="003214D1">
        <w:rPr>
          <w:lang w:eastAsia="en-US"/>
        </w:rPr>
        <w:t>Integrated Sexual Health Service</w:t>
      </w:r>
    </w:p>
    <w:p w14:paraId="2CB79B4D" w14:textId="2A8E351F" w:rsidR="002F4A7B" w:rsidRDefault="002F4A7B" w:rsidP="002F4A7B">
      <w:r>
        <w:t xml:space="preserve">The Integrated Sexual Health Service opened in October 2016. It offers all forms of contraception, sexual health screens, treatments, and advice. </w:t>
      </w:r>
      <w:r w:rsidR="00F94650">
        <w:t xml:space="preserve"> </w:t>
      </w:r>
      <w:r>
        <w:t xml:space="preserve">The service is supplemented with a strong self-managed care offer via the internet and telephone. There has been an increase in online and remote consultations which has made them easier to access for many people. </w:t>
      </w:r>
      <w:r w:rsidR="00F94650">
        <w:t xml:space="preserve"> </w:t>
      </w:r>
      <w:r>
        <w:t>Home sampling kits have simplified sexually transmitted infection (STI) testing.</w:t>
      </w:r>
    </w:p>
    <w:p w14:paraId="1ACD96A4" w14:textId="2C98AFFE" w:rsidR="002F4A7B" w:rsidRDefault="002F4A7B" w:rsidP="002F4A7B">
      <w:r>
        <w:t xml:space="preserve">STI testing includes the Chlamydia Screening Programme that seeks to reduce the impact on young people’s reproductive health. </w:t>
      </w:r>
      <w:r w:rsidR="00F94650">
        <w:t xml:space="preserve"> </w:t>
      </w:r>
      <w:r>
        <w:t>It is available to young people aged 16-24.</w:t>
      </w:r>
    </w:p>
    <w:p w14:paraId="79B9C28F" w14:textId="78A472EB" w:rsidR="002F4A7B" w:rsidRDefault="00C77FF7" w:rsidP="008A23A9">
      <w:pPr>
        <w:rPr>
          <w:lang w:val="en-US"/>
        </w:rPr>
      </w:pPr>
      <w:r>
        <w:t xml:space="preserve">Outreach work targets those who are at high risk and includes targeted services for young people, men who have sex with men, black and minority ethnic group communities. </w:t>
      </w:r>
      <w:r w:rsidR="00F94650">
        <w:t xml:space="preserve"> </w:t>
      </w:r>
      <w:r>
        <w:t>The service also engages with sex workers and attends the Ladies Night event.</w:t>
      </w:r>
    </w:p>
    <w:p w14:paraId="20DFEF02" w14:textId="77777777" w:rsidR="00707E35" w:rsidRDefault="00707E35" w:rsidP="008A23A9">
      <w:pPr>
        <w:rPr>
          <w:lang w:val="en-US"/>
        </w:rPr>
      </w:pPr>
    </w:p>
    <w:p w14:paraId="04727A95" w14:textId="62314F9F" w:rsidR="002F4A7B" w:rsidRPr="003214D1" w:rsidRDefault="00707E35" w:rsidP="00E65154">
      <w:pPr>
        <w:pStyle w:val="Heading3"/>
        <w:rPr>
          <w:lang w:eastAsia="en-US"/>
        </w:rPr>
      </w:pPr>
      <w:r w:rsidRPr="003214D1">
        <w:rPr>
          <w:lang w:eastAsia="en-US"/>
        </w:rPr>
        <w:t>Mpox</w:t>
      </w:r>
    </w:p>
    <w:p w14:paraId="2C4DED10" w14:textId="5393F0AA" w:rsidR="00707E35" w:rsidRDefault="00707E35" w:rsidP="008A23A9">
      <w:r w:rsidRPr="00D17F0F">
        <w:t>In 2022</w:t>
      </w:r>
      <w:r w:rsidR="00EC6B6F">
        <w:t>/</w:t>
      </w:r>
      <w:r w:rsidRPr="00D17F0F">
        <w:t xml:space="preserve">23, the Integrated Sexual Health Service responded to Mpox by providing targeted communication and vaccination clinics for groups identified by the UK Health and Security Agency. </w:t>
      </w:r>
      <w:r w:rsidR="00F94650">
        <w:t xml:space="preserve"> </w:t>
      </w:r>
      <w:r w:rsidRPr="00D17F0F">
        <w:t xml:space="preserve">Most of this cohort are men who have sex with men (MSM). The service administered over 250 vaccinations and provided Saturday and pop-up clinics in the community. </w:t>
      </w:r>
      <w:r w:rsidR="00F94650">
        <w:t xml:space="preserve"> </w:t>
      </w:r>
      <w:r w:rsidRPr="00D17F0F">
        <w:t>Ongoing work and monitoring has continued this year.</w:t>
      </w:r>
    </w:p>
    <w:p w14:paraId="55BF0DC3" w14:textId="77777777" w:rsidR="00707E35" w:rsidRDefault="00707E35" w:rsidP="008A23A9">
      <w:pPr>
        <w:rPr>
          <w:lang w:val="en-US"/>
        </w:rPr>
      </w:pPr>
    </w:p>
    <w:p w14:paraId="4C704FF7" w14:textId="596F1A96" w:rsidR="00707E35" w:rsidRPr="003214D1" w:rsidRDefault="00707E35" w:rsidP="00E65154">
      <w:pPr>
        <w:pStyle w:val="Heading3"/>
        <w:rPr>
          <w:lang w:eastAsia="en-US"/>
        </w:rPr>
      </w:pPr>
      <w:r w:rsidRPr="003214D1">
        <w:rPr>
          <w:lang w:eastAsia="en-US"/>
        </w:rPr>
        <w:t>METRO Stand Out Group</w:t>
      </w:r>
    </w:p>
    <w:p w14:paraId="451E653A" w14:textId="6D847954" w:rsidR="00707E35" w:rsidRDefault="00707E35" w:rsidP="008A23A9">
      <w:r w:rsidRPr="00D17F0F">
        <w:t xml:space="preserve">Work is taking place to design and deliver peer-led groups in schools to support LGBTQ+ young people that builds on the work that had been achieved by the StandOut youth group. </w:t>
      </w:r>
      <w:r w:rsidR="00F94650">
        <w:t xml:space="preserve"> </w:t>
      </w:r>
      <w:r w:rsidRPr="00D17F0F">
        <w:t>StandOut stopped due to changes in staffing and engagement by the young people.</w:t>
      </w:r>
    </w:p>
    <w:p w14:paraId="45CC0EEA" w14:textId="77777777" w:rsidR="003214D1" w:rsidRDefault="003214D1" w:rsidP="008A23A9"/>
    <w:p w14:paraId="030274DF" w14:textId="4E999B40" w:rsidR="00707E35" w:rsidRPr="003214D1" w:rsidRDefault="00707E35" w:rsidP="00E65154">
      <w:pPr>
        <w:pStyle w:val="Heading3"/>
        <w:rPr>
          <w:lang w:eastAsia="en-US"/>
        </w:rPr>
      </w:pPr>
      <w:r w:rsidRPr="003214D1">
        <w:rPr>
          <w:lang w:eastAsia="en-US"/>
        </w:rPr>
        <w:t>Virtual Head Teacher</w:t>
      </w:r>
    </w:p>
    <w:p w14:paraId="32078CAF" w14:textId="0E2F87FA" w:rsidR="00707E35" w:rsidRDefault="00707E35" w:rsidP="008A23A9">
      <w:r w:rsidRPr="00915439">
        <w:t xml:space="preserve">The Virtual Head Teacher oversees the education of looked after children in care ensuring each child/young person has a personal education plan to meet their individual needs. </w:t>
      </w:r>
      <w:r w:rsidR="00F94650">
        <w:t xml:space="preserve"> </w:t>
      </w:r>
      <w:r w:rsidRPr="00915439">
        <w:t>They also support care leavers on to higher education and employment.</w:t>
      </w:r>
    </w:p>
    <w:p w14:paraId="48306560" w14:textId="77777777" w:rsidR="00707E35" w:rsidRDefault="00707E35" w:rsidP="008A23A9"/>
    <w:p w14:paraId="550605FA" w14:textId="77777777" w:rsidR="00707E35" w:rsidRPr="003214D1" w:rsidRDefault="00707E35" w:rsidP="00E65154">
      <w:pPr>
        <w:pStyle w:val="Heading3"/>
        <w:rPr>
          <w:lang w:eastAsia="en-US"/>
        </w:rPr>
      </w:pPr>
      <w:r w:rsidRPr="003214D1">
        <w:rPr>
          <w:lang w:eastAsia="en-US"/>
        </w:rPr>
        <w:t xml:space="preserve">Medway Fostering Services </w:t>
      </w:r>
    </w:p>
    <w:p w14:paraId="16F5F4CF" w14:textId="50802A0E" w:rsidR="00707E35" w:rsidRDefault="00707E35" w:rsidP="00707E35">
      <w:pPr>
        <w:rPr>
          <w:lang w:val="en"/>
        </w:rPr>
      </w:pPr>
      <w:r w:rsidRPr="00B073E8">
        <w:rPr>
          <w:lang w:val="en"/>
        </w:rPr>
        <w:t xml:space="preserve">Our foster carers are trained and supported to offer therapeutic care to children and young people from different backgrounds. </w:t>
      </w:r>
      <w:r w:rsidR="00F94650">
        <w:rPr>
          <w:lang w:val="en"/>
        </w:rPr>
        <w:t xml:space="preserve"> </w:t>
      </w:r>
      <w:r w:rsidRPr="00B073E8">
        <w:rPr>
          <w:lang w:val="en"/>
        </w:rPr>
        <w:t xml:space="preserve">They help children feel valued, reach their full potential, and recover from early adverse experiences. </w:t>
      </w:r>
    </w:p>
    <w:p w14:paraId="74BD56C1" w14:textId="77777777" w:rsidR="00707E35" w:rsidRPr="00B073E8" w:rsidRDefault="00707E35" w:rsidP="00707E35">
      <w:pPr>
        <w:rPr>
          <w:lang w:val="en"/>
        </w:rPr>
      </w:pPr>
    </w:p>
    <w:p w14:paraId="64741993" w14:textId="1EB614BD" w:rsidR="00707E35" w:rsidRDefault="00707E35" w:rsidP="00707E35">
      <w:pPr>
        <w:rPr>
          <w:lang w:val="en"/>
        </w:rPr>
      </w:pPr>
      <w:r w:rsidRPr="00B073E8">
        <w:rPr>
          <w:lang w:val="en"/>
        </w:rPr>
        <w:t>The fostering service in Medway has been reviewed and refreshed with a new fee structure and improved support to carers and their families to ensure they have the tools they need to parent children in care and are rewarded for the good care provided to them.</w:t>
      </w:r>
    </w:p>
    <w:p w14:paraId="73F8280E" w14:textId="77777777" w:rsidR="00707E35" w:rsidRDefault="00707E35" w:rsidP="00707E35">
      <w:pPr>
        <w:rPr>
          <w:lang w:val="en"/>
        </w:rPr>
      </w:pPr>
    </w:p>
    <w:p w14:paraId="777E5223" w14:textId="77777777" w:rsidR="00707E35" w:rsidRPr="003214D1" w:rsidRDefault="00707E35" w:rsidP="00E65154">
      <w:pPr>
        <w:pStyle w:val="Heading3"/>
        <w:rPr>
          <w:lang w:eastAsia="en-US"/>
        </w:rPr>
      </w:pPr>
      <w:r w:rsidRPr="003214D1">
        <w:rPr>
          <w:lang w:eastAsia="en-US"/>
        </w:rPr>
        <w:t>Extra Care Scheme</w:t>
      </w:r>
    </w:p>
    <w:p w14:paraId="5BC9A063" w14:textId="5FDA49AE" w:rsidR="00707E35" w:rsidRDefault="00707E35" w:rsidP="00707E35">
      <w:r>
        <w:t xml:space="preserve">Extra Care Housing is a type of sheltered housing that has a permanent care team in the building to meet the needs of the people that live there. </w:t>
      </w:r>
      <w:r w:rsidR="00F94650">
        <w:t xml:space="preserve"> </w:t>
      </w:r>
      <w:r>
        <w:t>It can help people over 55 to live independently in their own homes within a community setting.</w:t>
      </w:r>
    </w:p>
    <w:p w14:paraId="611AD08D" w14:textId="77777777" w:rsidR="00707E35" w:rsidRDefault="00707E35" w:rsidP="00707E35">
      <w:r>
        <w:t>It can help people who:</w:t>
      </w:r>
    </w:p>
    <w:p w14:paraId="5CBFA237" w14:textId="392BDE3D" w:rsidR="00707E35" w:rsidRDefault="00707E35" w:rsidP="00707E35">
      <w:r>
        <w:t>•</w:t>
      </w:r>
      <w:r w:rsidR="00000472">
        <w:t xml:space="preserve"> </w:t>
      </w:r>
      <w:r w:rsidR="00651F31">
        <w:t xml:space="preserve"> </w:t>
      </w:r>
      <w:r>
        <w:t>may need to leave their home because of life changes or health problems.</w:t>
      </w:r>
    </w:p>
    <w:p w14:paraId="3EBEEE86" w14:textId="62F99A2F" w:rsidR="00707E35" w:rsidRDefault="00707E35" w:rsidP="00707E35">
      <w:r>
        <w:t>•</w:t>
      </w:r>
      <w:r w:rsidR="00000472">
        <w:t xml:space="preserve"> </w:t>
      </w:r>
      <w:r w:rsidR="00651F31">
        <w:t xml:space="preserve"> </w:t>
      </w:r>
      <w:r>
        <w:t>have had an assessment and have identified a need for care.</w:t>
      </w:r>
    </w:p>
    <w:p w14:paraId="23DC4192" w14:textId="1C9CD69E" w:rsidR="00707E35" w:rsidRDefault="00707E35" w:rsidP="00707E35">
      <w:r>
        <w:t>•</w:t>
      </w:r>
      <w:r w:rsidR="00000472">
        <w:t xml:space="preserve"> </w:t>
      </w:r>
      <w:r w:rsidR="00651F31">
        <w:t xml:space="preserve"> </w:t>
      </w:r>
      <w:r>
        <w:t>want privacy and independence but need some help with day-to-day living.</w:t>
      </w:r>
    </w:p>
    <w:p w14:paraId="453F8CF2" w14:textId="53CC3BC7" w:rsidR="00707E35" w:rsidRDefault="00707E35" w:rsidP="00707E35">
      <w:r>
        <w:t>Extra care housing offers self-contained apartments, communal spaces, support services and care staff that are always on site.</w:t>
      </w:r>
    </w:p>
    <w:p w14:paraId="4B26F6FB" w14:textId="77777777" w:rsidR="00707E35" w:rsidRDefault="00707E35" w:rsidP="00707E35"/>
    <w:p w14:paraId="021A44E6" w14:textId="77777777" w:rsidR="00707E35" w:rsidRPr="003214D1" w:rsidRDefault="00707E35" w:rsidP="00E65154">
      <w:pPr>
        <w:pStyle w:val="Heading3"/>
        <w:rPr>
          <w:lang w:eastAsia="en-US"/>
        </w:rPr>
      </w:pPr>
      <w:r w:rsidRPr="003214D1">
        <w:rPr>
          <w:lang w:eastAsia="en-US"/>
        </w:rPr>
        <w:t>Parks and Open Spaces</w:t>
      </w:r>
    </w:p>
    <w:p w14:paraId="2404DB9B" w14:textId="75DFF6A2" w:rsidR="00707E35" w:rsidRDefault="00707E35" w:rsidP="00707E35">
      <w:r w:rsidRPr="00FF646D">
        <w:t xml:space="preserve">The Council maintains parks and open spaces for the enjoyment of all. </w:t>
      </w:r>
      <w:r w:rsidR="00F94650">
        <w:t xml:space="preserve"> </w:t>
      </w:r>
      <w:r w:rsidRPr="00FF646D">
        <w:t xml:space="preserve">The estate covers 1900ha (equivalent to 13 Hyde Parks) and comprises 148 urban parks, two country parks and 48 countryside areas that are managed for their wildlife and conservation value. Medway has over 125 play areas, skate parks and multi-use games areas, offering a wide range of activities for children and teenagers. </w:t>
      </w:r>
      <w:r w:rsidR="00F94650">
        <w:t xml:space="preserve"> </w:t>
      </w:r>
      <w:r w:rsidRPr="00FF646D">
        <w:t>The Council works to maximise the use of Medway’s green spaces for sporting and other healthy activities throughout the year.</w:t>
      </w:r>
    </w:p>
    <w:p w14:paraId="15BEF8B5" w14:textId="77777777" w:rsidR="006D7B58" w:rsidRDefault="006D7B58" w:rsidP="00707E35"/>
    <w:p w14:paraId="10468CCA" w14:textId="258F8842" w:rsidR="00707E35" w:rsidRPr="003214D1" w:rsidRDefault="00707E35" w:rsidP="00E65154">
      <w:pPr>
        <w:pStyle w:val="Heading3"/>
        <w:rPr>
          <w:lang w:eastAsia="en-US"/>
        </w:rPr>
      </w:pPr>
      <w:r w:rsidRPr="003214D1">
        <w:rPr>
          <w:lang w:eastAsia="en-US"/>
        </w:rPr>
        <w:t>Walkin’ ‘N’ Wheelin’ Challenge</w:t>
      </w:r>
    </w:p>
    <w:p w14:paraId="442EC403" w14:textId="24EDE866" w:rsidR="00707E35" w:rsidRDefault="00707E35" w:rsidP="008A23A9">
      <w:pPr>
        <w:rPr>
          <w:color w:val="000000"/>
          <w:lang w:eastAsia="ja-JP"/>
        </w:rPr>
      </w:pPr>
      <w:r>
        <w:rPr>
          <w:color w:val="000000"/>
          <w:lang w:eastAsia="ja-JP"/>
        </w:rPr>
        <w:t xml:space="preserve">The launch of our new Walkin ‘N’ Wheelin competition took place in May 2023 to support national walk to school week. We saw 10 Medway Primary schools compete, which resulted in 11,235 active travel journeys recorded over the event. </w:t>
      </w:r>
      <w:r w:rsidR="00F94650">
        <w:rPr>
          <w:color w:val="000000"/>
          <w:lang w:eastAsia="ja-JP"/>
        </w:rPr>
        <w:t xml:space="preserve"> </w:t>
      </w:r>
      <w:r>
        <w:rPr>
          <w:color w:val="000000"/>
          <w:lang w:eastAsia="ja-JP"/>
        </w:rPr>
        <w:t xml:space="preserve">The school ranking first was St Margaret’s at Troy Town Primary in Rochester, who had an overall 76.3% of pupils travelling to school actively during the event. </w:t>
      </w:r>
      <w:r w:rsidR="00F94650">
        <w:rPr>
          <w:color w:val="000000"/>
          <w:lang w:eastAsia="ja-JP"/>
        </w:rPr>
        <w:t xml:space="preserve"> </w:t>
      </w:r>
      <w:r>
        <w:rPr>
          <w:color w:val="000000"/>
          <w:lang w:eastAsia="ja-JP"/>
        </w:rPr>
        <w:t xml:space="preserve">A prize of £500 Halfords was rewarded to them, which they spent on balance bikes for their </w:t>
      </w:r>
      <w:r w:rsidR="0057751E">
        <w:rPr>
          <w:color w:val="000000"/>
          <w:lang w:eastAsia="ja-JP"/>
        </w:rPr>
        <w:t>Early Years Foundation Stage (</w:t>
      </w:r>
      <w:r>
        <w:rPr>
          <w:color w:val="000000"/>
          <w:lang w:eastAsia="ja-JP"/>
        </w:rPr>
        <w:t>EYFS</w:t>
      </w:r>
      <w:r w:rsidR="0057751E">
        <w:rPr>
          <w:color w:val="000000"/>
          <w:lang w:eastAsia="ja-JP"/>
        </w:rPr>
        <w:t>)</w:t>
      </w:r>
      <w:r>
        <w:rPr>
          <w:color w:val="000000"/>
          <w:lang w:eastAsia="ja-JP"/>
        </w:rPr>
        <w:t xml:space="preserve"> to promote cycling from a young age.</w:t>
      </w:r>
    </w:p>
    <w:p w14:paraId="00BE03D7" w14:textId="77777777" w:rsidR="00707E35" w:rsidRDefault="00707E35" w:rsidP="008A23A9">
      <w:pPr>
        <w:rPr>
          <w:color w:val="000000"/>
          <w:lang w:eastAsia="ja-JP"/>
        </w:rPr>
      </w:pPr>
    </w:p>
    <w:p w14:paraId="532D707C" w14:textId="11411F7D" w:rsidR="006D3F30" w:rsidRPr="003214D1" w:rsidRDefault="006D3F30" w:rsidP="00E65154">
      <w:pPr>
        <w:pStyle w:val="Heading3"/>
        <w:rPr>
          <w:lang w:eastAsia="en-US"/>
        </w:rPr>
      </w:pPr>
      <w:r w:rsidRPr="003214D1">
        <w:rPr>
          <w:lang w:eastAsia="en-US"/>
        </w:rPr>
        <w:t>Little Trekkers and Striders</w:t>
      </w:r>
    </w:p>
    <w:p w14:paraId="40C37409" w14:textId="30A1C38C" w:rsidR="00707E35" w:rsidRDefault="006D3F30" w:rsidP="008A23A9">
      <w:pPr>
        <w:rPr>
          <w:color w:val="000000"/>
          <w:lang w:eastAsia="ja-JP"/>
        </w:rPr>
      </w:pPr>
      <w:r>
        <w:rPr>
          <w:color w:val="000000"/>
          <w:lang w:eastAsia="ja-JP"/>
        </w:rPr>
        <w:t xml:space="preserve">Two new walking campaigns were launched by Medway for Primary and Secondary schools, in support of International walk to school month. </w:t>
      </w:r>
      <w:r w:rsidR="00F94650">
        <w:rPr>
          <w:color w:val="000000"/>
          <w:lang w:eastAsia="ja-JP"/>
        </w:rPr>
        <w:t xml:space="preserve"> </w:t>
      </w:r>
      <w:r>
        <w:rPr>
          <w:color w:val="000000"/>
          <w:lang w:eastAsia="ja-JP"/>
        </w:rPr>
        <w:t xml:space="preserve">Across both campaigns, participation doubled to 16 schools compared to last year’s competitions. </w:t>
      </w:r>
      <w:r w:rsidR="00F94650">
        <w:rPr>
          <w:color w:val="000000"/>
          <w:lang w:eastAsia="ja-JP"/>
        </w:rPr>
        <w:t xml:space="preserve"> </w:t>
      </w:r>
      <w:r>
        <w:rPr>
          <w:color w:val="000000"/>
          <w:lang w:eastAsia="ja-JP"/>
        </w:rPr>
        <w:t xml:space="preserve">A total of 32,227 active travel journeys were made by those schools who took part, with prizes rewarded to the top 3 ranking schools in each category. </w:t>
      </w:r>
      <w:r w:rsidR="00F94650">
        <w:rPr>
          <w:color w:val="000000"/>
          <w:lang w:eastAsia="ja-JP"/>
        </w:rPr>
        <w:t xml:space="preserve"> </w:t>
      </w:r>
      <w:r>
        <w:rPr>
          <w:color w:val="000000"/>
          <w:lang w:eastAsia="ja-JP"/>
        </w:rPr>
        <w:t>New Road Primary School won Little Trekkers, with 79.8% of their pupils getting to school by active travel. Thomas Aveling was also presented with the top prize for the secondary school category, for taking part in the competition.</w:t>
      </w:r>
    </w:p>
    <w:p w14:paraId="3A164BEF" w14:textId="77777777" w:rsidR="006D3F30" w:rsidRDefault="006D3F30" w:rsidP="008A23A9">
      <w:pPr>
        <w:rPr>
          <w:color w:val="000000"/>
          <w:lang w:eastAsia="ja-JP"/>
        </w:rPr>
      </w:pPr>
    </w:p>
    <w:p w14:paraId="39E77C54" w14:textId="6BCD27BF" w:rsidR="006D3F30" w:rsidRPr="003214D1" w:rsidRDefault="006D3F30" w:rsidP="00E65154">
      <w:pPr>
        <w:pStyle w:val="Heading3"/>
        <w:rPr>
          <w:lang w:eastAsia="en-US"/>
        </w:rPr>
      </w:pPr>
      <w:r w:rsidRPr="003214D1">
        <w:rPr>
          <w:lang w:eastAsia="en-US"/>
        </w:rPr>
        <w:t>Walk on Wednesday (WOW)</w:t>
      </w:r>
    </w:p>
    <w:p w14:paraId="1A86C945" w14:textId="0FA745C0" w:rsidR="006D3F30" w:rsidRDefault="006D3F30" w:rsidP="008A23A9">
      <w:pPr>
        <w:rPr>
          <w:color w:val="000000"/>
          <w:lang w:eastAsia="ja-JP"/>
        </w:rPr>
      </w:pPr>
      <w:r>
        <w:rPr>
          <w:color w:val="000000"/>
          <w:lang w:eastAsia="ja-JP"/>
        </w:rPr>
        <w:t xml:space="preserve">18 schools in Medway participated in the Active WOW (walk once a week) initiative run by KM charity in </w:t>
      </w:r>
      <w:r w:rsidR="0057751E">
        <w:rPr>
          <w:color w:val="000000"/>
          <w:lang w:eastAsia="ja-JP"/>
        </w:rPr>
        <w:t xml:space="preserve">the academic year </w:t>
      </w:r>
      <w:r>
        <w:rPr>
          <w:color w:val="000000"/>
          <w:lang w:eastAsia="ja-JP"/>
        </w:rPr>
        <w:t>2022</w:t>
      </w:r>
      <w:r w:rsidR="0057751E">
        <w:rPr>
          <w:color w:val="000000"/>
          <w:lang w:eastAsia="ja-JP"/>
        </w:rPr>
        <w:t xml:space="preserve"> to 20</w:t>
      </w:r>
      <w:r>
        <w:rPr>
          <w:color w:val="000000"/>
          <w:lang w:eastAsia="ja-JP"/>
        </w:rPr>
        <w:t xml:space="preserve">23, with over 5,300 children taking part. </w:t>
      </w:r>
      <w:r w:rsidR="00F94650">
        <w:rPr>
          <w:color w:val="000000"/>
          <w:lang w:eastAsia="ja-JP"/>
        </w:rPr>
        <w:t xml:space="preserve"> </w:t>
      </w:r>
      <w:r>
        <w:rPr>
          <w:color w:val="000000"/>
          <w:lang w:eastAsia="ja-JP"/>
        </w:rPr>
        <w:t xml:space="preserve">Despite KM Charity ceasing operation shortly into the new year, schools continued to record their active journeys, resulting in 34,234 being reported by the participating Medway schools. </w:t>
      </w:r>
      <w:r w:rsidR="00F94650">
        <w:rPr>
          <w:color w:val="000000"/>
          <w:lang w:eastAsia="ja-JP"/>
        </w:rPr>
        <w:t xml:space="preserve"> </w:t>
      </w:r>
      <w:r>
        <w:rPr>
          <w:color w:val="000000"/>
          <w:lang w:eastAsia="ja-JP"/>
        </w:rPr>
        <w:t xml:space="preserve">Medway has since appointed the national organisation Living Streets to run a similar walk to school once a week (WOW) campaign. </w:t>
      </w:r>
      <w:r w:rsidR="00F94650">
        <w:rPr>
          <w:color w:val="000000"/>
          <w:lang w:eastAsia="ja-JP"/>
        </w:rPr>
        <w:t xml:space="preserve"> </w:t>
      </w:r>
      <w:r>
        <w:rPr>
          <w:color w:val="000000"/>
          <w:lang w:eastAsia="ja-JP"/>
        </w:rPr>
        <w:t>Currently 15 schools have been funded through the capability fund to take part.</w:t>
      </w:r>
    </w:p>
    <w:p w14:paraId="0D6BC80D" w14:textId="77777777" w:rsidR="006D3F30" w:rsidRDefault="006D3F30" w:rsidP="008A23A9">
      <w:pPr>
        <w:rPr>
          <w:color w:val="000000"/>
          <w:lang w:eastAsia="ja-JP"/>
        </w:rPr>
      </w:pPr>
    </w:p>
    <w:p w14:paraId="2B9FC71C" w14:textId="2BA64D46" w:rsidR="006D3F30" w:rsidRPr="003214D1" w:rsidRDefault="006D3F30" w:rsidP="00E65154">
      <w:pPr>
        <w:pStyle w:val="Heading3"/>
        <w:rPr>
          <w:lang w:eastAsia="en-US"/>
        </w:rPr>
      </w:pPr>
      <w:r w:rsidRPr="003214D1">
        <w:rPr>
          <w:lang w:eastAsia="en-US"/>
        </w:rPr>
        <w:t>Bikeability</w:t>
      </w:r>
    </w:p>
    <w:p w14:paraId="73B12566" w14:textId="6279FABA" w:rsidR="006D3F30" w:rsidRDefault="006D3F30" w:rsidP="008A23A9">
      <w:pPr>
        <w:rPr>
          <w:color w:val="000000"/>
          <w:lang w:eastAsia="ja-JP"/>
        </w:rPr>
      </w:pPr>
      <w:r>
        <w:rPr>
          <w:color w:val="000000"/>
          <w:lang w:eastAsia="ja-JP"/>
        </w:rPr>
        <w:t xml:space="preserve">During </w:t>
      </w:r>
      <w:r w:rsidR="0057751E">
        <w:rPr>
          <w:color w:val="000000"/>
          <w:lang w:eastAsia="ja-JP"/>
        </w:rPr>
        <w:t xml:space="preserve">the </w:t>
      </w:r>
      <w:r>
        <w:rPr>
          <w:color w:val="000000"/>
          <w:lang w:eastAsia="ja-JP"/>
        </w:rPr>
        <w:t>2022</w:t>
      </w:r>
      <w:r w:rsidR="0057751E">
        <w:rPr>
          <w:color w:val="000000"/>
          <w:lang w:eastAsia="ja-JP"/>
        </w:rPr>
        <w:t xml:space="preserve"> to 20</w:t>
      </w:r>
      <w:r>
        <w:rPr>
          <w:color w:val="000000"/>
          <w:lang w:eastAsia="ja-JP"/>
        </w:rPr>
        <w:t xml:space="preserve">23 academic year, Bikeability level 1 and 2 has been delivered to 493 pupils across Medway. </w:t>
      </w:r>
      <w:r w:rsidR="00F94650">
        <w:rPr>
          <w:color w:val="000000"/>
          <w:lang w:eastAsia="ja-JP"/>
        </w:rPr>
        <w:t xml:space="preserve"> </w:t>
      </w:r>
      <w:r>
        <w:rPr>
          <w:color w:val="000000"/>
          <w:lang w:eastAsia="ja-JP"/>
        </w:rPr>
        <w:t xml:space="preserve">Of the schools eligible to take part, 33% engaged in the Bikeability programme and took part in at least 1 course. </w:t>
      </w:r>
      <w:r w:rsidR="00F94650">
        <w:rPr>
          <w:color w:val="000000"/>
          <w:lang w:eastAsia="ja-JP"/>
        </w:rPr>
        <w:t xml:space="preserve"> </w:t>
      </w:r>
      <w:r>
        <w:rPr>
          <w:color w:val="000000"/>
          <w:lang w:eastAsia="ja-JP"/>
        </w:rPr>
        <w:t>The course is designed to improve practical cycling skills and safety awareness on the road, giving pupils the confidence to use this active mode of travel for future journeys.</w:t>
      </w:r>
    </w:p>
    <w:p w14:paraId="5F41573E" w14:textId="77777777" w:rsidR="006D3F30" w:rsidRDefault="006D3F30" w:rsidP="008A23A9">
      <w:pPr>
        <w:rPr>
          <w:color w:val="000000"/>
          <w:lang w:eastAsia="ja-JP"/>
        </w:rPr>
      </w:pPr>
    </w:p>
    <w:p w14:paraId="2C622052" w14:textId="00E0B8EE" w:rsidR="006D3F30" w:rsidRPr="003214D1" w:rsidRDefault="006D3F30" w:rsidP="00E65154">
      <w:pPr>
        <w:pStyle w:val="Heading3"/>
        <w:rPr>
          <w:lang w:eastAsia="en-US"/>
        </w:rPr>
      </w:pPr>
      <w:r w:rsidRPr="003214D1">
        <w:rPr>
          <w:lang w:eastAsia="en-US"/>
        </w:rPr>
        <w:t>Home First Scheme</w:t>
      </w:r>
    </w:p>
    <w:p w14:paraId="525CC431" w14:textId="6B24FC43" w:rsidR="006D3F30" w:rsidRPr="006D3F30" w:rsidRDefault="006D3F30" w:rsidP="006D3F30">
      <w:pPr>
        <w:rPr>
          <w:lang w:val="en-US"/>
        </w:rPr>
      </w:pPr>
      <w:r w:rsidRPr="006D3F30">
        <w:rPr>
          <w:lang w:val="en-US"/>
        </w:rPr>
        <w:t xml:space="preserve">Patients are being provided with more health support outside of hospital than ever before. </w:t>
      </w:r>
      <w:r w:rsidR="00F94650">
        <w:rPr>
          <w:lang w:val="en-US"/>
        </w:rPr>
        <w:t xml:space="preserve"> </w:t>
      </w:r>
      <w:r w:rsidRPr="006D3F30">
        <w:rPr>
          <w:lang w:val="en-US"/>
        </w:rPr>
        <w:t xml:space="preserve">We have worked closely with NHS Kent and Medway </w:t>
      </w:r>
      <w:r w:rsidR="0057751E">
        <w:rPr>
          <w:lang w:val="en-US"/>
        </w:rPr>
        <w:t>Integrated Care Board (</w:t>
      </w:r>
      <w:r w:rsidRPr="006D3F30">
        <w:rPr>
          <w:lang w:val="en-US"/>
        </w:rPr>
        <w:t>ICB</w:t>
      </w:r>
      <w:r w:rsidR="0057751E">
        <w:rPr>
          <w:lang w:val="en-US"/>
        </w:rPr>
        <w:t>)</w:t>
      </w:r>
      <w:r w:rsidRPr="006D3F30">
        <w:rPr>
          <w:lang w:val="en-US"/>
        </w:rPr>
        <w:t xml:space="preserve"> to reduce patients’ length of stay in hospital by commissioning specialist health care outside of the hospital. </w:t>
      </w:r>
      <w:r w:rsidR="00F94650">
        <w:rPr>
          <w:lang w:val="en-US"/>
        </w:rPr>
        <w:t xml:space="preserve"> </w:t>
      </w:r>
      <w:r w:rsidRPr="006D3F30">
        <w:rPr>
          <w:lang w:val="en-US"/>
        </w:rPr>
        <w:t>Subsequently, the waiting time on transfer of care has seen a significant reduction in Medway.</w:t>
      </w:r>
    </w:p>
    <w:p w14:paraId="4BDF70BB" w14:textId="77777777" w:rsidR="006D3F30" w:rsidRPr="006D3F30" w:rsidRDefault="006D3F30" w:rsidP="006D3F30">
      <w:pPr>
        <w:rPr>
          <w:lang w:val="en-US"/>
        </w:rPr>
      </w:pPr>
    </w:p>
    <w:p w14:paraId="55F4831C" w14:textId="404CC14E" w:rsidR="006D3F30" w:rsidRPr="006D3F30" w:rsidRDefault="006D3F30" w:rsidP="006D3F30">
      <w:pPr>
        <w:rPr>
          <w:lang w:val="en-US"/>
        </w:rPr>
      </w:pPr>
      <w:r w:rsidRPr="006D3F30">
        <w:rPr>
          <w:lang w:val="en-US"/>
        </w:rPr>
        <w:t xml:space="preserve">Patients who no longer need acute care but require some additional support at home are discharged under the Home First scheme. </w:t>
      </w:r>
      <w:r w:rsidR="00F94650">
        <w:rPr>
          <w:lang w:val="en-US"/>
        </w:rPr>
        <w:t xml:space="preserve"> </w:t>
      </w:r>
      <w:r w:rsidRPr="006D3F30">
        <w:rPr>
          <w:lang w:val="en-US"/>
        </w:rPr>
        <w:t xml:space="preserve">The scheme allows patients to continue their recovery in the comfort of their own home with the additional support they may need. </w:t>
      </w:r>
      <w:r w:rsidR="00F94650">
        <w:rPr>
          <w:lang w:val="en-US"/>
        </w:rPr>
        <w:t xml:space="preserve"> </w:t>
      </w:r>
      <w:r w:rsidRPr="006D3F30">
        <w:rPr>
          <w:lang w:val="en-US"/>
        </w:rPr>
        <w:t xml:space="preserve">Patients who have completed their medical treatment but are not fully fit to go home will have their care and reablement transferred to a specialist community facility. </w:t>
      </w:r>
      <w:r w:rsidR="00F94650">
        <w:rPr>
          <w:lang w:val="en-US"/>
        </w:rPr>
        <w:t xml:space="preserve"> </w:t>
      </w:r>
      <w:r w:rsidRPr="006D3F30">
        <w:rPr>
          <w:lang w:val="en-US"/>
        </w:rPr>
        <w:t>This subsequently frees up beds at Medway Maritime Hospital for those most in need of hospital care and ensures people are being supported throughout their care.</w:t>
      </w:r>
    </w:p>
    <w:p w14:paraId="2056A676" w14:textId="77777777" w:rsidR="006D3F30" w:rsidRPr="006D3F30" w:rsidRDefault="006D3F30" w:rsidP="006D3F30">
      <w:pPr>
        <w:rPr>
          <w:lang w:val="en-US"/>
        </w:rPr>
      </w:pPr>
    </w:p>
    <w:p w14:paraId="0932515D" w14:textId="373CB5D0" w:rsidR="006D3F30" w:rsidRDefault="006D3F30" w:rsidP="006D3F30">
      <w:pPr>
        <w:rPr>
          <w:lang w:val="en-US"/>
        </w:rPr>
      </w:pPr>
      <w:r w:rsidRPr="006D3F30">
        <w:rPr>
          <w:lang w:val="en-US"/>
        </w:rPr>
        <w:t>The Intermediate Care and Reablement Service (ICRS) was an integral part of the response to COVID19 and the lessons learnt influenced the recommissioning of this service in 2023.</w:t>
      </w:r>
    </w:p>
    <w:p w14:paraId="11B49AD7" w14:textId="77777777" w:rsidR="00707E35" w:rsidRDefault="00707E35" w:rsidP="008A23A9">
      <w:pPr>
        <w:rPr>
          <w:lang w:val="en-US" w:eastAsia="en-US"/>
        </w:rPr>
      </w:pPr>
    </w:p>
    <w:p w14:paraId="4CF073E9" w14:textId="77777777" w:rsidR="006D3F30" w:rsidRPr="003214D1" w:rsidRDefault="006D3F30" w:rsidP="00E65154">
      <w:pPr>
        <w:pStyle w:val="Heading3"/>
        <w:rPr>
          <w:lang w:eastAsia="en-US"/>
        </w:rPr>
      </w:pPr>
      <w:r w:rsidRPr="003214D1">
        <w:rPr>
          <w:lang w:eastAsia="en-US"/>
        </w:rPr>
        <w:t>Medway Skills Board</w:t>
      </w:r>
    </w:p>
    <w:p w14:paraId="2359A246" w14:textId="5B2B0194" w:rsidR="006D3F30" w:rsidRDefault="006D3F30" w:rsidP="006D3F30">
      <w:r>
        <w:t>The Council has established Medway Skills Board and skills development programme for residents.  This skills board comprises of Officers’ and Members’ Boards. The Officers' Skills Board chaired by the Chief Executive meet regularly alongside the Members Board, overseeing the development and delivery of the Skills and Employability Plan.  There is also an independently chaired skills stakeholder board.</w:t>
      </w:r>
    </w:p>
    <w:p w14:paraId="3256D9B1" w14:textId="017961AD" w:rsidR="006D3F30" w:rsidRDefault="006D3F30" w:rsidP="006D3F30">
      <w:r>
        <w:t>The Skills &amp; Employability Plan for Medway is for all people and all skill levels, it incorporates the 16</w:t>
      </w:r>
      <w:r w:rsidR="0057751E">
        <w:t xml:space="preserve"> to</w:t>
      </w:r>
      <w:r>
        <w:t>19 strategy.  Delivery began in 2019 and the plan was refreshed in 2022.</w:t>
      </w:r>
    </w:p>
    <w:p w14:paraId="3E682BFD" w14:textId="48EA2F72" w:rsidR="006D3F30" w:rsidRDefault="006D3F30" w:rsidP="006D3F30">
      <w:r w:rsidRPr="00882E07">
        <w:t>Projects are designed to support those who need it, with a focus on those who are disadvantaged, examples include the 50+ employment programme and the Supported Internship forum.</w:t>
      </w:r>
    </w:p>
    <w:p w14:paraId="01AB3D0D" w14:textId="77777777" w:rsidR="006D3F30" w:rsidRDefault="006D3F30" w:rsidP="006D3F30">
      <w:pPr>
        <w:rPr>
          <w:lang w:val="en-US"/>
        </w:rPr>
      </w:pPr>
    </w:p>
    <w:p w14:paraId="576A6D06" w14:textId="7119A32A" w:rsidR="006D3F30" w:rsidRPr="003214D1" w:rsidRDefault="006D3F30" w:rsidP="00E65154">
      <w:pPr>
        <w:pStyle w:val="Heading3"/>
        <w:rPr>
          <w:lang w:eastAsia="en-US"/>
        </w:rPr>
      </w:pPr>
      <w:r w:rsidRPr="003214D1">
        <w:rPr>
          <w:lang w:eastAsia="en-US"/>
        </w:rPr>
        <w:t>Library Service</w:t>
      </w:r>
    </w:p>
    <w:p w14:paraId="69F5EE95" w14:textId="5BA09F88" w:rsidR="006D3F30" w:rsidRPr="006D3F30" w:rsidRDefault="006D3F30" w:rsidP="006D3F30">
      <w:pPr>
        <w:rPr>
          <w:lang w:val="en-US"/>
        </w:rPr>
      </w:pPr>
      <w:r w:rsidRPr="006D3F30">
        <w:rPr>
          <w:lang w:val="en-US"/>
        </w:rPr>
        <w:t xml:space="preserve">The Library Service provides a service to over 200 housebound residents throughout Medway. By working with volunteer couriers, books are delivered to these residents in their own home. </w:t>
      </w:r>
      <w:r w:rsidR="00F94650">
        <w:rPr>
          <w:lang w:val="en-US"/>
        </w:rPr>
        <w:t xml:space="preserve"> </w:t>
      </w:r>
      <w:r w:rsidRPr="006D3F30">
        <w:rPr>
          <w:lang w:val="en-US"/>
        </w:rPr>
        <w:t>Books are also delivered to over 15 Medway residential homes. Alongside this over a 100 Medway visually impaired residents to receive spoken word cd’s through the post.</w:t>
      </w:r>
    </w:p>
    <w:p w14:paraId="1ACEBD5F" w14:textId="77777777" w:rsidR="006D3F30" w:rsidRPr="006D3F30" w:rsidRDefault="006D3F30" w:rsidP="006D3F30">
      <w:pPr>
        <w:rPr>
          <w:lang w:val="en-US"/>
        </w:rPr>
      </w:pPr>
      <w:r w:rsidRPr="006D3F30">
        <w:rPr>
          <w:lang w:val="en-US"/>
        </w:rPr>
        <w:t>Libraries provide a whole range of stock for residents with additional needs, these include</w:t>
      </w:r>
    </w:p>
    <w:p w14:paraId="0843A6EE" w14:textId="123B9952" w:rsidR="006D3F30" w:rsidRPr="00EC6B6F" w:rsidRDefault="006D3F30" w:rsidP="00EC6B6F">
      <w:pPr>
        <w:pStyle w:val="ListParagraph"/>
        <w:numPr>
          <w:ilvl w:val="0"/>
          <w:numId w:val="4"/>
        </w:numPr>
        <w:tabs>
          <w:tab w:val="left" w:pos="1276"/>
        </w:tabs>
        <w:rPr>
          <w:szCs w:val="22"/>
        </w:rPr>
      </w:pPr>
      <w:r w:rsidRPr="00EC6B6F">
        <w:rPr>
          <w:szCs w:val="22"/>
        </w:rPr>
        <w:t>Large print</w:t>
      </w:r>
    </w:p>
    <w:p w14:paraId="26679B87" w14:textId="1F794EE4" w:rsidR="006D3F30" w:rsidRPr="00EC6B6F" w:rsidRDefault="006D3F30" w:rsidP="00EC6B6F">
      <w:pPr>
        <w:pStyle w:val="ListParagraph"/>
        <w:numPr>
          <w:ilvl w:val="0"/>
          <w:numId w:val="4"/>
        </w:numPr>
        <w:tabs>
          <w:tab w:val="left" w:pos="1276"/>
        </w:tabs>
        <w:rPr>
          <w:szCs w:val="22"/>
        </w:rPr>
      </w:pPr>
      <w:r w:rsidRPr="00EC6B6F">
        <w:rPr>
          <w:szCs w:val="22"/>
        </w:rPr>
        <w:t>Audio books</w:t>
      </w:r>
    </w:p>
    <w:p w14:paraId="6FC6642E" w14:textId="68B35150" w:rsidR="006D3F30" w:rsidRPr="00EC6B6F" w:rsidRDefault="006D3F30" w:rsidP="00EC6B6F">
      <w:pPr>
        <w:pStyle w:val="ListParagraph"/>
        <w:numPr>
          <w:ilvl w:val="0"/>
          <w:numId w:val="4"/>
        </w:numPr>
        <w:tabs>
          <w:tab w:val="left" w:pos="1276"/>
        </w:tabs>
        <w:rPr>
          <w:szCs w:val="22"/>
        </w:rPr>
      </w:pPr>
      <w:r w:rsidRPr="00EC6B6F">
        <w:rPr>
          <w:szCs w:val="22"/>
        </w:rPr>
        <w:t>eBooks with accessibility functions</w:t>
      </w:r>
    </w:p>
    <w:p w14:paraId="28FE2642" w14:textId="1E7C179A" w:rsidR="006D3F30" w:rsidRPr="00EC6B6F" w:rsidRDefault="006D3F30" w:rsidP="00EC6B6F">
      <w:pPr>
        <w:pStyle w:val="ListParagraph"/>
        <w:numPr>
          <w:ilvl w:val="0"/>
          <w:numId w:val="4"/>
        </w:numPr>
        <w:tabs>
          <w:tab w:val="left" w:pos="1276"/>
        </w:tabs>
        <w:rPr>
          <w:szCs w:val="22"/>
        </w:rPr>
      </w:pPr>
      <w:r w:rsidRPr="00EC6B6F">
        <w:rPr>
          <w:szCs w:val="22"/>
        </w:rPr>
        <w:t xml:space="preserve">Clear Visions stock </w:t>
      </w:r>
      <w:r w:rsidR="0057751E">
        <w:rPr>
          <w:szCs w:val="22"/>
        </w:rPr>
        <w:t>of</w:t>
      </w:r>
      <w:r w:rsidRPr="00EC6B6F">
        <w:rPr>
          <w:szCs w:val="22"/>
        </w:rPr>
        <w:t xml:space="preserve"> books in grade 1 or grade 2 braille for young people</w:t>
      </w:r>
    </w:p>
    <w:p w14:paraId="390E7B08" w14:textId="42277A3F" w:rsidR="006D3F30" w:rsidRPr="00EC6B6F" w:rsidRDefault="006D3F30" w:rsidP="00EC6B6F">
      <w:pPr>
        <w:pStyle w:val="ListParagraph"/>
        <w:numPr>
          <w:ilvl w:val="0"/>
          <w:numId w:val="4"/>
        </w:numPr>
        <w:tabs>
          <w:tab w:val="left" w:pos="1276"/>
        </w:tabs>
        <w:rPr>
          <w:szCs w:val="22"/>
        </w:rPr>
      </w:pPr>
      <w:r w:rsidRPr="00EC6B6F">
        <w:rPr>
          <w:szCs w:val="22"/>
        </w:rPr>
        <w:t>‘Quick reads’ stock for under-confident readers</w:t>
      </w:r>
    </w:p>
    <w:p w14:paraId="7B92BF90" w14:textId="5D489D80" w:rsidR="006D3F30" w:rsidRPr="00EC6B6F" w:rsidRDefault="006D3F30" w:rsidP="00EC6B6F">
      <w:pPr>
        <w:pStyle w:val="ListParagraph"/>
        <w:numPr>
          <w:ilvl w:val="0"/>
          <w:numId w:val="4"/>
        </w:numPr>
        <w:tabs>
          <w:tab w:val="left" w:pos="1276"/>
        </w:tabs>
        <w:rPr>
          <w:szCs w:val="22"/>
        </w:rPr>
      </w:pPr>
      <w:r w:rsidRPr="00EC6B6F">
        <w:rPr>
          <w:szCs w:val="22"/>
        </w:rPr>
        <w:t>‘Reading Well’ collections to support mental health</w:t>
      </w:r>
    </w:p>
    <w:p w14:paraId="772E1156" w14:textId="3503FAD4" w:rsidR="006D3F30" w:rsidRPr="00EC6B6F" w:rsidRDefault="006D3F30" w:rsidP="00EC6B6F">
      <w:pPr>
        <w:pStyle w:val="ListParagraph"/>
        <w:numPr>
          <w:ilvl w:val="0"/>
          <w:numId w:val="4"/>
        </w:numPr>
        <w:tabs>
          <w:tab w:val="left" w:pos="1276"/>
        </w:tabs>
        <w:rPr>
          <w:szCs w:val="22"/>
        </w:rPr>
      </w:pPr>
      <w:r w:rsidRPr="00EC6B6F">
        <w:rPr>
          <w:szCs w:val="22"/>
        </w:rPr>
        <w:t>Barrington Stokes stock for under-confident and dyslexic young people.</w:t>
      </w:r>
    </w:p>
    <w:p w14:paraId="0C5AC058" w14:textId="3E0B1A29" w:rsidR="006D3F30" w:rsidRPr="006D3F30" w:rsidRDefault="006D3F30" w:rsidP="006D3F30">
      <w:pPr>
        <w:rPr>
          <w:lang w:val="en-US"/>
        </w:rPr>
      </w:pPr>
      <w:r w:rsidRPr="006D3F30">
        <w:rPr>
          <w:lang w:val="en-US"/>
        </w:rPr>
        <w:t>As well as this they also free Computer use and access to free Wi-Fi.</w:t>
      </w:r>
    </w:p>
    <w:p w14:paraId="3FB0AD25" w14:textId="4AF75CA7" w:rsidR="006D3F30" w:rsidRPr="006D3F30" w:rsidRDefault="006D3F30" w:rsidP="006D3F30">
      <w:pPr>
        <w:rPr>
          <w:lang w:val="en-US"/>
        </w:rPr>
      </w:pPr>
      <w:r w:rsidRPr="006D3F30">
        <w:rPr>
          <w:lang w:val="en-US"/>
        </w:rPr>
        <w:t>A whole range of free events and activities supporting residents to engage in a healthy lifestyle and avoid isolation are provided.</w:t>
      </w:r>
    </w:p>
    <w:p w14:paraId="038ECFBB" w14:textId="77EF3B0E" w:rsidR="006D3F30" w:rsidRDefault="006D3F30" w:rsidP="006D3F30">
      <w:pPr>
        <w:rPr>
          <w:lang w:val="en-US"/>
        </w:rPr>
      </w:pPr>
      <w:r w:rsidRPr="006D3F30">
        <w:rPr>
          <w:lang w:val="en-US"/>
        </w:rPr>
        <w:t>Libraries provide the public face of the Council in every Medway community.</w:t>
      </w:r>
    </w:p>
    <w:p w14:paraId="36E401C9" w14:textId="77777777" w:rsidR="006D3F30" w:rsidRDefault="006D3F30" w:rsidP="006D3F30">
      <w:pPr>
        <w:rPr>
          <w:lang w:val="en-US"/>
        </w:rPr>
      </w:pPr>
    </w:p>
    <w:p w14:paraId="419D6970" w14:textId="54930136" w:rsidR="006D3F30" w:rsidRPr="003214D1" w:rsidRDefault="006D3F30" w:rsidP="00E65154">
      <w:pPr>
        <w:pStyle w:val="Heading3"/>
        <w:rPr>
          <w:lang w:eastAsia="en-US"/>
        </w:rPr>
      </w:pPr>
      <w:r w:rsidRPr="003214D1">
        <w:rPr>
          <w:lang w:eastAsia="en-US"/>
        </w:rPr>
        <w:t>Free Health Checks</w:t>
      </w:r>
    </w:p>
    <w:p w14:paraId="01E90F19" w14:textId="53D949FF" w:rsidR="006D3F30" w:rsidRPr="006D3F30" w:rsidRDefault="006D3F30" w:rsidP="006D3F30">
      <w:pPr>
        <w:rPr>
          <w:lang w:val="en-US"/>
        </w:rPr>
      </w:pPr>
      <w:r w:rsidRPr="006D3F30">
        <w:rPr>
          <w:lang w:val="en-US"/>
        </w:rPr>
        <w:t>Eligible residents aged 40</w:t>
      </w:r>
      <w:r w:rsidR="0057751E">
        <w:rPr>
          <w:lang w:val="en-US"/>
        </w:rPr>
        <w:t xml:space="preserve"> to </w:t>
      </w:r>
      <w:r w:rsidRPr="006D3F30">
        <w:rPr>
          <w:lang w:val="en-US"/>
        </w:rPr>
        <w:t>74 can have a free NHS Health Check at the Smokefree Advice Centre in Chatham, an accessible shop on Chatham High Street.</w:t>
      </w:r>
    </w:p>
    <w:p w14:paraId="2408BA41" w14:textId="0DE8D75D" w:rsidR="006D3F30" w:rsidRPr="006D3F30" w:rsidRDefault="006D3F30" w:rsidP="006D3F30">
      <w:pPr>
        <w:rPr>
          <w:lang w:val="en-US"/>
        </w:rPr>
      </w:pPr>
      <w:r w:rsidRPr="006D3F30">
        <w:rPr>
          <w:lang w:val="en-US"/>
        </w:rPr>
        <w:t xml:space="preserve">As people get older, they have a higher risk of developing health problems. </w:t>
      </w:r>
      <w:r w:rsidR="00F94650">
        <w:rPr>
          <w:lang w:val="en-US"/>
        </w:rPr>
        <w:t xml:space="preserve"> </w:t>
      </w:r>
      <w:r w:rsidRPr="006D3F30">
        <w:rPr>
          <w:lang w:val="en-US"/>
        </w:rPr>
        <w:t xml:space="preserve">The NHS Health Check aims to spot the early signs which may lead to kidney disease, heart disease, strokes, type two diabetes, and dementia. </w:t>
      </w:r>
      <w:r w:rsidR="00F94650">
        <w:rPr>
          <w:lang w:val="en-US"/>
        </w:rPr>
        <w:t xml:space="preserve"> </w:t>
      </w:r>
      <w:r w:rsidRPr="006D3F30">
        <w:rPr>
          <w:lang w:val="en-US"/>
        </w:rPr>
        <w:t xml:space="preserve">The initiative offers residents one to one consultations with fully trained staff, tailored advice, and ongoing support to help them make small changes to lead a healthier lifestyle. </w:t>
      </w:r>
    </w:p>
    <w:p w14:paraId="492F1AC5" w14:textId="60B31D35" w:rsidR="006D3F30" w:rsidRPr="006D3F30" w:rsidRDefault="006D3F30" w:rsidP="006D3F30">
      <w:pPr>
        <w:rPr>
          <w:lang w:val="en-US"/>
        </w:rPr>
      </w:pPr>
      <w:r w:rsidRPr="006D3F30">
        <w:rPr>
          <w:lang w:val="en-US"/>
        </w:rPr>
        <w:t xml:space="preserve">By having a health check, residents can reduce their risk of developing serious health problems in the future. </w:t>
      </w:r>
      <w:r w:rsidR="00F94650">
        <w:rPr>
          <w:lang w:val="en-US"/>
        </w:rPr>
        <w:t xml:space="preserve"> </w:t>
      </w:r>
      <w:r w:rsidRPr="006D3F30">
        <w:rPr>
          <w:lang w:val="en-US"/>
        </w:rPr>
        <w:t xml:space="preserve">A health improvement co-ordinator will ask residents simple questions about their lifestyle and family history and check their weight, blood pressure and cholesterol levels. </w:t>
      </w:r>
      <w:r w:rsidR="00F94650">
        <w:rPr>
          <w:lang w:val="en-US"/>
        </w:rPr>
        <w:t xml:space="preserve"> </w:t>
      </w:r>
      <w:r w:rsidRPr="006D3F30">
        <w:rPr>
          <w:lang w:val="en-US"/>
        </w:rPr>
        <w:t xml:space="preserve">They will then receive instant results and personalised advice to address any health problems, as well as tips on how to improve their diet and signposting to lifestyle services such as Stop Smoking and River. </w:t>
      </w:r>
      <w:r w:rsidR="00F94650">
        <w:rPr>
          <w:lang w:val="en-US"/>
        </w:rPr>
        <w:t xml:space="preserve"> </w:t>
      </w:r>
      <w:r w:rsidRPr="006D3F30">
        <w:rPr>
          <w:lang w:val="en-US"/>
        </w:rPr>
        <w:t xml:space="preserve">Wider health messages have been included in the NHS Health Check template locally, such as raising awareness of flu and COVID19 vaccinations, to support residents to make informed choices about their health. </w:t>
      </w:r>
    </w:p>
    <w:p w14:paraId="2F22C8B7" w14:textId="77777777" w:rsidR="006D3F30" w:rsidRPr="006D3F30" w:rsidRDefault="006D3F30" w:rsidP="006D3F30">
      <w:pPr>
        <w:rPr>
          <w:lang w:val="en-US"/>
        </w:rPr>
      </w:pPr>
    </w:p>
    <w:p w14:paraId="5974C436" w14:textId="52745BE2" w:rsidR="006D3F30" w:rsidRPr="006D3F30" w:rsidRDefault="006D3F30" w:rsidP="006D3F30">
      <w:pPr>
        <w:rPr>
          <w:lang w:val="en-US"/>
        </w:rPr>
      </w:pPr>
      <w:r w:rsidRPr="006D3F30">
        <w:rPr>
          <w:lang w:val="en-US"/>
        </w:rPr>
        <w:t xml:space="preserve">In addition to age, there are other demographics that increase risk of developing health conditions such as cardiovascular disease (CVD), including certain ethnicities and deprivation status. </w:t>
      </w:r>
      <w:r w:rsidR="00F94650">
        <w:rPr>
          <w:lang w:val="en-US"/>
        </w:rPr>
        <w:t xml:space="preserve"> </w:t>
      </w:r>
      <w:r w:rsidRPr="006D3F30">
        <w:rPr>
          <w:lang w:val="en-US"/>
        </w:rPr>
        <w:t>These health inequalities have been exacerbated by the COVID19 pandemic and to address this, a proportionate universalism (PU) approach is used to prioritise the most at</w:t>
      </w:r>
      <w:r w:rsidR="00DD232E">
        <w:rPr>
          <w:lang w:val="en-US"/>
        </w:rPr>
        <w:t xml:space="preserve"> </w:t>
      </w:r>
      <w:r w:rsidRPr="006D3F30">
        <w:rPr>
          <w:lang w:val="en-US"/>
        </w:rPr>
        <w:t>risk groups.</w:t>
      </w:r>
      <w:r w:rsidR="00DD232E">
        <w:rPr>
          <w:lang w:val="en-US"/>
        </w:rPr>
        <w:t xml:space="preserve"> </w:t>
      </w:r>
      <w:r w:rsidRPr="006D3F30">
        <w:rPr>
          <w:lang w:val="en-US"/>
        </w:rPr>
        <w:t xml:space="preserve"> Approaches to PU include targeted invitations, targeted marketing, and outreach work. </w:t>
      </w:r>
    </w:p>
    <w:p w14:paraId="6AD9F10F" w14:textId="54F5E0F1" w:rsidR="006D3F30" w:rsidRDefault="006D3F30" w:rsidP="006D3F30">
      <w:pPr>
        <w:rPr>
          <w:lang w:val="en-US"/>
        </w:rPr>
      </w:pPr>
      <w:r w:rsidRPr="006D3F30">
        <w:rPr>
          <w:lang w:val="en-US"/>
        </w:rPr>
        <w:t xml:space="preserve">The NHS Health Check Outreach Project aims to take the service out into the different communities within Medway so that it is more accessible for those who may be less likely to take up an invitation from the GP practice. </w:t>
      </w:r>
      <w:r w:rsidR="00DD232E">
        <w:rPr>
          <w:lang w:val="en-US"/>
        </w:rPr>
        <w:t xml:space="preserve"> </w:t>
      </w:r>
      <w:r w:rsidRPr="006D3F30">
        <w:rPr>
          <w:lang w:val="en-US"/>
        </w:rPr>
        <w:t xml:space="preserve">Barriers to taking up an invitation include, but are not limited to, location and travel, language, and awareness of the programme. </w:t>
      </w:r>
      <w:r w:rsidR="00F94650">
        <w:rPr>
          <w:lang w:val="en-US"/>
        </w:rPr>
        <w:t xml:space="preserve"> </w:t>
      </w:r>
      <w:r w:rsidRPr="006D3F30">
        <w:rPr>
          <w:lang w:val="en-US"/>
        </w:rPr>
        <w:t>Residents have so far been offered information on Public Health Services, NHS Health Checks and blood pressure checks at their place of work, place of worship and within local community settings.</w:t>
      </w:r>
    </w:p>
    <w:p w14:paraId="4E543192" w14:textId="77777777" w:rsidR="006D3F30" w:rsidRDefault="006D3F30" w:rsidP="006D3F30">
      <w:pPr>
        <w:rPr>
          <w:lang w:val="en-US"/>
        </w:rPr>
      </w:pPr>
    </w:p>
    <w:p w14:paraId="2FCA0463" w14:textId="7601C95A" w:rsidR="006D3F30" w:rsidRPr="003214D1" w:rsidRDefault="006D3F30" w:rsidP="00E65154">
      <w:pPr>
        <w:pStyle w:val="Heading3"/>
        <w:rPr>
          <w:lang w:eastAsia="en-US"/>
        </w:rPr>
      </w:pPr>
      <w:r w:rsidRPr="003214D1">
        <w:rPr>
          <w:lang w:eastAsia="en-US"/>
        </w:rPr>
        <w:t>Military Covenant and Medway Council</w:t>
      </w:r>
    </w:p>
    <w:p w14:paraId="4B99B9B9" w14:textId="016C0410" w:rsidR="006D3F30" w:rsidRPr="006D3F30" w:rsidRDefault="006D3F30" w:rsidP="006D3F30">
      <w:pPr>
        <w:rPr>
          <w:lang w:val="en-US"/>
        </w:rPr>
      </w:pPr>
      <w:r w:rsidRPr="006D3F30">
        <w:rPr>
          <w:lang w:val="en-US"/>
        </w:rPr>
        <w:t xml:space="preserve">Medway Council have made a commitment to supporting the armed forces community by signing up to the Armed Forces Covenant. </w:t>
      </w:r>
      <w:r w:rsidR="00DD232E">
        <w:rPr>
          <w:lang w:val="en-US"/>
        </w:rPr>
        <w:t xml:space="preserve"> </w:t>
      </w:r>
      <w:r w:rsidRPr="006D3F30">
        <w:rPr>
          <w:lang w:val="en-US"/>
        </w:rPr>
        <w:t>Public Health plays an essential role in supporting this community.</w:t>
      </w:r>
    </w:p>
    <w:p w14:paraId="6088F326" w14:textId="7FF0A398" w:rsidR="006D3F30" w:rsidRPr="006D3F30" w:rsidRDefault="006D3F30" w:rsidP="006D3F30">
      <w:pPr>
        <w:rPr>
          <w:lang w:val="en-US"/>
        </w:rPr>
      </w:pPr>
      <w:r w:rsidRPr="006D3F30">
        <w:rPr>
          <w:lang w:val="en-US"/>
        </w:rPr>
        <w:t xml:space="preserve">Medway Council works closely with the Armed forces community supporting personnel based at Brompton Station and resident locally to improve their health and wellbeing. </w:t>
      </w:r>
      <w:r w:rsidR="00DD232E">
        <w:rPr>
          <w:lang w:val="en-US"/>
        </w:rPr>
        <w:t xml:space="preserve"> </w:t>
      </w:r>
      <w:r w:rsidRPr="006D3F30">
        <w:rPr>
          <w:lang w:val="en-US"/>
        </w:rPr>
        <w:t xml:space="preserve">Action is taken to support civilian staff, veterans, families, and military personnel. </w:t>
      </w:r>
      <w:r w:rsidR="00DD232E">
        <w:rPr>
          <w:lang w:val="en-US"/>
        </w:rPr>
        <w:t xml:space="preserve"> </w:t>
      </w:r>
      <w:r w:rsidRPr="006D3F30">
        <w:rPr>
          <w:lang w:val="en-US"/>
        </w:rPr>
        <w:t xml:space="preserve">Activities include Health Fairs and inputs at other events including Armed Forces Day.  For example, </w:t>
      </w:r>
      <w:r w:rsidR="00DD232E">
        <w:rPr>
          <w:lang w:val="en-US"/>
        </w:rPr>
        <w:t>t</w:t>
      </w:r>
      <w:r w:rsidRPr="006D3F30">
        <w:rPr>
          <w:lang w:val="en-US"/>
        </w:rPr>
        <w:t xml:space="preserve">he Public Health </w:t>
      </w:r>
      <w:r w:rsidR="00DD232E">
        <w:rPr>
          <w:lang w:val="en-US"/>
        </w:rPr>
        <w:t>t</w:t>
      </w:r>
      <w:r w:rsidRPr="006D3F30">
        <w:rPr>
          <w:lang w:val="en-US"/>
        </w:rPr>
        <w:t>eam delivered a wide range of health interventions at the Armed Forces Day in June.  A mini</w:t>
      </w:r>
      <w:r w:rsidR="00DD232E">
        <w:rPr>
          <w:lang w:val="en-US"/>
        </w:rPr>
        <w:t xml:space="preserve"> </w:t>
      </w:r>
      <w:r w:rsidRPr="006D3F30">
        <w:rPr>
          <w:lang w:val="en-US"/>
        </w:rPr>
        <w:t>Health Fair was delivered in November 2022, where over 300 soldiers were supported and provided with health information and educational stands.</w:t>
      </w:r>
    </w:p>
    <w:p w14:paraId="67324170" w14:textId="0974B3CB" w:rsidR="006D3F30" w:rsidRPr="006D3F30" w:rsidRDefault="006D3F30" w:rsidP="006D3F30">
      <w:pPr>
        <w:rPr>
          <w:lang w:val="en-US"/>
        </w:rPr>
      </w:pPr>
      <w:r w:rsidRPr="006D3F30">
        <w:rPr>
          <w:lang w:val="en-US"/>
        </w:rPr>
        <w:t xml:space="preserve">The Public </w:t>
      </w:r>
      <w:r w:rsidR="00DD232E">
        <w:rPr>
          <w:lang w:val="en-US"/>
        </w:rPr>
        <w:t>H</w:t>
      </w:r>
      <w:r w:rsidRPr="006D3F30">
        <w:rPr>
          <w:lang w:val="en-US"/>
        </w:rPr>
        <w:t>ealth team are looking to deliver Making Every Contact Count (MECC) Training to local Military Veterans.</w:t>
      </w:r>
    </w:p>
    <w:p w14:paraId="7A525B76" w14:textId="2C05A249" w:rsidR="006D3F30" w:rsidRDefault="006D3F30" w:rsidP="006D3F30">
      <w:pPr>
        <w:rPr>
          <w:lang w:val="en-US"/>
        </w:rPr>
      </w:pPr>
      <w:r w:rsidRPr="006D3F30">
        <w:rPr>
          <w:lang w:val="en-US"/>
        </w:rPr>
        <w:t>There is regular contact and dialogue with the Ministry of Defence (MOD) to enable veterans to receive appropriate care and support when leaving the forces.</w:t>
      </w:r>
    </w:p>
    <w:p w14:paraId="557DC2DB" w14:textId="77777777" w:rsidR="00F318F4" w:rsidRDefault="00F318F4" w:rsidP="006D3F30">
      <w:pPr>
        <w:rPr>
          <w:lang w:val="en-US"/>
        </w:rPr>
      </w:pPr>
    </w:p>
    <w:p w14:paraId="3EA31A53" w14:textId="1360AE51" w:rsidR="006D3F30" w:rsidRPr="003214D1" w:rsidRDefault="006D3F30" w:rsidP="00E65154">
      <w:pPr>
        <w:pStyle w:val="Heading3"/>
        <w:rPr>
          <w:lang w:eastAsia="en-US"/>
        </w:rPr>
      </w:pPr>
      <w:r w:rsidRPr="003214D1">
        <w:rPr>
          <w:lang w:eastAsia="en-US"/>
        </w:rPr>
        <w:t>COVID19 Surveillance, Support and Vaccinations</w:t>
      </w:r>
    </w:p>
    <w:p w14:paraId="57D8C617" w14:textId="339F887C" w:rsidR="006E2B77" w:rsidRPr="00915439" w:rsidRDefault="006E2B77" w:rsidP="006E2B77">
      <w:pPr>
        <w:pStyle w:val="NormalWeb"/>
        <w:spacing w:before="0" w:beforeAutospacing="0" w:after="0" w:afterAutospacing="0"/>
        <w:rPr>
          <w:rFonts w:ascii="Arial" w:hAnsi="Arial" w:cs="Arial"/>
        </w:rPr>
      </w:pPr>
      <w:r w:rsidRPr="00915439">
        <w:rPr>
          <w:rFonts w:ascii="Arial" w:hAnsi="Arial" w:cs="Arial"/>
        </w:rPr>
        <w:t>Routine COVID19 surveillance ceased in March 2023.</w:t>
      </w:r>
    </w:p>
    <w:p w14:paraId="1A27B0A3" w14:textId="7F8E6B52" w:rsidR="006E2B77" w:rsidRPr="00915439" w:rsidRDefault="006E2B77" w:rsidP="006E2B77">
      <w:pPr>
        <w:pStyle w:val="NormalWeb"/>
        <w:spacing w:before="0" w:beforeAutospacing="0" w:after="0" w:afterAutospacing="0"/>
        <w:rPr>
          <w:rFonts w:ascii="Arial" w:hAnsi="Arial" w:cs="Arial"/>
        </w:rPr>
      </w:pPr>
      <w:r w:rsidRPr="00915439">
        <w:rPr>
          <w:rFonts w:ascii="Arial" w:hAnsi="Arial" w:cs="Arial"/>
        </w:rPr>
        <w:t xml:space="preserve">The testing approach for the highest risk residents potentially eligible for COVID19 treatments remains in place. </w:t>
      </w:r>
      <w:r w:rsidR="00DD232E">
        <w:rPr>
          <w:rFonts w:ascii="Arial" w:hAnsi="Arial" w:cs="Arial"/>
        </w:rPr>
        <w:t xml:space="preserve"> </w:t>
      </w:r>
      <w:r w:rsidRPr="00915439">
        <w:rPr>
          <w:rFonts w:ascii="Arial" w:hAnsi="Arial" w:cs="Arial"/>
        </w:rPr>
        <w:t>For these residents, a positive test result is assessed by their GP and antiviral medication prescribed as required.</w:t>
      </w:r>
    </w:p>
    <w:p w14:paraId="2485198C" w14:textId="26E8807F" w:rsidR="006E2B77" w:rsidRPr="00915439" w:rsidRDefault="006E2B77" w:rsidP="006E2B77">
      <w:pPr>
        <w:pStyle w:val="NormalWeb"/>
        <w:spacing w:before="0" w:beforeAutospacing="0" w:after="0" w:afterAutospacing="0"/>
        <w:rPr>
          <w:rFonts w:ascii="Arial" w:hAnsi="Arial" w:cs="Arial"/>
        </w:rPr>
      </w:pPr>
      <w:r w:rsidRPr="00915439">
        <w:rPr>
          <w:rFonts w:ascii="Arial" w:hAnsi="Arial" w:cs="Arial"/>
        </w:rPr>
        <w:t xml:space="preserve">The 2023/24 national COVID19 booster vaccination programme targeted care home residents, health and social care staff as well as other risk groups. </w:t>
      </w:r>
      <w:r w:rsidR="00DD232E">
        <w:rPr>
          <w:rFonts w:ascii="Arial" w:hAnsi="Arial" w:cs="Arial"/>
        </w:rPr>
        <w:t xml:space="preserve"> </w:t>
      </w:r>
      <w:r w:rsidRPr="00915439">
        <w:rPr>
          <w:rFonts w:ascii="Arial" w:hAnsi="Arial" w:cs="Arial"/>
        </w:rPr>
        <w:t xml:space="preserve">The programme started earlier than planned due to concerns of a new COVID19 variant circulating. </w:t>
      </w:r>
    </w:p>
    <w:p w14:paraId="0F922FB9" w14:textId="77C35058" w:rsidR="006E2B77" w:rsidRPr="00915439" w:rsidRDefault="006E2B77" w:rsidP="006E2B77">
      <w:pPr>
        <w:pStyle w:val="NormalWeb"/>
        <w:spacing w:before="0" w:beforeAutospacing="0" w:after="0" w:afterAutospacing="0"/>
        <w:rPr>
          <w:rFonts w:ascii="Arial" w:hAnsi="Arial" w:cs="Arial"/>
        </w:rPr>
      </w:pPr>
      <w:r w:rsidRPr="00915439">
        <w:rPr>
          <w:rFonts w:ascii="Arial" w:hAnsi="Arial" w:cs="Arial"/>
        </w:rPr>
        <w:t xml:space="preserve">Medway Council have worked closely with Kent and Medway NHS to plan and deliver COVID19 booster vaccines and flu vaccines through delivery programmes in care homes and sign posting to services in GPs practices, community pharmacies and hospitals. </w:t>
      </w:r>
      <w:r w:rsidR="00DD232E">
        <w:rPr>
          <w:rFonts w:ascii="Arial" w:hAnsi="Arial" w:cs="Arial"/>
        </w:rPr>
        <w:t xml:space="preserve"> </w:t>
      </w:r>
      <w:r w:rsidRPr="00915439">
        <w:rPr>
          <w:rFonts w:ascii="Arial" w:hAnsi="Arial" w:cs="Arial"/>
        </w:rPr>
        <w:t xml:space="preserve">Roving and pop-up clinics improved access and availability. </w:t>
      </w:r>
      <w:r w:rsidR="00F94650">
        <w:rPr>
          <w:rFonts w:ascii="Arial" w:hAnsi="Arial" w:cs="Arial"/>
        </w:rPr>
        <w:t xml:space="preserve"> </w:t>
      </w:r>
      <w:r w:rsidRPr="00915439">
        <w:rPr>
          <w:rFonts w:ascii="Arial" w:hAnsi="Arial" w:cs="Arial"/>
        </w:rPr>
        <w:t xml:space="preserve">These attended care homes and other community settings. </w:t>
      </w:r>
    </w:p>
    <w:p w14:paraId="2F8B92B3" w14:textId="60C70D32" w:rsidR="006D3F30" w:rsidRDefault="006E2B77" w:rsidP="006E2B77">
      <w:pPr>
        <w:rPr>
          <w:lang w:val="en-US"/>
        </w:rPr>
      </w:pPr>
      <w:r w:rsidRPr="00915439">
        <w:t xml:space="preserve">Vaccine ambassadors supported outreach plans by improving vaccine confidence in areas of low uptake. </w:t>
      </w:r>
      <w:r w:rsidR="00DD232E">
        <w:t xml:space="preserve"> </w:t>
      </w:r>
      <w:r w:rsidRPr="00915439">
        <w:t>The NHS COVID19 health and Wellbeing bus offered health screening and proactive health management alongside COVID19 booster vaccines.</w:t>
      </w:r>
    </w:p>
    <w:p w14:paraId="62EE94D2" w14:textId="77777777" w:rsidR="006E2B77" w:rsidRPr="005B7332" w:rsidRDefault="006E2B77" w:rsidP="005B7332">
      <w:pPr>
        <w:rPr>
          <w:highlight w:val="yellow"/>
        </w:rPr>
      </w:pPr>
    </w:p>
    <w:p w14:paraId="15484678" w14:textId="1A1E2F46" w:rsidR="00A0168E" w:rsidRPr="007A45CE" w:rsidRDefault="00DE0A77" w:rsidP="00087B06">
      <w:pPr>
        <w:pStyle w:val="Heading2"/>
        <w:ind w:right="-426"/>
        <w:rPr>
          <w:sz w:val="28"/>
          <w:szCs w:val="28"/>
        </w:rPr>
      </w:pPr>
      <w:r w:rsidRPr="007A45CE">
        <w:rPr>
          <w:sz w:val="28"/>
          <w:szCs w:val="28"/>
        </w:rPr>
        <w:t>Equality duty 3: Foster Good Relations</w:t>
      </w:r>
    </w:p>
    <w:p w14:paraId="7C768E3E" w14:textId="77777777" w:rsidR="006E2B77" w:rsidRPr="006E2B77" w:rsidRDefault="006E2B77" w:rsidP="006E2B77">
      <w:pPr>
        <w:rPr>
          <w:lang w:val="en-US" w:eastAsia="en-US"/>
        </w:rPr>
      </w:pPr>
    </w:p>
    <w:p w14:paraId="6A6A8C2C" w14:textId="04FCAE3E" w:rsidR="006E2B77" w:rsidRPr="003214D1" w:rsidRDefault="006E2B77" w:rsidP="00E65154">
      <w:pPr>
        <w:pStyle w:val="Heading3"/>
        <w:rPr>
          <w:lang w:eastAsia="en-US"/>
        </w:rPr>
      </w:pPr>
      <w:r w:rsidRPr="003214D1">
        <w:rPr>
          <w:lang w:eastAsia="en-US"/>
        </w:rPr>
        <w:t>Domestic Abuse</w:t>
      </w:r>
    </w:p>
    <w:p w14:paraId="534546AE" w14:textId="1A32473C" w:rsidR="006E2B77" w:rsidRPr="006E2B77" w:rsidRDefault="006E2B77" w:rsidP="006E2B77">
      <w:pPr>
        <w:rPr>
          <w:lang w:val="en-US" w:eastAsia="en-US"/>
        </w:rPr>
      </w:pPr>
      <w:r w:rsidRPr="006E2B77">
        <w:rPr>
          <w:lang w:val="en-US" w:eastAsia="en-US"/>
        </w:rPr>
        <w:t xml:space="preserve">Re-accreditation of the White Ribbon Local Authorities award for 2022 was achieved in November 2022 in recognition of our continued commitment to support the White Ribbon Campaign (WRC). </w:t>
      </w:r>
      <w:r w:rsidR="00DD232E">
        <w:rPr>
          <w:lang w:val="en-US" w:eastAsia="en-US"/>
        </w:rPr>
        <w:t xml:space="preserve"> </w:t>
      </w:r>
      <w:r w:rsidRPr="006E2B77">
        <w:rPr>
          <w:lang w:val="en-US" w:eastAsia="en-US"/>
        </w:rPr>
        <w:t xml:space="preserve">The WRC aims to engage men and boys and prevent Violence Against Women and Girls (VAWG). </w:t>
      </w:r>
      <w:r w:rsidR="00DD232E">
        <w:rPr>
          <w:lang w:val="en-US" w:eastAsia="en-US"/>
        </w:rPr>
        <w:t xml:space="preserve"> </w:t>
      </w:r>
      <w:r w:rsidRPr="006E2B77">
        <w:rPr>
          <w:lang w:val="en-US" w:eastAsia="en-US"/>
        </w:rPr>
        <w:t xml:space="preserve">The White Ribbon Campaign was held as a standing agenda item across numerous partnership groups to ensure a sustained focus around VAWG. </w:t>
      </w:r>
    </w:p>
    <w:p w14:paraId="7DD4E604" w14:textId="1AEE3529" w:rsidR="006E2B77" w:rsidRPr="006E2B77" w:rsidRDefault="006E2B77" w:rsidP="006E2B77">
      <w:pPr>
        <w:rPr>
          <w:lang w:val="en-US" w:eastAsia="en-US"/>
        </w:rPr>
      </w:pPr>
      <w:r w:rsidRPr="006E2B77">
        <w:rPr>
          <w:lang w:val="en-US" w:eastAsia="en-US"/>
        </w:rPr>
        <w:t xml:space="preserve">This year, the White Ribbon Campaign focused on ‘making the change’ and a webinar was delivered on becoming an active bystander. </w:t>
      </w:r>
      <w:r w:rsidR="00F94650">
        <w:rPr>
          <w:lang w:val="en-US" w:eastAsia="en-US"/>
        </w:rPr>
        <w:t xml:space="preserve"> </w:t>
      </w:r>
      <w:r w:rsidRPr="006E2B77">
        <w:rPr>
          <w:lang w:val="en-US" w:eastAsia="en-US"/>
        </w:rPr>
        <w:t xml:space="preserve">The session was </w:t>
      </w:r>
      <w:r w:rsidR="003214D1" w:rsidRPr="006E2B77">
        <w:rPr>
          <w:lang w:val="en-US" w:eastAsia="en-US"/>
        </w:rPr>
        <w:t>centered</w:t>
      </w:r>
      <w:r w:rsidRPr="006E2B77">
        <w:rPr>
          <w:lang w:val="en-US" w:eastAsia="en-US"/>
        </w:rPr>
        <w:t xml:space="preserve"> on safely intervening directly or indirectly in incidents of violence against women and girls. </w:t>
      </w:r>
    </w:p>
    <w:p w14:paraId="04A40DBC" w14:textId="57D2052C" w:rsidR="006E2B77" w:rsidRPr="006E2B77" w:rsidRDefault="006E2B77" w:rsidP="006E2B77">
      <w:pPr>
        <w:rPr>
          <w:lang w:val="en-US" w:eastAsia="en-US"/>
        </w:rPr>
      </w:pPr>
      <w:r w:rsidRPr="006E2B77">
        <w:rPr>
          <w:lang w:val="en-US" w:eastAsia="en-US"/>
        </w:rPr>
        <w:t xml:space="preserve">We continued our joint Kent and Medway 16 days of action Campaign this year to raise awareness of domestic abuse. </w:t>
      </w:r>
      <w:r w:rsidR="00DD232E">
        <w:rPr>
          <w:lang w:val="en-US" w:eastAsia="en-US"/>
        </w:rPr>
        <w:t xml:space="preserve"> </w:t>
      </w:r>
      <w:r w:rsidRPr="006E2B77">
        <w:rPr>
          <w:lang w:val="en-US" w:eastAsia="en-US"/>
        </w:rPr>
        <w:t xml:space="preserve">This was focused on various community groups within the campaign to improve accessibility and visibility of services for victim/survivors (V/S). </w:t>
      </w:r>
      <w:r w:rsidR="00DD232E">
        <w:rPr>
          <w:lang w:val="en-US" w:eastAsia="en-US"/>
        </w:rPr>
        <w:t xml:space="preserve"> </w:t>
      </w:r>
      <w:r w:rsidRPr="006E2B77">
        <w:rPr>
          <w:lang w:val="en-US" w:eastAsia="en-US"/>
        </w:rPr>
        <w:t xml:space="preserve">The campaign included 10 webinars, covering various topics such as the impact of domestic abuse on children, a toolkit, social media assets and downloads for both professionals and those experiencing abuse. </w:t>
      </w:r>
    </w:p>
    <w:p w14:paraId="7FB87345" w14:textId="11B5FD86" w:rsidR="006E2B77" w:rsidRPr="006E2B77" w:rsidRDefault="006E2B77" w:rsidP="006E2B77">
      <w:pPr>
        <w:rPr>
          <w:lang w:val="en-US" w:eastAsia="en-US"/>
        </w:rPr>
      </w:pPr>
      <w:r w:rsidRPr="006E2B77">
        <w:rPr>
          <w:lang w:val="en-US" w:eastAsia="en-US"/>
        </w:rPr>
        <w:t xml:space="preserve">The Kent and Medway Multi-Agency Risk Assessment Conference (MARAC) Steering group has worked with partners to conduct a full review of the MARAC process and has created a new MARAC model. </w:t>
      </w:r>
      <w:r w:rsidR="00DD232E">
        <w:rPr>
          <w:lang w:val="en-US" w:eastAsia="en-US"/>
        </w:rPr>
        <w:t xml:space="preserve"> </w:t>
      </w:r>
      <w:r w:rsidRPr="006E2B77">
        <w:rPr>
          <w:lang w:val="en-US" w:eastAsia="en-US"/>
        </w:rPr>
        <w:t xml:space="preserve">The MARAC manager is now in post and the Hub is due to go live next year. </w:t>
      </w:r>
      <w:r w:rsidR="00DD232E">
        <w:rPr>
          <w:lang w:val="en-US" w:eastAsia="en-US"/>
        </w:rPr>
        <w:t xml:space="preserve"> </w:t>
      </w:r>
      <w:r w:rsidRPr="006E2B77">
        <w:rPr>
          <w:lang w:val="en-US" w:eastAsia="en-US"/>
        </w:rPr>
        <w:t xml:space="preserve">It will work to significantly improve the response to high-risk victims as well as provide a more streamlined approach for professionals. </w:t>
      </w:r>
    </w:p>
    <w:p w14:paraId="2B858B32" w14:textId="0DCBBEB9" w:rsidR="006E2B77" w:rsidRPr="006E2B77" w:rsidRDefault="006E2B77" w:rsidP="006E2B77">
      <w:pPr>
        <w:rPr>
          <w:lang w:val="en-US" w:eastAsia="en-US"/>
        </w:rPr>
      </w:pPr>
      <w:r w:rsidRPr="006E2B77">
        <w:rPr>
          <w:lang w:val="en-US" w:eastAsia="en-US"/>
        </w:rPr>
        <w:t xml:space="preserve">This past year, we have continued to improve pathways for those experiencing multiple barriers, such as homelessness, mental health issues and domestic abuse, when accessing support services. </w:t>
      </w:r>
      <w:r w:rsidR="00DD232E">
        <w:rPr>
          <w:lang w:val="en-US" w:eastAsia="en-US"/>
        </w:rPr>
        <w:t xml:space="preserve"> </w:t>
      </w:r>
      <w:r w:rsidRPr="006E2B77">
        <w:rPr>
          <w:lang w:val="en-US" w:eastAsia="en-US"/>
        </w:rPr>
        <w:t xml:space="preserve">For example, the Blue Light Project has continued to focus on improving outcomes for this client group via multi-agency working, both operationally and strategically. </w:t>
      </w:r>
    </w:p>
    <w:p w14:paraId="036A56C3" w14:textId="5C6065CB" w:rsidR="006E2B77" w:rsidRDefault="006E2B77" w:rsidP="006E2B77">
      <w:pPr>
        <w:rPr>
          <w:lang w:val="en-US" w:eastAsia="en-US"/>
        </w:rPr>
      </w:pPr>
      <w:r w:rsidRPr="006E2B77">
        <w:rPr>
          <w:lang w:val="en-US" w:eastAsia="en-US"/>
        </w:rPr>
        <w:t xml:space="preserve">Significant consultation with both the public, those with lived experience and professionals took place across the year to inform the draft of the new domestic abuse strategy. </w:t>
      </w:r>
      <w:r w:rsidR="00DD232E">
        <w:rPr>
          <w:lang w:val="en-US" w:eastAsia="en-US"/>
        </w:rPr>
        <w:t xml:space="preserve"> </w:t>
      </w:r>
      <w:r w:rsidRPr="006E2B77">
        <w:rPr>
          <w:lang w:val="en-US" w:eastAsia="en-US"/>
        </w:rPr>
        <w:t>The new strategy will work to focus on three key areas; early intervention and prevention, immediate needs, and recovery, and is due to be published early 2024.</w:t>
      </w:r>
    </w:p>
    <w:p w14:paraId="1F20AD07" w14:textId="77777777" w:rsidR="006E2B77" w:rsidRDefault="006E2B77" w:rsidP="006E2B77">
      <w:pPr>
        <w:rPr>
          <w:highlight w:val="yellow"/>
          <w:lang w:val="en-US" w:eastAsia="en-US"/>
        </w:rPr>
      </w:pPr>
    </w:p>
    <w:p w14:paraId="1F658A0A" w14:textId="6BCFE0F9" w:rsidR="006E2B77" w:rsidRPr="003214D1" w:rsidRDefault="006E2B77" w:rsidP="00E65154">
      <w:pPr>
        <w:pStyle w:val="Heading3"/>
        <w:rPr>
          <w:lang w:eastAsia="en-US"/>
        </w:rPr>
      </w:pPr>
      <w:r w:rsidRPr="003214D1">
        <w:rPr>
          <w:lang w:eastAsia="en-US"/>
        </w:rPr>
        <w:t>Active Medway Cycle Scheme</w:t>
      </w:r>
    </w:p>
    <w:p w14:paraId="01E26F1E" w14:textId="24220903" w:rsidR="007711C3" w:rsidRDefault="006E2B77" w:rsidP="006E2B77">
      <w:pPr>
        <w:rPr>
          <w:lang w:val="en-US" w:eastAsia="en-US"/>
        </w:rPr>
      </w:pPr>
      <w:r w:rsidRPr="006E2B77">
        <w:rPr>
          <w:lang w:val="en-US" w:eastAsia="en-US"/>
        </w:rPr>
        <w:t xml:space="preserve">The Active Medway Cycle Scheme was the first in the country to design and pioneer a “let’s ride” programme aimed at including all levels of cycling, especially new cyclists. Routes are risk assessed. </w:t>
      </w:r>
      <w:r w:rsidR="00F94650">
        <w:rPr>
          <w:lang w:val="en-US" w:eastAsia="en-US"/>
        </w:rPr>
        <w:t xml:space="preserve"> </w:t>
      </w:r>
      <w:r w:rsidRPr="006E2B77">
        <w:rPr>
          <w:lang w:val="en-US" w:eastAsia="en-US"/>
        </w:rPr>
        <w:t xml:space="preserve">Approved routes must include a minimum of 90% of the ride on cycle paths, shared paths, cycle lanes, recognised cycling areas and National Cycle Network routes. </w:t>
      </w:r>
      <w:r w:rsidR="00F94650">
        <w:rPr>
          <w:lang w:val="en-US" w:eastAsia="en-US"/>
        </w:rPr>
        <w:t xml:space="preserve"> </w:t>
      </w:r>
      <w:r w:rsidRPr="006E2B77">
        <w:rPr>
          <w:lang w:val="en-US" w:eastAsia="en-US"/>
        </w:rPr>
        <w:t xml:space="preserve">The programme has been tailored to help build confidence in a participant’s ability to cycle. </w:t>
      </w:r>
      <w:r w:rsidR="00F94650">
        <w:rPr>
          <w:lang w:val="en-US" w:eastAsia="en-US"/>
        </w:rPr>
        <w:t xml:space="preserve"> </w:t>
      </w:r>
      <w:r w:rsidRPr="006E2B77">
        <w:rPr>
          <w:lang w:val="en-US" w:eastAsia="en-US"/>
        </w:rPr>
        <w:t xml:space="preserve">The programme also offers non-cyclists an opportunity to learn to cycle with an accredited British cycling coach through the “on your bike” programme. </w:t>
      </w:r>
      <w:r w:rsidR="00F94650">
        <w:rPr>
          <w:lang w:val="en-US" w:eastAsia="en-US"/>
        </w:rPr>
        <w:t xml:space="preserve"> </w:t>
      </w:r>
      <w:r w:rsidRPr="006E2B77">
        <w:rPr>
          <w:lang w:val="en-US" w:eastAsia="en-US"/>
        </w:rPr>
        <w:t xml:space="preserve">Additionally, our “Revival Bikes” programme has supplied over 20 recycled bicycles to families living in areas of deprivation and we are planning further targeted activity with underserved communities to encourage cycling as a means of transport and great way of being physically active. </w:t>
      </w:r>
      <w:r w:rsidR="00F94650">
        <w:rPr>
          <w:lang w:val="en-US" w:eastAsia="en-US"/>
        </w:rPr>
        <w:t xml:space="preserve"> </w:t>
      </w:r>
      <w:r w:rsidRPr="006E2B77">
        <w:rPr>
          <w:lang w:val="en-US" w:eastAsia="en-US"/>
        </w:rPr>
        <w:t xml:space="preserve">The cycling programmes were paused during COVID19 lockdown but have since returned to full capacity. </w:t>
      </w:r>
      <w:r w:rsidR="00F94650">
        <w:rPr>
          <w:lang w:val="en-US" w:eastAsia="en-US"/>
        </w:rPr>
        <w:t xml:space="preserve"> </w:t>
      </w:r>
      <w:r w:rsidRPr="006E2B77">
        <w:rPr>
          <w:lang w:val="en-US" w:eastAsia="en-US"/>
        </w:rPr>
        <w:t>The Cycle programmes align with our whole systems obesity approach priorities relating to promoting the benefits of physical activity and reducing sedentary behaviour.</w:t>
      </w:r>
    </w:p>
    <w:p w14:paraId="758B2529" w14:textId="77777777" w:rsidR="007711C3" w:rsidRDefault="007711C3" w:rsidP="006E2B77">
      <w:pPr>
        <w:rPr>
          <w:highlight w:val="yellow"/>
          <w:lang w:val="en-US" w:eastAsia="en-US"/>
        </w:rPr>
      </w:pPr>
    </w:p>
    <w:p w14:paraId="7A22CA0C" w14:textId="1829E36F" w:rsidR="006E2B77" w:rsidRPr="00360522" w:rsidRDefault="006E2B77" w:rsidP="007711C3">
      <w:pPr>
        <w:pStyle w:val="Heading3"/>
        <w:rPr>
          <w:lang w:eastAsia="en-US"/>
        </w:rPr>
      </w:pPr>
      <w:r w:rsidRPr="00360522">
        <w:rPr>
          <w:lang w:eastAsia="en-US"/>
        </w:rPr>
        <w:t>Medway’s annual free festival and events programme</w:t>
      </w:r>
    </w:p>
    <w:p w14:paraId="408C1099" w14:textId="77777777" w:rsidR="006E2B77" w:rsidRPr="00F05268" w:rsidRDefault="006E2B77" w:rsidP="006E2B77">
      <w:pPr>
        <w:tabs>
          <w:tab w:val="left" w:pos="1276"/>
        </w:tabs>
        <w:rPr>
          <w:szCs w:val="22"/>
        </w:rPr>
      </w:pPr>
      <w:r w:rsidRPr="00F05268">
        <w:rPr>
          <w:szCs w:val="22"/>
        </w:rPr>
        <w:t xml:space="preserve">The festivals and events team directly produce one of the largest free outdoor events and festivals programme in the country reaching over </w:t>
      </w:r>
      <w:r>
        <w:rPr>
          <w:szCs w:val="22"/>
        </w:rPr>
        <w:t>500,000</w:t>
      </w:r>
      <w:r w:rsidRPr="00F05268">
        <w:rPr>
          <w:szCs w:val="22"/>
        </w:rPr>
        <w:t xml:space="preserve"> residents and visitors. The programme brings people together, celebrating Medway’s communities and heritage whilst supporting the local economy and putting Medway on the map.  </w:t>
      </w:r>
      <w:r>
        <w:rPr>
          <w:szCs w:val="22"/>
        </w:rPr>
        <w:t xml:space="preserve">Events </w:t>
      </w:r>
      <w:r w:rsidRPr="00F05268">
        <w:rPr>
          <w:szCs w:val="22"/>
        </w:rPr>
        <w:t>include:</w:t>
      </w:r>
    </w:p>
    <w:p w14:paraId="58658BCE" w14:textId="77777777" w:rsidR="006E2B77" w:rsidRPr="0074680F" w:rsidRDefault="006E2B77" w:rsidP="003214D1">
      <w:pPr>
        <w:pStyle w:val="ListParagraph"/>
        <w:numPr>
          <w:ilvl w:val="0"/>
          <w:numId w:val="4"/>
        </w:numPr>
        <w:tabs>
          <w:tab w:val="left" w:pos="1276"/>
        </w:tabs>
        <w:rPr>
          <w:szCs w:val="22"/>
        </w:rPr>
      </w:pPr>
      <w:r w:rsidRPr="0074680F">
        <w:rPr>
          <w:szCs w:val="22"/>
        </w:rPr>
        <w:t>Armed Forces Day</w:t>
      </w:r>
    </w:p>
    <w:p w14:paraId="4AB14FF4" w14:textId="77777777" w:rsidR="006E2B77" w:rsidRPr="0074680F" w:rsidRDefault="006E2B77" w:rsidP="003214D1">
      <w:pPr>
        <w:pStyle w:val="ListParagraph"/>
        <w:numPr>
          <w:ilvl w:val="0"/>
          <w:numId w:val="4"/>
        </w:numPr>
        <w:tabs>
          <w:tab w:val="left" w:pos="1276"/>
        </w:tabs>
        <w:rPr>
          <w:szCs w:val="22"/>
        </w:rPr>
      </w:pPr>
      <w:r w:rsidRPr="0074680F">
        <w:rPr>
          <w:szCs w:val="22"/>
        </w:rPr>
        <w:t>Rochester Sweeps Festival</w:t>
      </w:r>
    </w:p>
    <w:p w14:paraId="0F550F9F" w14:textId="77777777" w:rsidR="006E2B77" w:rsidRPr="0074680F" w:rsidRDefault="006E2B77" w:rsidP="003214D1">
      <w:pPr>
        <w:pStyle w:val="ListParagraph"/>
        <w:numPr>
          <w:ilvl w:val="0"/>
          <w:numId w:val="4"/>
        </w:numPr>
        <w:tabs>
          <w:tab w:val="left" w:pos="1276"/>
        </w:tabs>
        <w:rPr>
          <w:szCs w:val="22"/>
        </w:rPr>
      </w:pPr>
      <w:r w:rsidRPr="0074680F">
        <w:rPr>
          <w:szCs w:val="22"/>
        </w:rPr>
        <w:t xml:space="preserve">Royal Engineers Corp Memorial </w:t>
      </w:r>
    </w:p>
    <w:p w14:paraId="4D450148" w14:textId="77777777" w:rsidR="006E2B77" w:rsidRPr="0074680F" w:rsidRDefault="006E2B77" w:rsidP="003214D1">
      <w:pPr>
        <w:pStyle w:val="ListParagraph"/>
        <w:numPr>
          <w:ilvl w:val="0"/>
          <w:numId w:val="4"/>
        </w:numPr>
        <w:tabs>
          <w:tab w:val="left" w:pos="1276"/>
        </w:tabs>
        <w:rPr>
          <w:szCs w:val="22"/>
        </w:rPr>
      </w:pPr>
      <w:r w:rsidRPr="0074680F">
        <w:rPr>
          <w:szCs w:val="22"/>
        </w:rPr>
        <w:t>Rochester Christmas Markets</w:t>
      </w:r>
    </w:p>
    <w:p w14:paraId="6B4EFBAC" w14:textId="77777777" w:rsidR="006E2B77" w:rsidRPr="0074680F" w:rsidRDefault="006E2B77" w:rsidP="003214D1">
      <w:pPr>
        <w:pStyle w:val="ListParagraph"/>
        <w:numPr>
          <w:ilvl w:val="0"/>
          <w:numId w:val="4"/>
        </w:numPr>
        <w:tabs>
          <w:tab w:val="left" w:pos="1276"/>
        </w:tabs>
        <w:rPr>
          <w:szCs w:val="22"/>
        </w:rPr>
      </w:pPr>
      <w:r w:rsidRPr="0074680F">
        <w:rPr>
          <w:szCs w:val="22"/>
        </w:rPr>
        <w:t>Rochester Dickensian Christmas</w:t>
      </w:r>
    </w:p>
    <w:p w14:paraId="0E5239EE" w14:textId="73B3DD8C" w:rsidR="006E2B77" w:rsidRPr="00F05268" w:rsidRDefault="006E2B77" w:rsidP="006E2B77">
      <w:pPr>
        <w:tabs>
          <w:tab w:val="left" w:pos="1276"/>
        </w:tabs>
        <w:rPr>
          <w:szCs w:val="22"/>
        </w:rPr>
      </w:pPr>
      <w:r>
        <w:rPr>
          <w:szCs w:val="22"/>
        </w:rPr>
        <w:t>And a range of community event commissions</w:t>
      </w:r>
    </w:p>
    <w:p w14:paraId="24456693" w14:textId="564740B0" w:rsidR="006E2B77" w:rsidRPr="00F05268" w:rsidRDefault="006E2B77" w:rsidP="006E2B77">
      <w:pPr>
        <w:tabs>
          <w:tab w:val="left" w:pos="1276"/>
        </w:tabs>
        <w:rPr>
          <w:szCs w:val="22"/>
        </w:rPr>
      </w:pPr>
      <w:r>
        <w:rPr>
          <w:szCs w:val="22"/>
        </w:rPr>
        <w:t xml:space="preserve">The service supports a series of development programmes  </w:t>
      </w:r>
      <w:r w:rsidRPr="00F05268">
        <w:rPr>
          <w:szCs w:val="22"/>
        </w:rPr>
        <w:t xml:space="preserve"> </w:t>
      </w:r>
      <w:r>
        <w:rPr>
          <w:szCs w:val="22"/>
        </w:rPr>
        <w:t xml:space="preserve">including </w:t>
      </w:r>
      <w:r w:rsidRPr="00F05268">
        <w:rPr>
          <w:szCs w:val="22"/>
        </w:rPr>
        <w:t xml:space="preserve">‘Make Waves’ </w:t>
      </w:r>
      <w:r>
        <w:rPr>
          <w:szCs w:val="22"/>
        </w:rPr>
        <w:t>a y</w:t>
      </w:r>
      <w:r w:rsidRPr="00F05268">
        <w:rPr>
          <w:szCs w:val="22"/>
        </w:rPr>
        <w:t xml:space="preserve">oung Producers programme and ‘Events Uncovered’ Medway’s free events management course for the community. </w:t>
      </w:r>
    </w:p>
    <w:p w14:paraId="4DAD514A" w14:textId="157CE6ED" w:rsidR="006E2B77" w:rsidRDefault="006E2B77" w:rsidP="006E2B77">
      <w:pPr>
        <w:rPr>
          <w:szCs w:val="22"/>
        </w:rPr>
      </w:pPr>
      <w:r w:rsidRPr="00F05268">
        <w:rPr>
          <w:szCs w:val="22"/>
        </w:rPr>
        <w:t>The refreshed approach to festivals and events showcases Medway’s creative producers, organisations, and businesses.  It places our diverse communities at the heart of Medway’s cultural offer and ensure the festivals and events programme continues to positively impact on the wellbeing of our residents</w:t>
      </w:r>
      <w:r>
        <w:rPr>
          <w:szCs w:val="22"/>
        </w:rPr>
        <w:t>.</w:t>
      </w:r>
    </w:p>
    <w:p w14:paraId="669DF019" w14:textId="77777777" w:rsidR="006E2B77" w:rsidRDefault="006E2B77" w:rsidP="006E2B77">
      <w:pPr>
        <w:rPr>
          <w:color w:val="2F5496" w:themeColor="accent1" w:themeShade="BF"/>
        </w:rPr>
      </w:pPr>
    </w:p>
    <w:p w14:paraId="23381490" w14:textId="7E190B12" w:rsidR="006E2B77" w:rsidRPr="00360522" w:rsidRDefault="00A324C7" w:rsidP="00E65154">
      <w:pPr>
        <w:pStyle w:val="Heading3"/>
        <w:rPr>
          <w:lang w:eastAsia="en-US"/>
        </w:rPr>
      </w:pPr>
      <w:r w:rsidRPr="00360522">
        <w:rPr>
          <w:lang w:eastAsia="en-US"/>
        </w:rPr>
        <w:t>Breast Feeding campaign</w:t>
      </w:r>
    </w:p>
    <w:p w14:paraId="5B30C8E1" w14:textId="767BA614" w:rsidR="00A324C7" w:rsidRPr="00A324C7" w:rsidRDefault="00A324C7" w:rsidP="00A324C7">
      <w:pPr>
        <w:rPr>
          <w:lang w:eastAsia="en-US"/>
        </w:rPr>
      </w:pPr>
      <w:r w:rsidRPr="00A324C7">
        <w:rPr>
          <w:lang w:eastAsia="en-US"/>
        </w:rPr>
        <w:t xml:space="preserve">Beside You is a campaign to normalise breastfeeding in Medway, support mums to initiate breastfeeding and continue for as long as the mother and baby wish. Breastfeeding rates in Medway are below the national average and almost half of mums stop breastfeeding before their baby is six weeks old. </w:t>
      </w:r>
      <w:r w:rsidR="00DD232E">
        <w:rPr>
          <w:lang w:eastAsia="en-US"/>
        </w:rPr>
        <w:t xml:space="preserve"> </w:t>
      </w:r>
      <w:r w:rsidRPr="00A324C7">
        <w:rPr>
          <w:lang w:eastAsia="en-US"/>
        </w:rPr>
        <w:t xml:space="preserve">Data also shows that there is some significant variation in initiation rates across different population groups in Medway with age, ethnicity and deprivation level, and skin to skin contact influencing this. </w:t>
      </w:r>
      <w:r w:rsidR="00DD232E">
        <w:rPr>
          <w:lang w:eastAsia="en-US"/>
        </w:rPr>
        <w:t xml:space="preserve"> </w:t>
      </w:r>
      <w:r w:rsidRPr="00A324C7">
        <w:rPr>
          <w:lang w:eastAsia="en-US"/>
        </w:rPr>
        <w:t>Breastfeeding continuation shows similar patterns.</w:t>
      </w:r>
    </w:p>
    <w:p w14:paraId="3AED2467" w14:textId="78B4FE1F" w:rsidR="00A324C7" w:rsidRPr="00A324C7" w:rsidRDefault="00A324C7" w:rsidP="00A324C7">
      <w:pPr>
        <w:rPr>
          <w:lang w:eastAsia="en-US"/>
        </w:rPr>
      </w:pPr>
      <w:r w:rsidRPr="00A324C7">
        <w:rPr>
          <w:lang w:eastAsia="en-US"/>
        </w:rPr>
        <w:t>The campaign normalises breastfeeding in Medway, raises awareness of the benefits of breastfeeding, supports and empowers women to breastfeed, reduces the stigma associated with the feeling of being judged for breastfeeding in public and works with local businesses to help them provide a safer environment for breastfeeding women.</w:t>
      </w:r>
    </w:p>
    <w:p w14:paraId="369A50AC" w14:textId="56F91666" w:rsidR="00A324C7" w:rsidRPr="00A324C7" w:rsidRDefault="00A324C7" w:rsidP="00A324C7">
      <w:pPr>
        <w:rPr>
          <w:lang w:eastAsia="en-US"/>
        </w:rPr>
      </w:pPr>
      <w:r w:rsidRPr="00A324C7">
        <w:rPr>
          <w:lang w:eastAsia="en-US"/>
        </w:rPr>
        <w:t xml:space="preserve">Beside You was launched across Kent in January 2020 with the development of a new website. </w:t>
      </w:r>
      <w:r w:rsidR="00DD232E">
        <w:rPr>
          <w:lang w:eastAsia="en-US"/>
        </w:rPr>
        <w:t xml:space="preserve"> </w:t>
      </w:r>
      <w:r w:rsidRPr="00A324C7">
        <w:rPr>
          <w:lang w:eastAsia="en-US"/>
        </w:rPr>
        <w:t xml:space="preserve">Beside You has a large social media presence. </w:t>
      </w:r>
      <w:r w:rsidR="00DD232E">
        <w:rPr>
          <w:lang w:eastAsia="en-US"/>
        </w:rPr>
        <w:t xml:space="preserve"> </w:t>
      </w:r>
      <w:r w:rsidRPr="00A324C7">
        <w:rPr>
          <w:lang w:eastAsia="en-US"/>
        </w:rPr>
        <w:t xml:space="preserve">Its virtual content has been watched for 80,000 minutes since March 2020. </w:t>
      </w:r>
      <w:r w:rsidR="00DD232E">
        <w:rPr>
          <w:lang w:eastAsia="en-US"/>
        </w:rPr>
        <w:t xml:space="preserve"> </w:t>
      </w:r>
      <w:r w:rsidRPr="00A324C7">
        <w:rPr>
          <w:lang w:eastAsia="en-US"/>
        </w:rPr>
        <w:t>Our page follow</w:t>
      </w:r>
      <w:r w:rsidR="007E0A55">
        <w:rPr>
          <w:lang w:eastAsia="en-US"/>
        </w:rPr>
        <w:t>er</w:t>
      </w:r>
      <w:r w:rsidRPr="00A324C7">
        <w:rPr>
          <w:lang w:eastAsia="en-US"/>
        </w:rPr>
        <w:t>s have increased from 5</w:t>
      </w:r>
      <w:r w:rsidR="007E0A55">
        <w:rPr>
          <w:lang w:eastAsia="en-US"/>
        </w:rPr>
        <w:t>,</w:t>
      </w:r>
      <w:r w:rsidRPr="00A324C7">
        <w:rPr>
          <w:lang w:eastAsia="en-US"/>
        </w:rPr>
        <w:t>010 as of December 2022 to 6</w:t>
      </w:r>
      <w:r w:rsidR="007E0A55">
        <w:rPr>
          <w:lang w:eastAsia="en-US"/>
        </w:rPr>
        <w:t>,</w:t>
      </w:r>
      <w:r w:rsidRPr="00A324C7">
        <w:rPr>
          <w:lang w:eastAsia="en-US"/>
        </w:rPr>
        <w:t>459 as of December 2023</w:t>
      </w:r>
      <w:r w:rsidR="007E0A55">
        <w:rPr>
          <w:lang w:eastAsia="en-US"/>
        </w:rPr>
        <w:t>,</w:t>
      </w:r>
      <w:r w:rsidRPr="00A324C7">
        <w:rPr>
          <w:lang w:eastAsia="en-US"/>
        </w:rPr>
        <w:t xml:space="preserve"> evidencing that the content has been supportive to breastfeeding mothers. </w:t>
      </w:r>
      <w:r w:rsidR="00DD232E">
        <w:rPr>
          <w:lang w:eastAsia="en-US"/>
        </w:rPr>
        <w:t xml:space="preserve"> </w:t>
      </w:r>
      <w:r w:rsidRPr="00A324C7">
        <w:rPr>
          <w:lang w:eastAsia="en-US"/>
        </w:rPr>
        <w:t>It has a strong social media presence with over 70% of all followers breastfeeding, 11% pregnant and 10% health professionals.</w:t>
      </w:r>
    </w:p>
    <w:p w14:paraId="59159460" w14:textId="7E84A362" w:rsidR="00A324C7" w:rsidRPr="00A324C7" w:rsidRDefault="00A324C7" w:rsidP="00A324C7">
      <w:pPr>
        <w:rPr>
          <w:lang w:eastAsia="en-US"/>
        </w:rPr>
      </w:pPr>
      <w:r w:rsidRPr="00A324C7">
        <w:rPr>
          <w:lang w:eastAsia="en-US"/>
        </w:rPr>
        <w:t xml:space="preserve">In 2023, </w:t>
      </w:r>
      <w:r w:rsidR="007E0A55">
        <w:rPr>
          <w:lang w:eastAsia="en-US"/>
        </w:rPr>
        <w:t>b</w:t>
      </w:r>
      <w:r w:rsidRPr="00A324C7">
        <w:rPr>
          <w:lang w:eastAsia="en-US"/>
        </w:rPr>
        <w:t xml:space="preserve">reastfeeding insights work was carried out as part of the Infant Feeding Strategy refresh. </w:t>
      </w:r>
      <w:r w:rsidR="00DD232E">
        <w:rPr>
          <w:lang w:eastAsia="en-US"/>
        </w:rPr>
        <w:t xml:space="preserve"> </w:t>
      </w:r>
      <w:r w:rsidRPr="00A324C7">
        <w:rPr>
          <w:lang w:eastAsia="en-US"/>
        </w:rPr>
        <w:t xml:space="preserve">The insights from this as well as literature reviews helped to shape the new direction for Beside You Medway to reflect Medway’s local needs. </w:t>
      </w:r>
      <w:r w:rsidR="00DD232E">
        <w:rPr>
          <w:lang w:eastAsia="en-US"/>
        </w:rPr>
        <w:t xml:space="preserve"> </w:t>
      </w:r>
      <w:r w:rsidRPr="00A324C7">
        <w:rPr>
          <w:lang w:eastAsia="en-US"/>
        </w:rPr>
        <w:t xml:space="preserve">Funding from the Start4life project was received to support the development of a Medway Beside You website and new brand. </w:t>
      </w:r>
      <w:r w:rsidR="00DD232E">
        <w:rPr>
          <w:lang w:eastAsia="en-US"/>
        </w:rPr>
        <w:t xml:space="preserve"> </w:t>
      </w:r>
      <w:r w:rsidRPr="00A324C7">
        <w:rPr>
          <w:lang w:eastAsia="en-US"/>
        </w:rPr>
        <w:t xml:space="preserve">This has meant dividing with Kent to form two separate ‘Beside You’ brands. </w:t>
      </w:r>
      <w:r w:rsidR="00DD232E">
        <w:rPr>
          <w:lang w:eastAsia="en-US"/>
        </w:rPr>
        <w:t xml:space="preserve"> </w:t>
      </w:r>
      <w:r w:rsidRPr="00A324C7">
        <w:rPr>
          <w:lang w:eastAsia="en-US"/>
        </w:rPr>
        <w:t xml:space="preserve">The new brand and website were launched fully in October 2023 with refreshed website content that is reflective of all aspects of a mother’s or father’s journey from pregnancy, birth and beyond. </w:t>
      </w:r>
      <w:r w:rsidR="00DD232E">
        <w:rPr>
          <w:lang w:eastAsia="en-US"/>
        </w:rPr>
        <w:t xml:space="preserve"> </w:t>
      </w:r>
      <w:r w:rsidRPr="00A324C7">
        <w:rPr>
          <w:lang w:eastAsia="en-US"/>
        </w:rPr>
        <w:t>The new site also covers more information on Grow My Brain, a campaign to support brain development in the first 1000 days and mental health.</w:t>
      </w:r>
    </w:p>
    <w:p w14:paraId="2BEA0210" w14:textId="77777777" w:rsidR="00A324C7" w:rsidRPr="00A324C7" w:rsidRDefault="00A324C7" w:rsidP="00A324C7">
      <w:pPr>
        <w:rPr>
          <w:lang w:eastAsia="en-US"/>
        </w:rPr>
      </w:pPr>
    </w:p>
    <w:p w14:paraId="6F92A996" w14:textId="6F0E45D3" w:rsidR="00A324C7" w:rsidRPr="00A324C7" w:rsidRDefault="00A324C7" w:rsidP="00A324C7">
      <w:pPr>
        <w:rPr>
          <w:lang w:eastAsia="en-US"/>
        </w:rPr>
      </w:pPr>
      <w:r w:rsidRPr="00A324C7">
        <w:rPr>
          <w:lang w:eastAsia="en-US"/>
        </w:rPr>
        <w:t xml:space="preserve">With a new interactive map, the website shows families or professionals what support is on offer in Medway and also signposts to various venues that are extra welcoming to breastfeeding mothers. </w:t>
      </w:r>
      <w:r w:rsidR="00DD232E">
        <w:rPr>
          <w:lang w:eastAsia="en-US"/>
        </w:rPr>
        <w:t xml:space="preserve"> </w:t>
      </w:r>
      <w:r w:rsidRPr="00A324C7">
        <w:rPr>
          <w:lang w:eastAsia="en-US"/>
        </w:rPr>
        <w:t xml:space="preserve">A new venue sticker campaign has launched at the same time to help families identify venues that are extra supportive of the agenda. </w:t>
      </w:r>
      <w:r w:rsidR="00DD232E">
        <w:rPr>
          <w:lang w:eastAsia="en-US"/>
        </w:rPr>
        <w:t xml:space="preserve"> </w:t>
      </w:r>
      <w:r w:rsidRPr="00A324C7">
        <w:rPr>
          <w:lang w:eastAsia="en-US"/>
        </w:rPr>
        <w:t>A new business toolkit has also been created to ensure businesses are aware of their legal obligations to support mothers to breastfeed and what support we can offer them in regard to training or advice on improving their venue.</w:t>
      </w:r>
    </w:p>
    <w:p w14:paraId="6880DAD2" w14:textId="77777777" w:rsidR="00A324C7" w:rsidRPr="00A324C7" w:rsidRDefault="00A324C7" w:rsidP="00A324C7">
      <w:pPr>
        <w:rPr>
          <w:lang w:eastAsia="en-US"/>
        </w:rPr>
      </w:pPr>
      <w:r w:rsidRPr="00A324C7">
        <w:rPr>
          <w:lang w:eastAsia="en-US"/>
        </w:rPr>
        <w:t>To support the relaunch of Beside You, a photoshoot and videography were run with local breastfeeding women and their families, to normalise breastfeeding in public. Photographs in familiar locations help to provide diversity and authenticity of Beside You within the community.</w:t>
      </w:r>
    </w:p>
    <w:p w14:paraId="681D767A" w14:textId="1D48B979" w:rsidR="00A324C7" w:rsidRPr="00A324C7" w:rsidRDefault="00A324C7" w:rsidP="00A324C7">
      <w:pPr>
        <w:rPr>
          <w:lang w:eastAsia="en-US"/>
        </w:rPr>
      </w:pPr>
      <w:r w:rsidRPr="00A324C7">
        <w:rPr>
          <w:lang w:eastAsia="en-US"/>
        </w:rPr>
        <w:t>Through the rebrand and relaunch we have worked closely with Medway Foundation Trust and Medway Community Healthcare to create content that is easy for families to access and information and support that they need through those early days and weeks, which we know is essential in improving our continuation rates past 6</w:t>
      </w:r>
      <w:r w:rsidR="00DD232E">
        <w:rPr>
          <w:lang w:eastAsia="en-US"/>
        </w:rPr>
        <w:t xml:space="preserve"> to </w:t>
      </w:r>
      <w:r w:rsidRPr="00A324C7">
        <w:rPr>
          <w:lang w:eastAsia="en-US"/>
        </w:rPr>
        <w:t xml:space="preserve">8 weeks. </w:t>
      </w:r>
      <w:r w:rsidR="00F94650">
        <w:rPr>
          <w:lang w:eastAsia="en-US"/>
        </w:rPr>
        <w:t xml:space="preserve"> </w:t>
      </w:r>
      <w:r w:rsidRPr="00A324C7">
        <w:rPr>
          <w:lang w:eastAsia="en-US"/>
        </w:rPr>
        <w:t>We continue to work with our partner in midwifery and infant feeding to ensure the campaign remains relevant and reactive to what they are seeing in person with breastfeeding mums and most importantly consistent and accurate.</w:t>
      </w:r>
    </w:p>
    <w:p w14:paraId="228D7E71" w14:textId="46542973" w:rsidR="00A324C7" w:rsidRPr="00A324C7" w:rsidRDefault="00A324C7" w:rsidP="00A324C7">
      <w:pPr>
        <w:rPr>
          <w:lang w:eastAsia="en-US"/>
        </w:rPr>
      </w:pPr>
      <w:r w:rsidRPr="00A324C7">
        <w:rPr>
          <w:lang w:eastAsia="en-US"/>
        </w:rPr>
        <w:t xml:space="preserve">As well as the messaging service on offer on Facebook, face to face peer support and Beside You Socials are run in the community to allow mums an opportunity to meet a professional or to get support from other mothers on their breastfeeding journeys. </w:t>
      </w:r>
      <w:r w:rsidR="00DD232E">
        <w:rPr>
          <w:lang w:eastAsia="en-US"/>
        </w:rPr>
        <w:t xml:space="preserve"> </w:t>
      </w:r>
      <w:r w:rsidRPr="00A324C7">
        <w:rPr>
          <w:lang w:eastAsia="en-US"/>
        </w:rPr>
        <w:t>Beside You continues to promote face-to-face services such as Hello Baby.</w:t>
      </w:r>
    </w:p>
    <w:p w14:paraId="762B3C66" w14:textId="3FFCD8F5" w:rsidR="00A324C7" w:rsidRPr="00A324C7" w:rsidRDefault="00A324C7" w:rsidP="00A324C7">
      <w:pPr>
        <w:rPr>
          <w:lang w:eastAsia="en-US"/>
        </w:rPr>
      </w:pPr>
      <w:r w:rsidRPr="00A324C7">
        <w:rPr>
          <w:lang w:eastAsia="en-US"/>
        </w:rPr>
        <w:t>Beside You is working closely with other teams such as the Healthy Pregnancy Team to ensure good signposting to the Beside You website at their Bump Club sessions and to the face to face services on offer in Medway such as Hello Baby.</w:t>
      </w:r>
    </w:p>
    <w:p w14:paraId="0A8C6CAD" w14:textId="0FFD3D37" w:rsidR="006E2B77" w:rsidRDefault="00A324C7" w:rsidP="00A324C7">
      <w:pPr>
        <w:rPr>
          <w:lang w:eastAsia="en-US"/>
        </w:rPr>
      </w:pPr>
      <w:r w:rsidRPr="00A324C7">
        <w:rPr>
          <w:lang w:eastAsia="en-US"/>
        </w:rPr>
        <w:t xml:space="preserve">We continue to work with Beside You Kent to support </w:t>
      </w:r>
      <w:r w:rsidR="007E0A55">
        <w:rPr>
          <w:lang w:eastAsia="en-US"/>
        </w:rPr>
        <w:t>b</w:t>
      </w:r>
      <w:r w:rsidRPr="00A324C7">
        <w:rPr>
          <w:lang w:eastAsia="en-US"/>
        </w:rPr>
        <w:t>reastfeeding and normalisation across the county.</w:t>
      </w:r>
    </w:p>
    <w:p w14:paraId="71001970" w14:textId="77777777" w:rsidR="00A324C7" w:rsidRDefault="00A324C7" w:rsidP="00A324C7">
      <w:pPr>
        <w:rPr>
          <w:lang w:eastAsia="en-US"/>
        </w:rPr>
      </w:pPr>
    </w:p>
    <w:p w14:paraId="50E080AE" w14:textId="7D030A74" w:rsidR="00A324C7" w:rsidRPr="007E0A55" w:rsidRDefault="00A324C7" w:rsidP="00E65154">
      <w:pPr>
        <w:pStyle w:val="Heading3"/>
        <w:rPr>
          <w:lang w:eastAsia="en-US"/>
        </w:rPr>
      </w:pPr>
      <w:r w:rsidRPr="007E0A55">
        <w:rPr>
          <w:lang w:eastAsia="en-US"/>
        </w:rPr>
        <w:t>Personal, Social, Health Education (PHSE)</w:t>
      </w:r>
    </w:p>
    <w:p w14:paraId="35F53086" w14:textId="25C6F3CD" w:rsidR="00F7444D" w:rsidRPr="00F7444D" w:rsidRDefault="00F7444D" w:rsidP="00F7444D">
      <w:pPr>
        <w:rPr>
          <w:lang w:eastAsia="en-US"/>
        </w:rPr>
      </w:pPr>
      <w:r w:rsidRPr="00F7444D">
        <w:rPr>
          <w:lang w:eastAsia="en-US"/>
        </w:rPr>
        <w:t xml:space="preserve">High quality relationships and sex education (RSE) is being supported through the development of the Medway RSE scheme of work, produced by the PSHE Association for Medway schools and highlighted nationally as best practice. </w:t>
      </w:r>
      <w:r w:rsidR="00DD232E">
        <w:rPr>
          <w:lang w:eastAsia="en-US"/>
        </w:rPr>
        <w:t xml:space="preserve"> </w:t>
      </w:r>
      <w:r w:rsidRPr="00F7444D">
        <w:rPr>
          <w:lang w:eastAsia="en-US"/>
        </w:rPr>
        <w:t xml:space="preserve">Over 92% of </w:t>
      </w:r>
      <w:r w:rsidR="007E0A55">
        <w:rPr>
          <w:lang w:eastAsia="en-US"/>
        </w:rPr>
        <w:t>s</w:t>
      </w:r>
      <w:r w:rsidRPr="00F7444D">
        <w:rPr>
          <w:lang w:eastAsia="en-US"/>
        </w:rPr>
        <w:t xml:space="preserve">chools in Medway are signed up to deliver RSE through the PSHE curriculum and 71 schools are actively engaged in the PSHE network. </w:t>
      </w:r>
    </w:p>
    <w:p w14:paraId="0B720516" w14:textId="5C83CA79" w:rsidR="00F7444D" w:rsidRPr="00F7444D" w:rsidRDefault="00F7444D" w:rsidP="00F7444D">
      <w:pPr>
        <w:rPr>
          <w:lang w:eastAsia="en-US"/>
        </w:rPr>
      </w:pPr>
      <w:r w:rsidRPr="00F7444D">
        <w:rPr>
          <w:lang w:eastAsia="en-US"/>
        </w:rPr>
        <w:t xml:space="preserve">The Medway RSE scheme of work has been updated to include key stage four materials and has been shared with all secondary schools in Medway. </w:t>
      </w:r>
      <w:r w:rsidR="00DD232E">
        <w:rPr>
          <w:lang w:eastAsia="en-US"/>
        </w:rPr>
        <w:t xml:space="preserve"> </w:t>
      </w:r>
      <w:r w:rsidRPr="00F7444D">
        <w:rPr>
          <w:lang w:eastAsia="en-US"/>
        </w:rPr>
        <w:t>Covering topics from healthy relationships, puberty and consent to contraception, pornography and breaking up, these lessons will help teach some of the most complex RSE topics safely and effectively in an inclusive and differentiated way.</w:t>
      </w:r>
    </w:p>
    <w:p w14:paraId="3039D989" w14:textId="77777777" w:rsidR="00F7444D" w:rsidRPr="00F7444D" w:rsidRDefault="00F7444D" w:rsidP="00F7444D">
      <w:pPr>
        <w:rPr>
          <w:lang w:eastAsia="en-US"/>
        </w:rPr>
      </w:pPr>
      <w:r w:rsidRPr="00F7444D">
        <w:rPr>
          <w:lang w:eastAsia="en-US"/>
        </w:rPr>
        <w:t>The primary scheme of work has been updated and the series of 13 lesson plans supports pupils to recognise and develop positive, healthy relationships, and prepare them for the physical and emotional changes that take place as they grow, including those that happen during puberty.</w:t>
      </w:r>
    </w:p>
    <w:p w14:paraId="365B2D9E" w14:textId="46FB7D57" w:rsidR="00F7444D" w:rsidRPr="00F7444D" w:rsidRDefault="00F7444D" w:rsidP="00F7444D">
      <w:pPr>
        <w:rPr>
          <w:lang w:eastAsia="en-US"/>
        </w:rPr>
      </w:pPr>
      <w:r w:rsidRPr="00F7444D">
        <w:rPr>
          <w:lang w:eastAsia="en-US"/>
        </w:rPr>
        <w:t xml:space="preserve">Following the pilot and evaluation of PSHE for Parents programme, it was found to be too resource-intensive for schools and parents. </w:t>
      </w:r>
      <w:r w:rsidR="00DD232E">
        <w:rPr>
          <w:lang w:eastAsia="en-US"/>
        </w:rPr>
        <w:t xml:space="preserve"> </w:t>
      </w:r>
      <w:r w:rsidRPr="00F7444D">
        <w:rPr>
          <w:lang w:eastAsia="en-US"/>
        </w:rPr>
        <w:t xml:space="preserve">Therefore, a new programme of individual workshops has been developed and is currently being rolled out to parents and carers across Medway. </w:t>
      </w:r>
    </w:p>
    <w:p w14:paraId="7425F67A" w14:textId="7670F203" w:rsidR="00F7444D" w:rsidRPr="00F7444D" w:rsidRDefault="00F7444D" w:rsidP="00F7444D">
      <w:pPr>
        <w:rPr>
          <w:lang w:eastAsia="en-US"/>
        </w:rPr>
      </w:pPr>
      <w:r w:rsidRPr="00F7444D">
        <w:rPr>
          <w:lang w:eastAsia="en-US"/>
        </w:rPr>
        <w:t xml:space="preserve">Contraceptive and sexual health services are available in several secondary schools plus Mid-Kent college. </w:t>
      </w:r>
      <w:r w:rsidR="00DD232E">
        <w:rPr>
          <w:lang w:eastAsia="en-US"/>
        </w:rPr>
        <w:t xml:space="preserve"> </w:t>
      </w:r>
      <w:r w:rsidRPr="00F7444D">
        <w:rPr>
          <w:lang w:eastAsia="en-US"/>
        </w:rPr>
        <w:t xml:space="preserve">The ‘Get It’ free condom scheme has been integrated into wider sexual health services to increase accessibility. </w:t>
      </w:r>
      <w:r w:rsidR="00DD232E">
        <w:rPr>
          <w:lang w:eastAsia="en-US"/>
        </w:rPr>
        <w:t xml:space="preserve"> </w:t>
      </w:r>
      <w:r w:rsidRPr="00F7444D">
        <w:rPr>
          <w:lang w:eastAsia="en-US"/>
        </w:rPr>
        <w:t>Emergency hormonal contraception is available at pharmacies free of charge for women under 30 years of age.</w:t>
      </w:r>
    </w:p>
    <w:p w14:paraId="6F6D9450" w14:textId="5C4B24AA" w:rsidR="00F7444D" w:rsidRPr="00F7444D" w:rsidRDefault="00F7444D" w:rsidP="00F7444D">
      <w:pPr>
        <w:rPr>
          <w:lang w:eastAsia="en-US"/>
        </w:rPr>
      </w:pPr>
      <w:r w:rsidRPr="00F7444D">
        <w:rPr>
          <w:lang w:eastAsia="en-US"/>
        </w:rPr>
        <w:t xml:space="preserve">Sexual health nurses provide contraception and advice youth settings. </w:t>
      </w:r>
      <w:r w:rsidR="00DD232E">
        <w:rPr>
          <w:lang w:eastAsia="en-US"/>
        </w:rPr>
        <w:t xml:space="preserve"> </w:t>
      </w:r>
      <w:r w:rsidRPr="00F7444D">
        <w:rPr>
          <w:lang w:eastAsia="en-US"/>
        </w:rPr>
        <w:t xml:space="preserve">Targeted sexual health clinics for young people take place at the Hub in Clover Street, with the remainder being young person friendly. </w:t>
      </w:r>
      <w:r w:rsidR="00DD232E">
        <w:rPr>
          <w:lang w:eastAsia="en-US"/>
        </w:rPr>
        <w:t xml:space="preserve"> </w:t>
      </w:r>
      <w:r w:rsidRPr="00F7444D">
        <w:rPr>
          <w:lang w:eastAsia="en-US"/>
        </w:rPr>
        <w:t>Specialist sexual health outreach nurses provide home visits to vulnerable young people, including children in care and young parents.</w:t>
      </w:r>
    </w:p>
    <w:p w14:paraId="3F476E39" w14:textId="59DFB3C7" w:rsidR="00F7444D" w:rsidRDefault="00F7444D" w:rsidP="00F7444D">
      <w:pPr>
        <w:rPr>
          <w:lang w:eastAsia="en-US"/>
        </w:rPr>
      </w:pPr>
      <w:r w:rsidRPr="00F7444D">
        <w:rPr>
          <w:lang w:eastAsia="en-US"/>
        </w:rPr>
        <w:t>Face to face appointments are now available for all young people with a specialist service for young people aged up to 25 years.</w:t>
      </w:r>
    </w:p>
    <w:p w14:paraId="0CC1935C" w14:textId="77777777" w:rsidR="00F7444D" w:rsidRDefault="00F7444D" w:rsidP="00F7444D">
      <w:pPr>
        <w:rPr>
          <w:lang w:eastAsia="en-US"/>
        </w:rPr>
      </w:pPr>
    </w:p>
    <w:p w14:paraId="0CF69C89" w14:textId="6BDFDD5A" w:rsidR="00F7444D" w:rsidRPr="00CD4AC5" w:rsidRDefault="00F7444D" w:rsidP="00E65154">
      <w:pPr>
        <w:pStyle w:val="Heading3"/>
        <w:rPr>
          <w:lang w:eastAsia="en-US"/>
        </w:rPr>
      </w:pPr>
      <w:r w:rsidRPr="00CD4AC5">
        <w:rPr>
          <w:lang w:eastAsia="en-US"/>
        </w:rPr>
        <w:t>Young Driver Education</w:t>
      </w:r>
    </w:p>
    <w:p w14:paraId="78173C61" w14:textId="49CA8259" w:rsidR="00F7444D" w:rsidRDefault="00F7444D" w:rsidP="00F7444D">
      <w:pPr>
        <w:rPr>
          <w:lang w:eastAsia="en-US"/>
        </w:rPr>
      </w:pPr>
      <w:r>
        <w:rPr>
          <w:lang w:eastAsia="en-US"/>
        </w:rPr>
        <w:t xml:space="preserve">Medway Council delivers a range of initiatives all year round to teach children and young people about road safety. </w:t>
      </w:r>
      <w:r w:rsidR="00DD232E">
        <w:rPr>
          <w:lang w:eastAsia="en-US"/>
        </w:rPr>
        <w:t xml:space="preserve"> </w:t>
      </w:r>
      <w:r>
        <w:rPr>
          <w:lang w:eastAsia="en-US"/>
        </w:rPr>
        <w:t>Nationally, young drivers, those aged 24 and under, make up 25 per cent of all drivers killed or seriously injured, despite only making up eight per cent of licence holders.</w:t>
      </w:r>
    </w:p>
    <w:p w14:paraId="416E913E" w14:textId="78F75C15" w:rsidR="00F7444D" w:rsidRDefault="00F7444D" w:rsidP="00F7444D">
      <w:pPr>
        <w:rPr>
          <w:lang w:eastAsia="en-US"/>
        </w:rPr>
      </w:pPr>
      <w:r>
        <w:rPr>
          <w:lang w:eastAsia="en-US"/>
        </w:rPr>
        <w:t xml:space="preserve">During 2021, the Road Safety Team were gifted KCC’s Young Driver Course. </w:t>
      </w:r>
      <w:r w:rsidR="00DD232E">
        <w:rPr>
          <w:lang w:eastAsia="en-US"/>
        </w:rPr>
        <w:t xml:space="preserve"> </w:t>
      </w:r>
      <w:r>
        <w:rPr>
          <w:lang w:eastAsia="en-US"/>
        </w:rPr>
        <w:t xml:space="preserve">The course comprises of </w:t>
      </w:r>
      <w:r w:rsidR="00CD4AC5">
        <w:rPr>
          <w:lang w:eastAsia="en-US"/>
        </w:rPr>
        <w:t>four</w:t>
      </w:r>
      <w:r>
        <w:rPr>
          <w:lang w:eastAsia="en-US"/>
        </w:rPr>
        <w:t xml:space="preserve"> sessions and is designed for in-house school delivery, being teacher led.</w:t>
      </w:r>
    </w:p>
    <w:p w14:paraId="6DC4B2A6" w14:textId="64D07AE9" w:rsidR="00F7444D" w:rsidRDefault="00F7444D" w:rsidP="00F7444D">
      <w:pPr>
        <w:rPr>
          <w:lang w:eastAsia="en-US"/>
        </w:rPr>
      </w:pPr>
      <w:r>
        <w:rPr>
          <w:lang w:eastAsia="en-US"/>
        </w:rPr>
        <w:t>Session 1 covers “driving and seeing”, to provide students with understanding as to crash causation.</w:t>
      </w:r>
    </w:p>
    <w:p w14:paraId="4B5E5603" w14:textId="2D0820FA" w:rsidR="00F7444D" w:rsidRDefault="00F7444D" w:rsidP="00F7444D">
      <w:pPr>
        <w:rPr>
          <w:lang w:eastAsia="en-US"/>
        </w:rPr>
      </w:pPr>
      <w:r>
        <w:rPr>
          <w:lang w:eastAsia="en-US"/>
        </w:rPr>
        <w:t xml:space="preserve">Session 2 covers “speed &amp; force”, to give students an idea of how speed relates to stopping distance. </w:t>
      </w:r>
    </w:p>
    <w:p w14:paraId="644444FC" w14:textId="2BE5D29D" w:rsidR="00F7444D" w:rsidRDefault="00F7444D" w:rsidP="00F7444D">
      <w:pPr>
        <w:rPr>
          <w:lang w:eastAsia="en-US"/>
        </w:rPr>
      </w:pPr>
      <w:r>
        <w:rPr>
          <w:lang w:eastAsia="en-US"/>
        </w:rPr>
        <w:t>Session 3 covers “impairment”, to discuss how alcohol and drugs can impact upon awareness and how impairment can affect driving.</w:t>
      </w:r>
    </w:p>
    <w:p w14:paraId="5F88275F" w14:textId="2ACDA8ED" w:rsidR="00F7444D" w:rsidRDefault="00F7444D" w:rsidP="00F7444D">
      <w:pPr>
        <w:rPr>
          <w:lang w:eastAsia="en-US"/>
        </w:rPr>
      </w:pPr>
      <w:r>
        <w:rPr>
          <w:lang w:eastAsia="en-US"/>
        </w:rPr>
        <w:t>Session 4 discusses “impulse &amp; control”, to help students appreciate potential risks and problems when driving.</w:t>
      </w:r>
    </w:p>
    <w:p w14:paraId="7B07B3C0" w14:textId="1276686B" w:rsidR="00F7444D" w:rsidRDefault="00F7444D" w:rsidP="00F7444D">
      <w:pPr>
        <w:rPr>
          <w:lang w:eastAsia="en-US"/>
        </w:rPr>
      </w:pPr>
      <w:r>
        <w:rPr>
          <w:lang w:eastAsia="en-US"/>
        </w:rPr>
        <w:t xml:space="preserve">The course has been offered to all secondary schools in Medway, </w:t>
      </w:r>
      <w:r w:rsidR="00CD4AC5">
        <w:rPr>
          <w:lang w:eastAsia="en-US"/>
        </w:rPr>
        <w:t>three</w:t>
      </w:r>
      <w:r>
        <w:rPr>
          <w:lang w:eastAsia="en-US"/>
        </w:rPr>
        <w:t xml:space="preserve"> have expressed an interest to date, this academic year. </w:t>
      </w:r>
      <w:r w:rsidR="001F3348">
        <w:rPr>
          <w:lang w:eastAsia="en-US"/>
        </w:rPr>
        <w:t xml:space="preserve"> </w:t>
      </w:r>
      <w:r>
        <w:rPr>
          <w:lang w:eastAsia="en-US"/>
        </w:rPr>
        <w:t>Furthermore, the KSRP are working towards introducing a fifth multiagency session to provide additional support to this vulnerable road user.</w:t>
      </w:r>
    </w:p>
    <w:p w14:paraId="72705597" w14:textId="77777777" w:rsidR="00F7444D" w:rsidRDefault="00F7444D" w:rsidP="00F7444D">
      <w:pPr>
        <w:rPr>
          <w:lang w:eastAsia="en-US"/>
        </w:rPr>
      </w:pPr>
    </w:p>
    <w:p w14:paraId="58F1BC09" w14:textId="0A3F1258" w:rsidR="00F7444D" w:rsidRPr="00CD4AC5" w:rsidRDefault="00F7444D" w:rsidP="00E65154">
      <w:pPr>
        <w:pStyle w:val="Heading3"/>
        <w:rPr>
          <w:lang w:eastAsia="en-US"/>
        </w:rPr>
      </w:pPr>
      <w:r w:rsidRPr="00CD4AC5">
        <w:rPr>
          <w:lang w:eastAsia="en-US"/>
        </w:rPr>
        <w:t>Road Safety Education</w:t>
      </w:r>
    </w:p>
    <w:p w14:paraId="4D801DCD" w14:textId="51149104" w:rsidR="00F7444D" w:rsidRDefault="00F7444D" w:rsidP="00F7444D">
      <w:pPr>
        <w:rPr>
          <w:lang w:eastAsia="en-US"/>
        </w:rPr>
      </w:pPr>
      <w:r>
        <w:rPr>
          <w:lang w:eastAsia="en-US"/>
        </w:rPr>
        <w:t>The Road Safety Team offer a Primary School Road Safety Education menu to all Medway schools</w:t>
      </w:r>
      <w:r w:rsidR="00CD4AC5">
        <w:rPr>
          <w:lang w:eastAsia="en-US"/>
        </w:rPr>
        <w:t>,</w:t>
      </w:r>
      <w:r>
        <w:rPr>
          <w:lang w:eastAsia="en-US"/>
        </w:rPr>
        <w:t xml:space="preserve"> visiting schools throughout the year to teach children pedestrian skills and make them aware of the potential dangers on the road. </w:t>
      </w:r>
      <w:r w:rsidR="001F3348">
        <w:rPr>
          <w:lang w:eastAsia="en-US"/>
        </w:rPr>
        <w:t xml:space="preserve"> </w:t>
      </w:r>
      <w:r>
        <w:rPr>
          <w:lang w:eastAsia="en-US"/>
        </w:rPr>
        <w:t xml:space="preserve">Officers also visit pre-schools and nurseries to introduce children to basic road safety skills, including the road environment, holding their grown-ups’ hand and to stop, look, listen and think.  We also offer an interactive lesson delivered in Term </w:t>
      </w:r>
      <w:r w:rsidR="00CD4AC5">
        <w:rPr>
          <w:lang w:eastAsia="en-US"/>
        </w:rPr>
        <w:t>five</w:t>
      </w:r>
      <w:r>
        <w:rPr>
          <w:lang w:eastAsia="en-US"/>
        </w:rPr>
        <w:t>, to reinforce the importance of wearing a seatbelt whilst a passenger.</w:t>
      </w:r>
    </w:p>
    <w:p w14:paraId="02792AAC" w14:textId="1D0C1475" w:rsidR="00F7444D" w:rsidRDefault="00F7444D" w:rsidP="00F7444D">
      <w:pPr>
        <w:rPr>
          <w:lang w:eastAsia="en-US"/>
        </w:rPr>
      </w:pPr>
      <w:r>
        <w:rPr>
          <w:lang w:eastAsia="en-US"/>
        </w:rPr>
        <w:t xml:space="preserve">In preparation for the start </w:t>
      </w:r>
      <w:r w:rsidR="00CD4AC5">
        <w:rPr>
          <w:lang w:eastAsia="en-US"/>
        </w:rPr>
        <w:t xml:space="preserve">of </w:t>
      </w:r>
      <w:r>
        <w:rPr>
          <w:lang w:eastAsia="en-US"/>
        </w:rPr>
        <w:t>academic year 2023/24, the Road Safety Team expanded upon their KS3 &amp; 4 lessons, filling current identified gaps to offer continued life-long</w:t>
      </w:r>
      <w:r w:rsidR="00CD4AC5">
        <w:rPr>
          <w:lang w:eastAsia="en-US"/>
        </w:rPr>
        <w:t xml:space="preserve"> support</w:t>
      </w:r>
      <w:r>
        <w:rPr>
          <w:lang w:eastAsia="en-US"/>
        </w:rPr>
        <w:t xml:space="preserve"> to years 8-11.  These lessons cover  the importance of speaking up in a dangerous situation, the assumptions about road safety and the impact of distractions, behaviour as a pedestrian or passenger, and looking at the consequences of a crash. </w:t>
      </w:r>
    </w:p>
    <w:p w14:paraId="0B9121EE" w14:textId="73798359" w:rsidR="00F7444D" w:rsidRDefault="00F7444D" w:rsidP="00F7444D">
      <w:pPr>
        <w:rPr>
          <w:lang w:eastAsia="en-US"/>
        </w:rPr>
      </w:pPr>
      <w:r>
        <w:rPr>
          <w:lang w:eastAsia="en-US"/>
        </w:rPr>
        <w:t xml:space="preserve">During the 2022/23 academic year, Road Safety education has been delivered to 3,147 primary school children and 1,570 secondary school children. </w:t>
      </w:r>
      <w:r w:rsidR="001F3348">
        <w:rPr>
          <w:lang w:eastAsia="en-US"/>
        </w:rPr>
        <w:t xml:space="preserve"> </w:t>
      </w:r>
      <w:r>
        <w:rPr>
          <w:lang w:eastAsia="en-US"/>
        </w:rPr>
        <w:t>Scooter Skills sessions have been delivered to 720 children in Key Stage 1 over the same duration. Under 5’s education was delivered to 1,535 children.</w:t>
      </w:r>
    </w:p>
    <w:p w14:paraId="38B30F3E" w14:textId="77777777" w:rsidR="00E65154" w:rsidRDefault="00E65154" w:rsidP="00F7444D">
      <w:pPr>
        <w:rPr>
          <w:lang w:eastAsia="en-US"/>
        </w:rPr>
      </w:pPr>
    </w:p>
    <w:p w14:paraId="35366E05" w14:textId="04278ADD" w:rsidR="00B45CF3" w:rsidRPr="00CD4AC5" w:rsidRDefault="00B45CF3" w:rsidP="00E65154">
      <w:pPr>
        <w:pStyle w:val="Heading3"/>
        <w:rPr>
          <w:lang w:eastAsia="en-US"/>
        </w:rPr>
      </w:pPr>
      <w:r w:rsidRPr="00CD4AC5">
        <w:rPr>
          <w:lang w:eastAsia="en-US"/>
        </w:rPr>
        <w:t>‘Tri For You’ Programme</w:t>
      </w:r>
    </w:p>
    <w:p w14:paraId="4A21FB36" w14:textId="795BF51A" w:rsidR="00B45CF3" w:rsidRDefault="00B45CF3" w:rsidP="00B45CF3">
      <w:pPr>
        <w:rPr>
          <w:lang w:eastAsia="en-US"/>
        </w:rPr>
      </w:pPr>
      <w:r>
        <w:rPr>
          <w:lang w:eastAsia="en-US"/>
        </w:rPr>
        <w:t xml:space="preserve">The Medway Council public health team runs the Tier two Tri for You programmes for children and young people. </w:t>
      </w:r>
      <w:r w:rsidR="001F3348">
        <w:rPr>
          <w:lang w:eastAsia="en-US"/>
        </w:rPr>
        <w:t xml:space="preserve"> </w:t>
      </w:r>
      <w:r>
        <w:rPr>
          <w:lang w:eastAsia="en-US"/>
        </w:rPr>
        <w:t>These include TriMini for children aged 5–7 years, TriClub for children aged 8–12 years, FitFix for young people aged</w:t>
      </w:r>
      <w:r w:rsidR="00D73AA6">
        <w:rPr>
          <w:lang w:eastAsia="en-US"/>
        </w:rPr>
        <w:t xml:space="preserve"> </w:t>
      </w:r>
      <w:r>
        <w:rPr>
          <w:lang w:eastAsia="en-US"/>
        </w:rPr>
        <w:t xml:space="preserve">13-17 years and Tri Taster, a programme run for pupils in partnership with schools. </w:t>
      </w:r>
      <w:r w:rsidR="001F3348">
        <w:rPr>
          <w:lang w:eastAsia="en-US"/>
        </w:rPr>
        <w:t xml:space="preserve"> </w:t>
      </w:r>
      <w:r>
        <w:rPr>
          <w:lang w:eastAsia="en-US"/>
        </w:rPr>
        <w:t xml:space="preserve">These programmes support families to make changes in their lifestyle behaviours to improve their activity levels, while gaining knowledge and awareness about making healthier choices. </w:t>
      </w:r>
    </w:p>
    <w:p w14:paraId="1FE41E81" w14:textId="73B9971B" w:rsidR="00B45CF3" w:rsidRDefault="00B45CF3" w:rsidP="00B45CF3">
      <w:pPr>
        <w:rPr>
          <w:lang w:eastAsia="en-US"/>
        </w:rPr>
      </w:pPr>
      <w:r>
        <w:rPr>
          <w:lang w:eastAsia="en-US"/>
        </w:rPr>
        <w:t xml:space="preserve">Through the range of courses and sessions, families can learn how making small changes can lead to a healthier lifestyle and can share tips and advice for each other on how they have done this. </w:t>
      </w:r>
      <w:r w:rsidR="001F3348">
        <w:rPr>
          <w:lang w:eastAsia="en-US"/>
        </w:rPr>
        <w:t xml:space="preserve"> </w:t>
      </w:r>
      <w:r>
        <w:rPr>
          <w:lang w:eastAsia="en-US"/>
        </w:rPr>
        <w:t xml:space="preserve">Families are directed to various information sources that can support these changes, which include NHS Healthier Families and Sugar Smart. </w:t>
      </w:r>
      <w:r w:rsidR="001F3348">
        <w:rPr>
          <w:lang w:eastAsia="en-US"/>
        </w:rPr>
        <w:t xml:space="preserve"> </w:t>
      </w:r>
      <w:r>
        <w:rPr>
          <w:lang w:eastAsia="en-US"/>
        </w:rPr>
        <w:t xml:space="preserve">These consist of various activities and recipes while encouraging a reduction in sugar consumption, which is very important for health improvement. </w:t>
      </w:r>
      <w:r w:rsidR="001F3348">
        <w:rPr>
          <w:lang w:eastAsia="en-US"/>
        </w:rPr>
        <w:t xml:space="preserve"> </w:t>
      </w:r>
      <w:r>
        <w:rPr>
          <w:lang w:eastAsia="en-US"/>
        </w:rPr>
        <w:t>These courses also aim to improve the self-confidence and esteem of the attendees as changes are made and maintained.</w:t>
      </w:r>
    </w:p>
    <w:p w14:paraId="0D2E5148" w14:textId="02A66AED" w:rsidR="00B45CF3" w:rsidRDefault="00B45CF3" w:rsidP="00B45CF3">
      <w:pPr>
        <w:rPr>
          <w:lang w:eastAsia="en-US"/>
        </w:rPr>
      </w:pPr>
      <w:r>
        <w:rPr>
          <w:lang w:eastAsia="en-US"/>
        </w:rPr>
        <w:t xml:space="preserve">The Tier Two Child Weight Management Team are planning a pilot programme reducing the taught element of the current programmes from 12 weeks to six. </w:t>
      </w:r>
      <w:r w:rsidR="001F3348">
        <w:rPr>
          <w:lang w:eastAsia="en-US"/>
        </w:rPr>
        <w:t xml:space="preserve"> </w:t>
      </w:r>
      <w:r>
        <w:rPr>
          <w:lang w:eastAsia="en-US"/>
        </w:rPr>
        <w:t xml:space="preserve">The families will then be invited to attend an enrichment programme, such as cookery or family exercise, for another six weeks to offer them a more bespoke programme with a wider range of specialised professionals. </w:t>
      </w:r>
      <w:r w:rsidR="001F3348">
        <w:rPr>
          <w:lang w:eastAsia="en-US"/>
        </w:rPr>
        <w:t xml:space="preserve"> </w:t>
      </w:r>
      <w:r>
        <w:rPr>
          <w:lang w:eastAsia="en-US"/>
        </w:rPr>
        <w:t>The pilot is due to start in January 2024 and be completed by the end of Q1 2024</w:t>
      </w:r>
      <w:r w:rsidR="00D73AA6">
        <w:rPr>
          <w:lang w:eastAsia="en-US"/>
        </w:rPr>
        <w:t>-</w:t>
      </w:r>
      <w:r>
        <w:rPr>
          <w:lang w:eastAsia="en-US"/>
        </w:rPr>
        <w:t>2025 depending on the enrichment course chosen by families.</w:t>
      </w:r>
    </w:p>
    <w:p w14:paraId="6954DB4C" w14:textId="4DEC7F8C" w:rsidR="00B45CF3" w:rsidRDefault="00B45CF3" w:rsidP="00B45CF3">
      <w:pPr>
        <w:rPr>
          <w:lang w:eastAsia="en-US"/>
        </w:rPr>
      </w:pPr>
      <w:r>
        <w:rPr>
          <w:lang w:eastAsia="en-US"/>
        </w:rPr>
        <w:t>The team priorities are to continue encouraging participation of programmes to minority groups, the most deprived and families on the peninsula that have limited access to services.</w:t>
      </w:r>
    </w:p>
    <w:p w14:paraId="6F7C054C" w14:textId="776DE4B9" w:rsidR="00B45CF3" w:rsidRDefault="00B45CF3" w:rsidP="00B45CF3">
      <w:pPr>
        <w:rPr>
          <w:lang w:eastAsia="en-US"/>
        </w:rPr>
      </w:pPr>
      <w:r>
        <w:rPr>
          <w:lang w:eastAsia="en-US"/>
        </w:rPr>
        <w:t>Obesity levels in year R and year 6 have dropped for a second year running since COVID19, year R dropping below 2017-18 levels.</w:t>
      </w:r>
    </w:p>
    <w:p w14:paraId="55D83CB7" w14:textId="77777777" w:rsidR="004F629D" w:rsidRDefault="004F629D" w:rsidP="00B45CF3">
      <w:pPr>
        <w:rPr>
          <w:lang w:eastAsia="en-US"/>
        </w:rPr>
      </w:pPr>
    </w:p>
    <w:p w14:paraId="53DC5009" w14:textId="77777777" w:rsidR="004F629D" w:rsidRPr="00D73AA6" w:rsidRDefault="004F629D" w:rsidP="00E65154">
      <w:pPr>
        <w:pStyle w:val="Heading3"/>
        <w:rPr>
          <w:lang w:eastAsia="en-US"/>
        </w:rPr>
      </w:pPr>
      <w:r w:rsidRPr="00D73AA6">
        <w:rPr>
          <w:lang w:eastAsia="en-US"/>
        </w:rPr>
        <w:t>Air Quality Strategy</w:t>
      </w:r>
    </w:p>
    <w:p w14:paraId="53478CAF" w14:textId="6DD57C5F" w:rsidR="004F629D" w:rsidRDefault="004F629D" w:rsidP="004F629D">
      <w:pPr>
        <w:rPr>
          <w:lang w:eastAsia="en-US"/>
        </w:rPr>
      </w:pPr>
      <w:r>
        <w:rPr>
          <w:lang w:eastAsia="en-US"/>
        </w:rPr>
        <w:t xml:space="preserve">Air pollution is associated with several adverse health impacts. </w:t>
      </w:r>
      <w:r w:rsidR="001F3348">
        <w:rPr>
          <w:lang w:eastAsia="en-US"/>
        </w:rPr>
        <w:t xml:space="preserve"> </w:t>
      </w:r>
      <w:r>
        <w:rPr>
          <w:lang w:eastAsia="en-US"/>
        </w:rPr>
        <w:t>It is recognised as a contributing factor in the onset of heart disease and cancer.</w:t>
      </w:r>
      <w:r w:rsidR="001F3348">
        <w:rPr>
          <w:lang w:eastAsia="en-US"/>
        </w:rPr>
        <w:t xml:space="preserve"> </w:t>
      </w:r>
      <w:r>
        <w:rPr>
          <w:lang w:eastAsia="en-US"/>
        </w:rPr>
        <w:t xml:space="preserve"> Additionally, air pollution particularly affects the most vulnerable in society: children and older people, and those with heart and lung conditions. </w:t>
      </w:r>
      <w:r w:rsidR="001F3348">
        <w:rPr>
          <w:lang w:eastAsia="en-US"/>
        </w:rPr>
        <w:t xml:space="preserve"> </w:t>
      </w:r>
      <w:r>
        <w:rPr>
          <w:lang w:eastAsia="en-US"/>
        </w:rPr>
        <w:t>There is also often a strong correlation with equalities issues because areas with poor air quality are also often the less affluent areas.</w:t>
      </w:r>
    </w:p>
    <w:p w14:paraId="6FE01036" w14:textId="321144E5" w:rsidR="004F629D" w:rsidRDefault="004F629D" w:rsidP="004F629D">
      <w:pPr>
        <w:rPr>
          <w:lang w:eastAsia="en-US"/>
        </w:rPr>
      </w:pPr>
      <w:r>
        <w:rPr>
          <w:lang w:eastAsia="en-US"/>
        </w:rPr>
        <w:t xml:space="preserve">The annual health cost to society of the impacts of particulate matter alone in the UK is estimated to be around £16 billion. </w:t>
      </w:r>
      <w:r w:rsidR="001F3348">
        <w:rPr>
          <w:lang w:eastAsia="en-US"/>
        </w:rPr>
        <w:t xml:space="preserve"> </w:t>
      </w:r>
      <w:r>
        <w:rPr>
          <w:lang w:eastAsia="en-US"/>
        </w:rPr>
        <w:t>Medway Council is committed to reducing the exposure of people in Medway to poor air quality to improve health.</w:t>
      </w:r>
    </w:p>
    <w:p w14:paraId="46DC6AF3" w14:textId="4397A722" w:rsidR="004F629D" w:rsidRDefault="004F629D" w:rsidP="004F629D">
      <w:pPr>
        <w:rPr>
          <w:lang w:eastAsia="en-US"/>
        </w:rPr>
      </w:pPr>
      <w:r>
        <w:rPr>
          <w:lang w:eastAsia="en-US"/>
        </w:rPr>
        <w:t xml:space="preserve">The impact of air quality upon health is unquestionable and has been a major driver in national and international attempts to reduce levels of air pollution. </w:t>
      </w:r>
      <w:r w:rsidR="001F3348">
        <w:rPr>
          <w:lang w:eastAsia="en-US"/>
        </w:rPr>
        <w:t xml:space="preserve"> </w:t>
      </w:r>
      <w:r>
        <w:rPr>
          <w:lang w:eastAsia="en-US"/>
        </w:rPr>
        <w:t xml:space="preserve">Pollutants such as NO2, ozone, benzene, sulphur dioxide (SO2) alongside PM10 and PM2.5 and other chemicals or compounds by both chronic and acute exposure are linked to increased mortality and morbidity. </w:t>
      </w:r>
      <w:r w:rsidR="001F3348">
        <w:rPr>
          <w:lang w:eastAsia="en-US"/>
        </w:rPr>
        <w:t xml:space="preserve"> </w:t>
      </w:r>
      <w:r>
        <w:rPr>
          <w:lang w:eastAsia="en-US"/>
        </w:rPr>
        <w:t>Through their association with the development of cardiovascular disease, lung cancer, aggravation of asthma and other allergic illnesses, reduced quality of life and contribution to low birthweight.</w:t>
      </w:r>
    </w:p>
    <w:p w14:paraId="3E2CC369" w14:textId="30888A3E" w:rsidR="004F629D" w:rsidRDefault="004F629D" w:rsidP="004F629D">
      <w:pPr>
        <w:rPr>
          <w:lang w:eastAsia="en-US"/>
        </w:rPr>
      </w:pPr>
      <w:r>
        <w:rPr>
          <w:lang w:eastAsia="en-US"/>
        </w:rPr>
        <w:t xml:space="preserve">The distribution of harm from poor air quality is not even. </w:t>
      </w:r>
      <w:r w:rsidR="001F3348">
        <w:rPr>
          <w:lang w:eastAsia="en-US"/>
        </w:rPr>
        <w:t xml:space="preserve"> </w:t>
      </w:r>
      <w:r>
        <w:rPr>
          <w:lang w:eastAsia="en-US"/>
        </w:rPr>
        <w:t xml:space="preserve">Poor air quality is evidenced to impact those who reside in areas of deprivation to a greater extent and is also recognised as a contributor to widening health inequalities. </w:t>
      </w:r>
      <w:r w:rsidR="001F3348">
        <w:rPr>
          <w:lang w:eastAsia="en-US"/>
        </w:rPr>
        <w:t xml:space="preserve"> </w:t>
      </w:r>
      <w:r>
        <w:rPr>
          <w:lang w:eastAsia="en-US"/>
        </w:rPr>
        <w:t xml:space="preserve">In Medway rates of long-term illness, emergency hospital admissions and death are higher in those who are more disadvantaged. </w:t>
      </w:r>
      <w:r w:rsidR="001F3348">
        <w:rPr>
          <w:lang w:eastAsia="en-US"/>
        </w:rPr>
        <w:t xml:space="preserve"> </w:t>
      </w:r>
      <w:r>
        <w:rPr>
          <w:lang w:eastAsia="en-US"/>
        </w:rPr>
        <w:t xml:space="preserve">Health outcomes are not only worse in those who are the most disadvantaged; the inequalities follow a gradient and as such the response also needs to follow a gradient. </w:t>
      </w:r>
      <w:r w:rsidR="001F3348">
        <w:rPr>
          <w:lang w:eastAsia="en-US"/>
        </w:rPr>
        <w:t xml:space="preserve"> </w:t>
      </w:r>
      <w:r>
        <w:rPr>
          <w:lang w:eastAsia="en-US"/>
        </w:rPr>
        <w:t>This means that interventions and measures should be made available to all, with increasing effort needed for those who are increasingly disadvantaged.</w:t>
      </w:r>
    </w:p>
    <w:p w14:paraId="0E3900ED" w14:textId="7C2D2314" w:rsidR="004F629D" w:rsidRDefault="004F629D" w:rsidP="004F629D">
      <w:pPr>
        <w:rPr>
          <w:lang w:eastAsia="en-US"/>
        </w:rPr>
      </w:pPr>
      <w:r>
        <w:rPr>
          <w:lang w:eastAsia="en-US"/>
        </w:rPr>
        <w:t xml:space="preserve">Medway Council takes action to protect its residents’ health from potential harm emanating from poor air quality in a variety of ways. </w:t>
      </w:r>
      <w:r w:rsidR="001F3348">
        <w:rPr>
          <w:lang w:eastAsia="en-US"/>
        </w:rPr>
        <w:t xml:space="preserve"> </w:t>
      </w:r>
      <w:r>
        <w:rPr>
          <w:lang w:eastAsia="en-US"/>
        </w:rPr>
        <w:t xml:space="preserve">This includes partnership work with colleagues in planning to mitigate potential for air quality related harm related to developments. </w:t>
      </w:r>
      <w:r w:rsidR="001F3348">
        <w:rPr>
          <w:lang w:eastAsia="en-US"/>
        </w:rPr>
        <w:t xml:space="preserve"> </w:t>
      </w:r>
      <w:r>
        <w:rPr>
          <w:lang w:eastAsia="en-US"/>
        </w:rPr>
        <w:t xml:space="preserve">As well as proactively through communication initiatives identified in the Medway Air Quality Communications Strategy. </w:t>
      </w:r>
      <w:r w:rsidR="001F3348">
        <w:rPr>
          <w:lang w:eastAsia="en-US"/>
        </w:rPr>
        <w:t xml:space="preserve"> </w:t>
      </w:r>
      <w:r>
        <w:rPr>
          <w:lang w:eastAsia="en-US"/>
        </w:rPr>
        <w:t xml:space="preserve">Such as undertaking targeted information campaigns to increase community awareness of means by which individuals can reduce their exposure and contributions to poor air quality or manage their long-term health conditions which may otherwise leave greater susceptibility to harm from poor air quality. </w:t>
      </w:r>
      <w:r w:rsidR="001F3348">
        <w:rPr>
          <w:lang w:eastAsia="en-US"/>
        </w:rPr>
        <w:t xml:space="preserve"> </w:t>
      </w:r>
      <w:r>
        <w:rPr>
          <w:lang w:eastAsia="en-US"/>
        </w:rPr>
        <w:t>Such initiatives underpin priority actions of the Joint Health and Wellbeing strategy (2018-2023) to encourage self-management of long-term conditions and shape the environment to make healthy choices easier.</w:t>
      </w:r>
    </w:p>
    <w:p w14:paraId="662CB612" w14:textId="6AA7C3C4" w:rsidR="004F629D" w:rsidRDefault="004F629D" w:rsidP="004F629D">
      <w:pPr>
        <w:rPr>
          <w:lang w:eastAsia="en-US"/>
        </w:rPr>
      </w:pPr>
      <w:r>
        <w:rPr>
          <w:lang w:eastAsia="en-US"/>
        </w:rPr>
        <w:t xml:space="preserve">The implementation of Medway’s Air Quality Communications strategy continues with the promotion of the air forecast alerts to vulnerable members of the community and promotion of the KentAir website, http://www.kentair.org.uk/, which advises people on the causes of air pollution and encourages individual and collective effort to change behaviours to help improve air quality. </w:t>
      </w:r>
      <w:r w:rsidR="001F3348">
        <w:rPr>
          <w:lang w:eastAsia="en-US"/>
        </w:rPr>
        <w:t xml:space="preserve"> </w:t>
      </w:r>
      <w:r>
        <w:rPr>
          <w:lang w:eastAsia="en-US"/>
        </w:rPr>
        <w:t>KentAir was refreshed in 2021 and contains a range of supporting information and tools to assist with increasing awareness.</w:t>
      </w:r>
    </w:p>
    <w:p w14:paraId="4463D883" w14:textId="336200F9" w:rsidR="004F629D" w:rsidRDefault="004F629D" w:rsidP="004F629D">
      <w:pPr>
        <w:rPr>
          <w:lang w:eastAsia="en-US"/>
        </w:rPr>
      </w:pPr>
      <w:r>
        <w:rPr>
          <w:lang w:eastAsia="en-US"/>
        </w:rPr>
        <w:t>A revamped Medway carshare scheme (Kent and Medway Journey Share) was developed in 2019, widening the links across Kent whilst also aiming to increase patronage for those living and working in Medway.</w:t>
      </w:r>
    </w:p>
    <w:p w14:paraId="5AF6FE63" w14:textId="5A98CFA0" w:rsidR="004F629D" w:rsidRDefault="004F629D" w:rsidP="004F629D">
      <w:pPr>
        <w:rPr>
          <w:lang w:eastAsia="en-US"/>
        </w:rPr>
      </w:pPr>
      <w:r>
        <w:rPr>
          <w:lang w:eastAsia="en-US"/>
        </w:rPr>
        <w:t>Medway is a sponsor of the KM Green School Awards. Public Health and the Environmental Protection Team are working in partnership with the KM Charity to promote initiatives within schools to improve air quality #CleanAirforSchools.</w:t>
      </w:r>
    </w:p>
    <w:p w14:paraId="4630F76C" w14:textId="508A096F" w:rsidR="004F629D" w:rsidRDefault="004F629D" w:rsidP="004F629D">
      <w:pPr>
        <w:rPr>
          <w:lang w:eastAsia="en-US"/>
        </w:rPr>
      </w:pPr>
      <w:r>
        <w:rPr>
          <w:lang w:eastAsia="en-US"/>
        </w:rPr>
        <w:t>Medway also tackles air quality in the air quality management areas through the 2015 and 2022 air quality action plans that contain a range of measures aimed at reducing road transport emissions and improving public health.</w:t>
      </w:r>
    </w:p>
    <w:p w14:paraId="4E492F63" w14:textId="77777777" w:rsidR="004F629D" w:rsidRDefault="004F629D" w:rsidP="00B45CF3">
      <w:pPr>
        <w:rPr>
          <w:lang w:eastAsia="en-US"/>
        </w:rPr>
      </w:pPr>
    </w:p>
    <w:p w14:paraId="4FE41DA7" w14:textId="7D527963" w:rsidR="004F629D" w:rsidRPr="000E4C29" w:rsidRDefault="004F629D" w:rsidP="00E65154">
      <w:pPr>
        <w:pStyle w:val="Heading3"/>
        <w:rPr>
          <w:lang w:eastAsia="en-US"/>
        </w:rPr>
      </w:pPr>
      <w:r w:rsidRPr="000E4C29">
        <w:rPr>
          <w:lang w:eastAsia="en-US"/>
        </w:rPr>
        <w:t>Climate Change Action Plan</w:t>
      </w:r>
    </w:p>
    <w:p w14:paraId="24A35C23" w14:textId="77777777" w:rsidR="004F629D" w:rsidRDefault="004F629D" w:rsidP="004F629D">
      <w:pPr>
        <w:pStyle w:val="NormalWeb"/>
        <w:spacing w:before="0" w:beforeAutospacing="0" w:after="0" w:afterAutospacing="0"/>
        <w:rPr>
          <w:rFonts w:ascii="Arial" w:hAnsi="Arial" w:cs="Arial"/>
        </w:rPr>
      </w:pPr>
      <w:r>
        <w:rPr>
          <w:rFonts w:ascii="Arial" w:hAnsi="Arial" w:cs="Arial"/>
        </w:rPr>
        <w:t>Inclusive climate action acknowledges that climate change and the responses to it are often unfairly balanced, with impacts varying among different groups.  Medway’s most vulnerable communities are likely to be the most impacted by climate change.  Marginalised groups and communities may also struggle to have their voices heard.  The following steps have been taken for a more inclusive approach to climate action and this will continue to be a priority in 2024:</w:t>
      </w:r>
    </w:p>
    <w:p w14:paraId="2A126157" w14:textId="6DF6FC0F"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 xml:space="preserve">A revised Communication and Engagement Strategy has been published to support the delivery of the Climate Change Action Plan. </w:t>
      </w:r>
      <w:r w:rsidR="001F3348">
        <w:rPr>
          <w:rFonts w:ascii="Arial" w:hAnsi="Arial" w:cs="Arial"/>
        </w:rPr>
        <w:t xml:space="preserve"> </w:t>
      </w:r>
      <w:r>
        <w:rPr>
          <w:rFonts w:ascii="Arial" w:hAnsi="Arial" w:cs="Arial"/>
        </w:rPr>
        <w:t>It sets out the approach for engaging with Medway’s communities, residents, businesses, and schools. The Strategy will be further developed in 2024 to accompany the refresh of the Climate Change Action Plan and will consider under-represented and vulnerable communities.</w:t>
      </w:r>
    </w:p>
    <w:p w14:paraId="6F653524" w14:textId="77777777" w:rsidR="007E442F" w:rsidRDefault="007E442F" w:rsidP="007E442F">
      <w:pPr>
        <w:pStyle w:val="NormalWeb"/>
        <w:spacing w:before="0" w:beforeAutospacing="0" w:after="0" w:afterAutospacing="0"/>
        <w:rPr>
          <w:rFonts w:ascii="Arial" w:hAnsi="Arial" w:cs="Arial"/>
        </w:rPr>
      </w:pPr>
    </w:p>
    <w:p w14:paraId="1E2D0A0B" w14:textId="3730BA6B"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 xml:space="preserve">A Community Climate Working Group has been established, with representation from varying sectors across Medway including faith groups, health and education sectors, young people, disability networks, rural committee and third sector. </w:t>
      </w:r>
      <w:r w:rsidR="001F3348">
        <w:rPr>
          <w:rFonts w:ascii="Arial" w:hAnsi="Arial" w:cs="Arial"/>
        </w:rPr>
        <w:t xml:space="preserve"> </w:t>
      </w:r>
      <w:r>
        <w:rPr>
          <w:rFonts w:ascii="Arial" w:hAnsi="Arial" w:cs="Arial"/>
        </w:rPr>
        <w:t>The intention is that the group will provide opportunities for climate action across a range of communities.</w:t>
      </w:r>
    </w:p>
    <w:p w14:paraId="6225CEE3" w14:textId="77777777" w:rsidR="007E442F" w:rsidRDefault="007E442F" w:rsidP="007E442F">
      <w:pPr>
        <w:pStyle w:val="NormalWeb"/>
        <w:spacing w:before="0" w:beforeAutospacing="0" w:after="0" w:afterAutospacing="0"/>
        <w:rPr>
          <w:rFonts w:ascii="Arial" w:hAnsi="Arial" w:cs="Arial"/>
        </w:rPr>
      </w:pPr>
    </w:p>
    <w:p w14:paraId="40E70DC1" w14:textId="52D77B03"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 xml:space="preserve">A member led Climate Change Working Party has been set up with the aim of supporting and encouraging local climate action within their communities and networks. </w:t>
      </w:r>
      <w:r w:rsidR="001F3348">
        <w:rPr>
          <w:rFonts w:ascii="Arial" w:hAnsi="Arial" w:cs="Arial"/>
        </w:rPr>
        <w:t xml:space="preserve"> </w:t>
      </w:r>
      <w:r>
        <w:rPr>
          <w:rFonts w:ascii="Arial" w:hAnsi="Arial" w:cs="Arial"/>
        </w:rPr>
        <w:t xml:space="preserve">A Climate Action Ward Improvement Plan template has been developed to support each member. </w:t>
      </w:r>
      <w:r w:rsidR="001F3348">
        <w:rPr>
          <w:rFonts w:ascii="Arial" w:hAnsi="Arial" w:cs="Arial"/>
        </w:rPr>
        <w:t xml:space="preserve"> </w:t>
      </w:r>
      <w:r>
        <w:rPr>
          <w:rFonts w:ascii="Arial" w:hAnsi="Arial" w:cs="Arial"/>
        </w:rPr>
        <w:t>Members will be signposted to Medway’s Health and Wellbeing profiles so that they can consider who is most vulnerable to climate impacts within their ward and choose an action to support that group.</w:t>
      </w:r>
    </w:p>
    <w:p w14:paraId="4352BC26" w14:textId="77777777" w:rsidR="007E442F" w:rsidRDefault="007E442F" w:rsidP="007E442F">
      <w:pPr>
        <w:pStyle w:val="NormalWeb"/>
        <w:spacing w:before="0" w:beforeAutospacing="0" w:after="0" w:afterAutospacing="0"/>
        <w:rPr>
          <w:rFonts w:ascii="Arial" w:hAnsi="Arial" w:cs="Arial"/>
        </w:rPr>
      </w:pPr>
    </w:p>
    <w:p w14:paraId="7B078312" w14:textId="2F97091E"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 xml:space="preserve">The Climate Response Team has worked with the Culture Team on a theatre led project to hear from young people on the climate agenda. </w:t>
      </w:r>
      <w:r w:rsidR="001F3348">
        <w:rPr>
          <w:rFonts w:ascii="Arial" w:hAnsi="Arial" w:cs="Arial"/>
        </w:rPr>
        <w:t xml:space="preserve"> </w:t>
      </w:r>
      <w:r>
        <w:rPr>
          <w:rFonts w:ascii="Arial" w:hAnsi="Arial" w:cs="Arial"/>
        </w:rPr>
        <w:t>The intention is for their spoken words to appear as graphic public art at locations in Medway in 2024.</w:t>
      </w:r>
    </w:p>
    <w:p w14:paraId="6A3C4133" w14:textId="77777777"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The Sustainable Warmth Officer has continued to promote grants which support low income and vulnerable households to improve the energy efficiency of their homes.</w:t>
      </w:r>
    </w:p>
    <w:p w14:paraId="67315C02" w14:textId="77777777" w:rsidR="007E442F" w:rsidRDefault="007E442F" w:rsidP="007E442F">
      <w:pPr>
        <w:pStyle w:val="NormalWeb"/>
        <w:spacing w:before="0" w:beforeAutospacing="0" w:after="0" w:afterAutospacing="0"/>
        <w:rPr>
          <w:rFonts w:ascii="Arial" w:hAnsi="Arial" w:cs="Arial"/>
        </w:rPr>
      </w:pPr>
    </w:p>
    <w:p w14:paraId="61057163" w14:textId="732B0D8A" w:rsidR="004F629D" w:rsidRDefault="004F629D" w:rsidP="003214D1">
      <w:pPr>
        <w:pStyle w:val="NormalWeb"/>
        <w:numPr>
          <w:ilvl w:val="0"/>
          <w:numId w:val="1"/>
        </w:numPr>
        <w:spacing w:before="0" w:beforeAutospacing="0" w:after="0" w:afterAutospacing="0"/>
        <w:rPr>
          <w:rFonts w:ascii="Arial" w:hAnsi="Arial" w:cs="Arial"/>
        </w:rPr>
      </w:pPr>
      <w:r>
        <w:rPr>
          <w:rFonts w:ascii="Arial" w:hAnsi="Arial" w:cs="Arial"/>
        </w:rPr>
        <w:t xml:space="preserve">The Climate Response Team has continued to attend a range of events to engage with Medway’s communities on the Climate Change Action Plan including the Over 55’s event, Medway Matters Live Event, Medway Creative Schools, Medway Adult Education Open Day, Medway Pride, Wild About Capstone, Medway Food Partnership annual event, Rochester Eco Hub Fair and the Rochester Town Centre Forum. </w:t>
      </w:r>
    </w:p>
    <w:p w14:paraId="7E430A72" w14:textId="77777777" w:rsidR="007E442F" w:rsidRPr="004F629D" w:rsidRDefault="007E442F" w:rsidP="007E442F">
      <w:pPr>
        <w:pStyle w:val="NormalWeb"/>
        <w:spacing w:before="0" w:beforeAutospacing="0" w:after="0" w:afterAutospacing="0"/>
        <w:rPr>
          <w:rFonts w:ascii="Arial" w:hAnsi="Arial" w:cs="Arial"/>
        </w:rPr>
      </w:pPr>
    </w:p>
    <w:p w14:paraId="2F8FC11C" w14:textId="6F2F979E" w:rsidR="007E442F" w:rsidRDefault="004F629D" w:rsidP="00C40662">
      <w:r w:rsidRPr="00D75498">
        <w:t xml:space="preserve">The Climate Response </w:t>
      </w:r>
      <w:r>
        <w:t>T</w:t>
      </w:r>
      <w:r w:rsidRPr="00D75498">
        <w:t xml:space="preserve">eam also continue to promote key messages via </w:t>
      </w:r>
      <w:r>
        <w:t>the</w:t>
      </w:r>
      <w:r w:rsidRPr="00D75498">
        <w:t xml:space="preserve"> Climate Change newsletter, social media and Medway Matters.</w:t>
      </w:r>
    </w:p>
    <w:p w14:paraId="54A37323" w14:textId="77777777" w:rsidR="00A91E9D" w:rsidRDefault="00A91E9D" w:rsidP="00C40662"/>
    <w:p w14:paraId="0C226C0A" w14:textId="77777777" w:rsidR="00A91E9D" w:rsidRDefault="00A91E9D" w:rsidP="00C40662"/>
    <w:p w14:paraId="101850A4" w14:textId="77777777" w:rsidR="00A91E9D" w:rsidRDefault="00A91E9D" w:rsidP="00C40662"/>
    <w:p w14:paraId="455350E1" w14:textId="77777777" w:rsidR="00A91E9D" w:rsidRDefault="00A91E9D" w:rsidP="00C40662"/>
    <w:p w14:paraId="065AED71" w14:textId="77777777" w:rsidR="00A91E9D" w:rsidRDefault="00A91E9D" w:rsidP="00C40662"/>
    <w:p w14:paraId="49965B03" w14:textId="77777777" w:rsidR="00A91E9D" w:rsidRDefault="00A91E9D" w:rsidP="00C40662"/>
    <w:p w14:paraId="15728C2C" w14:textId="77777777" w:rsidR="00A91E9D" w:rsidRDefault="00A91E9D" w:rsidP="00C40662"/>
    <w:p w14:paraId="29AE75A1" w14:textId="77777777" w:rsidR="00A91E9D" w:rsidRDefault="00A91E9D" w:rsidP="00C40662"/>
    <w:p w14:paraId="425BC117" w14:textId="77777777" w:rsidR="00A91E9D" w:rsidRDefault="00A91E9D" w:rsidP="00C40662"/>
    <w:p w14:paraId="309EC28C" w14:textId="77777777" w:rsidR="00A91E9D" w:rsidRDefault="00A91E9D" w:rsidP="00C40662"/>
    <w:p w14:paraId="18322416" w14:textId="77777777" w:rsidR="00A91E9D" w:rsidRDefault="00A91E9D" w:rsidP="00C40662"/>
    <w:p w14:paraId="31D15C36" w14:textId="77777777" w:rsidR="00A91E9D" w:rsidRDefault="00A91E9D" w:rsidP="00C40662"/>
    <w:p w14:paraId="5FD8A2A8" w14:textId="77777777" w:rsidR="00A91E9D" w:rsidRDefault="00A91E9D" w:rsidP="00C40662"/>
    <w:p w14:paraId="2EC9B7B3" w14:textId="77777777" w:rsidR="00A91E9D" w:rsidRDefault="00A91E9D" w:rsidP="00C40662"/>
    <w:p w14:paraId="096271F3" w14:textId="77777777" w:rsidR="00A91E9D" w:rsidRDefault="00A91E9D" w:rsidP="00C40662"/>
    <w:p w14:paraId="741AA7EA" w14:textId="10450F07" w:rsidR="005809AF" w:rsidRPr="00E65154" w:rsidRDefault="00DE0A77" w:rsidP="00087B06">
      <w:pPr>
        <w:pStyle w:val="Heading1"/>
        <w:jc w:val="left"/>
        <w:rPr>
          <w:color w:val="auto"/>
        </w:rPr>
      </w:pPr>
      <w:r w:rsidRPr="00E65154">
        <w:rPr>
          <w:color w:val="auto"/>
        </w:rPr>
        <w:t>Delivering Fair &amp; Responsive Services 20</w:t>
      </w:r>
      <w:r w:rsidR="00BF3E20" w:rsidRPr="00E65154">
        <w:rPr>
          <w:color w:val="auto"/>
        </w:rPr>
        <w:t>21</w:t>
      </w:r>
    </w:p>
    <w:p w14:paraId="0C2F820B" w14:textId="3370491E" w:rsidR="005809AF" w:rsidRPr="00087B06" w:rsidRDefault="00DE0A77" w:rsidP="00087B06">
      <w:pPr>
        <w:pStyle w:val="Heading1"/>
        <w:jc w:val="left"/>
        <w:rPr>
          <w:b w:val="0"/>
          <w:bCs w:val="0"/>
          <w:color w:val="auto"/>
        </w:rPr>
      </w:pPr>
      <w:r w:rsidRPr="00E65154">
        <w:rPr>
          <w:color w:val="auto"/>
        </w:rPr>
        <w:t>Community &amp; Workforce Equality Data</w:t>
      </w:r>
    </w:p>
    <w:p w14:paraId="7878644A" w14:textId="77777777" w:rsidR="00144F13" w:rsidRDefault="00144F13" w:rsidP="00005DE0">
      <w:pPr>
        <w:tabs>
          <w:tab w:val="center" w:pos="1080"/>
          <w:tab w:val="right" w:pos="9000"/>
        </w:tabs>
        <w:jc w:val="both"/>
        <w:rPr>
          <w:rFonts w:ascii="Helvetica" w:hAnsi="Helvetica" w:cs="Helvetica"/>
          <w:szCs w:val="28"/>
        </w:rPr>
      </w:pPr>
    </w:p>
    <w:p w14:paraId="76528DC7" w14:textId="3FE77333" w:rsidR="0066164E" w:rsidRDefault="0066164E" w:rsidP="005B7332">
      <w:pPr>
        <w:tabs>
          <w:tab w:val="center" w:pos="1080"/>
          <w:tab w:val="right" w:pos="9000"/>
        </w:tabs>
        <w:jc w:val="both"/>
        <w:rPr>
          <w:rFonts w:ascii="Helvetica" w:hAnsi="Helvetica" w:cs="Helvetica"/>
          <w:szCs w:val="28"/>
        </w:rPr>
      </w:pPr>
      <w:r w:rsidRPr="0066164E">
        <w:rPr>
          <w:rFonts w:ascii="Helvetica" w:hAnsi="Helvetica" w:cs="Helvetica"/>
          <w:szCs w:val="28"/>
        </w:rPr>
        <w:t xml:space="preserve">It is vital that we have a good understanding of who our customers are so we can deliver services that are targeted to meet their needs. </w:t>
      </w:r>
      <w:r w:rsidR="007E442F">
        <w:rPr>
          <w:rFonts w:ascii="Helvetica" w:hAnsi="Helvetica" w:cs="Helvetica"/>
          <w:szCs w:val="28"/>
        </w:rPr>
        <w:t xml:space="preserve"> </w:t>
      </w:r>
      <w:r w:rsidRPr="0066164E">
        <w:rPr>
          <w:rFonts w:ascii="Helvetica" w:hAnsi="Helvetica" w:cs="Helvetica"/>
          <w:szCs w:val="28"/>
        </w:rPr>
        <w:t>This section contains information about the people who make up the rich and diverse Medway communities.</w:t>
      </w:r>
    </w:p>
    <w:p w14:paraId="4371F548" w14:textId="77777777" w:rsidR="00005DE0" w:rsidRPr="0066164E" w:rsidRDefault="00005DE0" w:rsidP="005B7332">
      <w:pPr>
        <w:tabs>
          <w:tab w:val="center" w:pos="1080"/>
          <w:tab w:val="right" w:pos="9000"/>
        </w:tabs>
        <w:jc w:val="both"/>
        <w:rPr>
          <w:rFonts w:ascii="Helvetica" w:hAnsi="Helvetica" w:cs="Helvetica"/>
          <w:szCs w:val="28"/>
        </w:rPr>
      </w:pPr>
    </w:p>
    <w:p w14:paraId="58161430" w14:textId="423A674F" w:rsidR="0066164E" w:rsidRDefault="0066164E">
      <w:pPr>
        <w:tabs>
          <w:tab w:val="center" w:pos="1080"/>
          <w:tab w:val="right" w:pos="9000"/>
        </w:tabs>
        <w:jc w:val="both"/>
        <w:rPr>
          <w:rFonts w:ascii="Helvetica" w:hAnsi="Helvetica" w:cs="Helvetica"/>
          <w:szCs w:val="28"/>
        </w:rPr>
      </w:pPr>
      <w:r w:rsidRPr="0066164E">
        <w:rPr>
          <w:rFonts w:ascii="Helvetica" w:hAnsi="Helvetica" w:cs="Helvetica"/>
          <w:szCs w:val="28"/>
        </w:rPr>
        <w:t xml:space="preserve">We have used the Census 2001, 2011, and </w:t>
      </w:r>
      <w:r w:rsidR="00B760D1" w:rsidRPr="0066164E">
        <w:rPr>
          <w:rFonts w:ascii="Helvetica" w:hAnsi="Helvetica" w:cs="Helvetica"/>
          <w:szCs w:val="28"/>
        </w:rPr>
        <w:t>202</w:t>
      </w:r>
      <w:r w:rsidR="00B760D1">
        <w:rPr>
          <w:rFonts w:ascii="Helvetica" w:hAnsi="Helvetica" w:cs="Helvetica"/>
          <w:szCs w:val="28"/>
        </w:rPr>
        <w:t>1</w:t>
      </w:r>
      <w:r w:rsidRPr="0066164E">
        <w:rPr>
          <w:rFonts w:ascii="Helvetica" w:hAnsi="Helvetica" w:cs="Helvetica"/>
          <w:szCs w:val="28"/>
        </w:rPr>
        <w:t xml:space="preserve">, English indices of deprivation 2019 produced by the Department for Communities and Local Government and the Office for National Statistics (ONS) mid-year population estimates for the UK in 2012 and 2022 and the ONS’ sub national population projections for 2032 to get an up-to-date picture of what our communities look like and how they are changing. </w:t>
      </w:r>
    </w:p>
    <w:p w14:paraId="6B509F65" w14:textId="77777777" w:rsidR="002C1257" w:rsidRDefault="002C1257">
      <w:pPr>
        <w:tabs>
          <w:tab w:val="center" w:pos="1080"/>
          <w:tab w:val="right" w:pos="9000"/>
        </w:tabs>
        <w:jc w:val="both"/>
        <w:rPr>
          <w:rFonts w:ascii="Helvetica" w:hAnsi="Helvetica" w:cs="Helvetica"/>
          <w:szCs w:val="28"/>
        </w:rPr>
      </w:pPr>
    </w:p>
    <w:p w14:paraId="4B2A13D5" w14:textId="7D30832D" w:rsidR="000A0938" w:rsidRPr="004932D8" w:rsidRDefault="00B16839" w:rsidP="001F3348">
      <w:pPr>
        <w:pStyle w:val="Heading2"/>
        <w:rPr>
          <w:sz w:val="28"/>
          <w:szCs w:val="28"/>
        </w:rPr>
      </w:pPr>
      <w:r w:rsidRPr="004932D8">
        <w:rPr>
          <w:sz w:val="28"/>
          <w:szCs w:val="28"/>
        </w:rPr>
        <w:t>Medway Community: Key changes</w:t>
      </w:r>
    </w:p>
    <w:p w14:paraId="3A32BE3E" w14:textId="77777777" w:rsidR="000E4C29" w:rsidRPr="004932D8" w:rsidRDefault="000E4C29" w:rsidP="00087B06">
      <w:pPr>
        <w:keepNext/>
        <w:ind w:right="-284"/>
        <w:outlineLvl w:val="1"/>
        <w:rPr>
          <w:b/>
          <w:bCs/>
          <w:sz w:val="28"/>
          <w:szCs w:val="28"/>
          <w:lang w:val="en-US" w:eastAsia="en-US"/>
        </w:rPr>
      </w:pPr>
    </w:p>
    <w:p w14:paraId="2F25969E" w14:textId="500FE64B" w:rsidR="000A0938" w:rsidRPr="000E4C29" w:rsidRDefault="000A0938" w:rsidP="000A0938">
      <w:pPr>
        <w:rPr>
          <w:lang w:eastAsia="en-US"/>
        </w:rPr>
      </w:pPr>
      <w:r w:rsidRPr="000E4C29">
        <w:rPr>
          <w:lang w:eastAsia="en-US"/>
        </w:rPr>
        <w:t>Population increased</w:t>
      </w:r>
    </w:p>
    <w:p w14:paraId="42BF3BDE" w14:textId="6DB87536" w:rsidR="000A0938" w:rsidRPr="002321F5" w:rsidRDefault="000A0938" w:rsidP="000A0938">
      <w:pPr>
        <w:rPr>
          <w:rFonts w:ascii="Helvetica" w:hAnsi="Helvetica" w:cs="Helvetica"/>
        </w:rPr>
      </w:pPr>
      <w:r w:rsidRPr="002321F5">
        <w:rPr>
          <w:rFonts w:ascii="Helvetica" w:hAnsi="Helvetica" w:cs="Helvetica"/>
        </w:rPr>
        <w:t>Medway’s population increased by 14,568 people from 268,144 in 2012 to 282,703 in 2022, a 5.4% increase.</w:t>
      </w:r>
    </w:p>
    <w:p w14:paraId="4A192FDF" w14:textId="3D6884B9" w:rsidR="000A0938" w:rsidRDefault="000A0938" w:rsidP="000A0938">
      <w:pPr>
        <w:rPr>
          <w:rFonts w:ascii="Helvetica" w:hAnsi="Helvetica" w:cs="Helvetica"/>
        </w:rPr>
      </w:pPr>
      <w:r w:rsidRPr="002321F5">
        <w:rPr>
          <w:rFonts w:ascii="Helvetica" w:hAnsi="Helvetica" w:cs="Helvetica"/>
        </w:rPr>
        <w:t>(Mid-Year Population Estimates 2012 and 2022)</w:t>
      </w:r>
    </w:p>
    <w:p w14:paraId="504829AC" w14:textId="77777777" w:rsidR="000A0938" w:rsidRDefault="000A0938" w:rsidP="000A0938">
      <w:pPr>
        <w:rPr>
          <w:rFonts w:ascii="Helvetica" w:hAnsi="Helvetica" w:cs="Helvetica"/>
        </w:rPr>
      </w:pPr>
    </w:p>
    <w:p w14:paraId="1C863388" w14:textId="15E9994D" w:rsidR="000A0938" w:rsidRPr="000E4C29" w:rsidRDefault="000A0938" w:rsidP="000A0938">
      <w:pPr>
        <w:rPr>
          <w:lang w:eastAsia="en-US"/>
        </w:rPr>
      </w:pPr>
      <w:r w:rsidRPr="000E4C29">
        <w:rPr>
          <w:lang w:eastAsia="en-US"/>
        </w:rPr>
        <w:t>Ageing population</w:t>
      </w:r>
    </w:p>
    <w:p w14:paraId="18F66C40" w14:textId="13F891A3" w:rsidR="000A0938" w:rsidRDefault="000A0938" w:rsidP="000A0938">
      <w:pPr>
        <w:rPr>
          <w:rFonts w:ascii="Helvetica" w:hAnsi="Helvetica" w:cs="Helvetica"/>
        </w:rPr>
      </w:pPr>
      <w:r w:rsidRPr="002321F5">
        <w:rPr>
          <w:rFonts w:ascii="Helvetica" w:hAnsi="Helvetica" w:cs="Helvetica"/>
        </w:rPr>
        <w:t xml:space="preserve">Medway’s population profile is getting older. </w:t>
      </w:r>
    </w:p>
    <w:p w14:paraId="5E4F664B" w14:textId="77777777" w:rsidR="000A0938" w:rsidRPr="002321F5" w:rsidRDefault="000A0938" w:rsidP="000A0938">
      <w:pPr>
        <w:rPr>
          <w:rFonts w:ascii="Helvetica" w:hAnsi="Helvetica" w:cs="Helvetica"/>
        </w:rPr>
      </w:pPr>
    </w:p>
    <w:p w14:paraId="40A38587" w14:textId="77777777" w:rsidR="000A0938" w:rsidRDefault="000A0938" w:rsidP="000A0938">
      <w:pPr>
        <w:rPr>
          <w:rFonts w:ascii="Helvetica" w:hAnsi="Helvetica" w:cs="Helvetica"/>
        </w:rPr>
      </w:pPr>
      <w:r w:rsidRPr="002321F5">
        <w:rPr>
          <w:rFonts w:ascii="Helvetica" w:hAnsi="Helvetica" w:cs="Helvetica"/>
        </w:rPr>
        <w:t>The proportion of Medway’s population aged 0-18 has remained static, it was 24.2% in both 2012 and 2022.</w:t>
      </w:r>
    </w:p>
    <w:p w14:paraId="5C46614F" w14:textId="77777777" w:rsidR="000A0938" w:rsidRPr="002321F5" w:rsidRDefault="000A0938" w:rsidP="000A0938">
      <w:pPr>
        <w:rPr>
          <w:rFonts w:ascii="Helvetica" w:hAnsi="Helvetica" w:cs="Helvetica"/>
        </w:rPr>
      </w:pPr>
    </w:p>
    <w:p w14:paraId="131008AA" w14:textId="77777777" w:rsidR="000A0938" w:rsidRDefault="000A0938" w:rsidP="000A0938">
      <w:pPr>
        <w:rPr>
          <w:rFonts w:ascii="Helvetica" w:hAnsi="Helvetica" w:cs="Helvetica"/>
        </w:rPr>
      </w:pPr>
      <w:r w:rsidRPr="002321F5">
        <w:rPr>
          <w:rFonts w:ascii="Helvetica" w:hAnsi="Helvetica" w:cs="Helvetica"/>
        </w:rPr>
        <w:t>The proportion of the population aged 19-64 has decreased to 59.1% in 201</w:t>
      </w:r>
      <w:r>
        <w:rPr>
          <w:rFonts w:ascii="Helvetica" w:hAnsi="Helvetica" w:cs="Helvetica"/>
        </w:rPr>
        <w:t>2</w:t>
      </w:r>
      <w:r w:rsidRPr="002321F5">
        <w:rPr>
          <w:rFonts w:ascii="Helvetica" w:hAnsi="Helvetica" w:cs="Helvetica"/>
        </w:rPr>
        <w:t>, this is down from 61.1% in 2012.</w:t>
      </w:r>
    </w:p>
    <w:p w14:paraId="692929FD" w14:textId="77777777" w:rsidR="000A0938" w:rsidRPr="002321F5" w:rsidRDefault="000A0938" w:rsidP="000A0938">
      <w:pPr>
        <w:rPr>
          <w:rFonts w:ascii="Helvetica" w:hAnsi="Helvetica" w:cs="Helvetica"/>
        </w:rPr>
      </w:pPr>
    </w:p>
    <w:p w14:paraId="6B3CACA5" w14:textId="77777777" w:rsidR="000A0938" w:rsidRDefault="000A0938" w:rsidP="000A0938">
      <w:pPr>
        <w:rPr>
          <w:rFonts w:ascii="Helvetica" w:hAnsi="Helvetica" w:cs="Helvetica"/>
        </w:rPr>
      </w:pPr>
      <w:r w:rsidRPr="002321F5">
        <w:rPr>
          <w:rFonts w:ascii="Helvetica" w:hAnsi="Helvetica" w:cs="Helvetica"/>
        </w:rPr>
        <w:t>There has been a continued increase in the population aged 65 and over, up from 14.6% in 2012 to 16.6% in 2022.</w:t>
      </w:r>
    </w:p>
    <w:p w14:paraId="11B818B3" w14:textId="77777777" w:rsidR="000A0938" w:rsidRPr="002321F5" w:rsidRDefault="000A0938" w:rsidP="000A0938">
      <w:pPr>
        <w:rPr>
          <w:rFonts w:ascii="Helvetica" w:hAnsi="Helvetica" w:cs="Helvetica"/>
        </w:rPr>
      </w:pPr>
    </w:p>
    <w:p w14:paraId="24A35721" w14:textId="5E984E16" w:rsidR="000A0938" w:rsidRDefault="000A0938" w:rsidP="000A0938">
      <w:pPr>
        <w:rPr>
          <w:rFonts w:ascii="Helvetica" w:hAnsi="Helvetica" w:cs="Helvetica"/>
        </w:rPr>
      </w:pPr>
      <w:r w:rsidRPr="002321F5">
        <w:rPr>
          <w:rFonts w:ascii="Helvetica" w:hAnsi="Helvetica" w:cs="Helvetica"/>
        </w:rPr>
        <w:t>Medway’s average age is younger than Kent, the South-East and England &amp; Wales.</w:t>
      </w:r>
    </w:p>
    <w:p w14:paraId="0DB877FF" w14:textId="77777777" w:rsidR="007259BB" w:rsidRDefault="007259BB" w:rsidP="000A0938">
      <w:pPr>
        <w:rPr>
          <w:rFonts w:ascii="Helvetica" w:hAnsi="Helvetica" w:cs="Helvetica"/>
        </w:rPr>
      </w:pPr>
    </w:p>
    <w:p w14:paraId="0078C2DC" w14:textId="0115D216" w:rsidR="007259BB" w:rsidRPr="009D5CA2" w:rsidRDefault="007259BB" w:rsidP="009D5CA2">
      <w:pPr>
        <w:pStyle w:val="Heading3"/>
      </w:pPr>
      <w:r w:rsidRPr="009D5CA2">
        <w:t>More ethnically diverse</w:t>
      </w:r>
    </w:p>
    <w:p w14:paraId="44E6097F" w14:textId="13946B5C" w:rsidR="007259BB" w:rsidRDefault="007259BB" w:rsidP="007259BB">
      <w:pPr>
        <w:rPr>
          <w:rFonts w:ascii="Helvetica" w:hAnsi="Helvetica" w:cs="Helvetica"/>
        </w:rPr>
      </w:pPr>
      <w:r w:rsidRPr="0063475D">
        <w:rPr>
          <w:rFonts w:ascii="Helvetica" w:hAnsi="Helvetica" w:cs="Helvetica"/>
        </w:rPr>
        <w:t xml:space="preserve">Medway has become more ethnically diverse since 2001. </w:t>
      </w:r>
      <w:r w:rsidR="007E442F">
        <w:rPr>
          <w:rFonts w:ascii="Helvetica" w:hAnsi="Helvetica" w:cs="Helvetica"/>
        </w:rPr>
        <w:t xml:space="preserve"> </w:t>
      </w:r>
      <w:r w:rsidRPr="0063475D">
        <w:rPr>
          <w:rFonts w:ascii="Helvetica" w:hAnsi="Helvetica" w:cs="Helvetica"/>
        </w:rPr>
        <w:t xml:space="preserve">The population from non-white ethnic minority groups has increased from 5.4% in 2001 to 10.4% in 2011 and now stands at 15.7% in 2021. </w:t>
      </w:r>
    </w:p>
    <w:p w14:paraId="48071D89" w14:textId="77777777" w:rsidR="007259BB" w:rsidRPr="0063475D" w:rsidRDefault="007259BB" w:rsidP="007259BB">
      <w:pPr>
        <w:rPr>
          <w:rFonts w:ascii="Helvetica" w:hAnsi="Helvetica" w:cs="Helvetica"/>
        </w:rPr>
      </w:pPr>
    </w:p>
    <w:p w14:paraId="5404E6C9" w14:textId="77777777" w:rsidR="007259BB" w:rsidRDefault="007259BB" w:rsidP="007259BB">
      <w:pPr>
        <w:rPr>
          <w:rFonts w:ascii="Helvetica" w:hAnsi="Helvetica" w:cs="Helvetica"/>
        </w:rPr>
      </w:pPr>
      <w:r w:rsidRPr="0063475D">
        <w:rPr>
          <w:rFonts w:ascii="Helvetica" w:hAnsi="Helvetica" w:cs="Helvetica"/>
        </w:rPr>
        <w:t>Medway’s ethnic minority population is lower than England and Wales.</w:t>
      </w:r>
    </w:p>
    <w:p w14:paraId="5B169AF0" w14:textId="77777777" w:rsidR="007259BB" w:rsidRPr="0063475D" w:rsidRDefault="007259BB" w:rsidP="007259BB">
      <w:pPr>
        <w:rPr>
          <w:rFonts w:ascii="Helvetica" w:hAnsi="Helvetica" w:cs="Helvetica"/>
        </w:rPr>
      </w:pPr>
    </w:p>
    <w:p w14:paraId="0D42D4F0" w14:textId="77777777" w:rsidR="007259BB" w:rsidRDefault="007259BB" w:rsidP="007259BB">
      <w:pPr>
        <w:rPr>
          <w:rFonts w:ascii="Helvetica" w:hAnsi="Helvetica" w:cs="Helvetica"/>
        </w:rPr>
      </w:pPr>
      <w:r w:rsidRPr="0063475D">
        <w:rPr>
          <w:rFonts w:ascii="Helvetica" w:hAnsi="Helvetica" w:cs="Helvetica"/>
        </w:rPr>
        <w:t>White British is still the largest ethnic group, 78.3% of the population; followed by White Other 6%, and Asian, Asian British or Asian Welsh groups 5.9%.</w:t>
      </w:r>
    </w:p>
    <w:p w14:paraId="57EFB64E" w14:textId="77777777" w:rsidR="007259BB" w:rsidRPr="0063475D" w:rsidRDefault="007259BB" w:rsidP="007259BB">
      <w:pPr>
        <w:rPr>
          <w:rFonts w:ascii="Helvetica" w:hAnsi="Helvetica" w:cs="Helvetica"/>
        </w:rPr>
      </w:pPr>
    </w:p>
    <w:p w14:paraId="0FDDA3EA" w14:textId="2231B43E" w:rsidR="007259BB" w:rsidRDefault="007259BB" w:rsidP="007259BB">
      <w:pPr>
        <w:rPr>
          <w:rFonts w:ascii="Helvetica" w:hAnsi="Helvetica" w:cs="Helvetica"/>
        </w:rPr>
      </w:pPr>
      <w:r w:rsidRPr="0063475D">
        <w:rPr>
          <w:rFonts w:ascii="Helvetica" w:hAnsi="Helvetica" w:cs="Helvetica"/>
        </w:rPr>
        <w:t>Medway’s Black, Black British, Black Welsh, Caribbean or African population has more than doubled between 2011 and 2021.</w:t>
      </w:r>
    </w:p>
    <w:p w14:paraId="0CD6699B" w14:textId="77777777" w:rsidR="007259BB" w:rsidRDefault="007259BB" w:rsidP="007259BB">
      <w:pPr>
        <w:rPr>
          <w:rFonts w:ascii="Helvetica" w:hAnsi="Helvetica" w:cs="Helvetica"/>
        </w:rPr>
      </w:pPr>
    </w:p>
    <w:p w14:paraId="04D028D9" w14:textId="5A331634" w:rsidR="007259BB" w:rsidRPr="009D5CA2" w:rsidRDefault="007259BB" w:rsidP="009D5CA2">
      <w:pPr>
        <w:pStyle w:val="Heading3"/>
      </w:pPr>
      <w:r w:rsidRPr="009D5CA2">
        <w:t>Limiting long term illness increase</w:t>
      </w:r>
    </w:p>
    <w:p w14:paraId="7605BDDA" w14:textId="2D3B5002" w:rsidR="007259BB" w:rsidRDefault="007259BB" w:rsidP="007259BB">
      <w:pPr>
        <w:rPr>
          <w:rFonts w:ascii="Helvetica" w:hAnsi="Helvetica" w:cs="Helvetica"/>
        </w:rPr>
      </w:pPr>
      <w:r w:rsidRPr="0063475D">
        <w:rPr>
          <w:rFonts w:ascii="Helvetica" w:hAnsi="Helvetica" w:cs="Helvetica"/>
        </w:rPr>
        <w:t xml:space="preserve">The percentage of people with a Limiting Long-Term Illness has increased from 16.4% in 2011 to 17.4% in 2021. </w:t>
      </w:r>
      <w:r w:rsidR="007E442F">
        <w:rPr>
          <w:rFonts w:ascii="Helvetica" w:hAnsi="Helvetica" w:cs="Helvetica"/>
        </w:rPr>
        <w:t xml:space="preserve"> </w:t>
      </w:r>
      <w:r w:rsidRPr="0063475D">
        <w:rPr>
          <w:rFonts w:ascii="Helvetica" w:hAnsi="Helvetica" w:cs="Helvetica"/>
        </w:rPr>
        <w:t>The proportion of the population whose day-to-day activities are limited in some way is like England and Wales, 17.7%.</w:t>
      </w:r>
    </w:p>
    <w:p w14:paraId="51F5E91E" w14:textId="77777777" w:rsidR="00EC55B4" w:rsidRDefault="00EC55B4" w:rsidP="007259BB">
      <w:pPr>
        <w:rPr>
          <w:rFonts w:ascii="Helvetica" w:hAnsi="Helvetica" w:cs="Helvetica"/>
        </w:rPr>
      </w:pPr>
    </w:p>
    <w:p w14:paraId="4484ABF7" w14:textId="662F8E33" w:rsidR="00EC55B4" w:rsidRPr="009D5CA2" w:rsidRDefault="00EC55B4" w:rsidP="009D5CA2">
      <w:pPr>
        <w:pStyle w:val="Heading3"/>
      </w:pPr>
      <w:r w:rsidRPr="009D5CA2">
        <w:t>Unpaid carers increase</w:t>
      </w:r>
    </w:p>
    <w:p w14:paraId="6651422D" w14:textId="11282635" w:rsidR="00EC55B4" w:rsidRDefault="00EC55B4" w:rsidP="007259BB">
      <w:pPr>
        <w:rPr>
          <w:rFonts w:ascii="Helvetica" w:hAnsi="Helvetica" w:cs="Helvetica"/>
        </w:rPr>
      </w:pPr>
      <w:r w:rsidRPr="0063475D">
        <w:rPr>
          <w:rFonts w:ascii="Helvetica" w:hAnsi="Helvetica" w:cs="Helvetica"/>
        </w:rPr>
        <w:t>The number of unpaid carers decreased from 9.5% in 2011 to 8.6% in 2021.</w:t>
      </w:r>
    </w:p>
    <w:p w14:paraId="77A88C35" w14:textId="77777777" w:rsidR="00EC55B4" w:rsidRDefault="00EC55B4" w:rsidP="007259BB">
      <w:pPr>
        <w:rPr>
          <w:rFonts w:ascii="Helvetica" w:hAnsi="Helvetica" w:cs="Helvetica"/>
        </w:rPr>
      </w:pPr>
    </w:p>
    <w:p w14:paraId="6306E0B3" w14:textId="1ED65B84" w:rsidR="00EC55B4" w:rsidRPr="000E4C29" w:rsidRDefault="00EC55B4" w:rsidP="00B061E2">
      <w:pPr>
        <w:pStyle w:val="Heading3"/>
        <w:rPr>
          <w:lang w:eastAsia="en-US"/>
        </w:rPr>
      </w:pPr>
      <w:r w:rsidRPr="000E4C29">
        <w:rPr>
          <w:lang w:eastAsia="en-US"/>
        </w:rPr>
        <w:t>Continued increase in those stating no religion</w:t>
      </w:r>
    </w:p>
    <w:p w14:paraId="25534055" w14:textId="01899B0D" w:rsidR="00EC55B4" w:rsidRPr="0063475D" w:rsidRDefault="00EC55B4" w:rsidP="00EC55B4">
      <w:pPr>
        <w:rPr>
          <w:rFonts w:ascii="Helvetica" w:hAnsi="Helvetica" w:cs="Helvetica"/>
        </w:rPr>
      </w:pPr>
      <w:r w:rsidRPr="0063475D">
        <w:rPr>
          <w:rFonts w:ascii="Helvetica" w:hAnsi="Helvetica" w:cs="Helvetica"/>
        </w:rPr>
        <w:t>Since 2001 there has been a 27-percentage point reduction in the number of residents identified themselves as Christian: 45% in 2021, 58% in 2011, and 72% in 2001.</w:t>
      </w:r>
    </w:p>
    <w:p w14:paraId="42837777" w14:textId="170DE65E" w:rsidR="00EC55B4" w:rsidRPr="0063475D" w:rsidRDefault="00EC55B4" w:rsidP="00EC55B4">
      <w:pPr>
        <w:rPr>
          <w:rFonts w:ascii="Helvetica" w:hAnsi="Helvetica" w:cs="Helvetica"/>
        </w:rPr>
      </w:pPr>
      <w:r w:rsidRPr="0063475D">
        <w:rPr>
          <w:rFonts w:ascii="Helvetica" w:hAnsi="Helvetica" w:cs="Helvetica"/>
        </w:rPr>
        <w:t xml:space="preserve">The number of residents stating no religion has increased by an equivalent amount, with a 26-percentage point increase from 17% of the population in 2001, to 30% in 2011 before reaching 43% in 2021. </w:t>
      </w:r>
    </w:p>
    <w:p w14:paraId="51DC7BB0" w14:textId="57792674" w:rsidR="00EC55B4" w:rsidRDefault="00EC55B4" w:rsidP="00EC55B4">
      <w:pPr>
        <w:rPr>
          <w:rFonts w:ascii="Helvetica" w:hAnsi="Helvetica" w:cs="Helvetica"/>
        </w:rPr>
      </w:pPr>
      <w:r w:rsidRPr="0063475D">
        <w:rPr>
          <w:rFonts w:ascii="Helvetica" w:hAnsi="Helvetica" w:cs="Helvetica"/>
        </w:rPr>
        <w:t xml:space="preserve">The proportions of residents stating their religion as Buddhist, Hindu, Jewish, Sikh, or other religion have stayed static between 2011 and 2021. </w:t>
      </w:r>
      <w:r w:rsidR="007E442F">
        <w:rPr>
          <w:rFonts w:ascii="Helvetica" w:hAnsi="Helvetica" w:cs="Helvetica"/>
        </w:rPr>
        <w:t xml:space="preserve"> </w:t>
      </w:r>
      <w:r w:rsidRPr="0063475D">
        <w:rPr>
          <w:rFonts w:ascii="Helvetica" w:hAnsi="Helvetica" w:cs="Helvetica"/>
        </w:rPr>
        <w:t>The proportion of residents identifying as Muslim increased by 0.7 percentage points from 2% in 2011 to 2.7% in 2021.</w:t>
      </w:r>
    </w:p>
    <w:p w14:paraId="7E265923" w14:textId="77777777" w:rsidR="00EC55B4" w:rsidRDefault="00EC55B4" w:rsidP="00EC55B4">
      <w:pPr>
        <w:rPr>
          <w:rFonts w:ascii="Helvetica" w:hAnsi="Helvetica" w:cs="Helvetica"/>
        </w:rPr>
      </w:pPr>
    </w:p>
    <w:p w14:paraId="66D2E731" w14:textId="7E42C9B1" w:rsidR="00EC55B4" w:rsidRPr="000E4C29" w:rsidRDefault="00EC55B4" w:rsidP="00B061E2">
      <w:pPr>
        <w:pStyle w:val="Heading3"/>
        <w:rPr>
          <w:lang w:eastAsia="en-US"/>
        </w:rPr>
      </w:pPr>
      <w:r w:rsidRPr="000E4C29">
        <w:rPr>
          <w:lang w:eastAsia="en-US"/>
        </w:rPr>
        <w:t>Increase in deprivation</w:t>
      </w:r>
    </w:p>
    <w:p w14:paraId="1794C72A" w14:textId="5DC52627" w:rsidR="00EC55B4" w:rsidRPr="000A0938" w:rsidRDefault="00EC55B4" w:rsidP="00EC55B4">
      <w:pPr>
        <w:rPr>
          <w:color w:val="2F5496" w:themeColor="accent1" w:themeShade="BF"/>
          <w:lang w:eastAsia="en-US"/>
        </w:rPr>
      </w:pPr>
      <w:r w:rsidRPr="0063475D">
        <w:rPr>
          <w:rFonts w:ascii="Helvetica" w:hAnsi="Helvetica" w:cs="Helvetica"/>
        </w:rPr>
        <w:t xml:space="preserve">Medway is ranked 93rd most deprived Local Authority of 317 (1st being the most deprived) in England in the 2019 Index of Multiple Deprivation. </w:t>
      </w:r>
      <w:r w:rsidR="007E442F">
        <w:rPr>
          <w:rFonts w:ascii="Helvetica" w:hAnsi="Helvetica" w:cs="Helvetica"/>
        </w:rPr>
        <w:t xml:space="preserve"> </w:t>
      </w:r>
      <w:r w:rsidRPr="0063475D">
        <w:rPr>
          <w:rFonts w:ascii="Helvetica" w:hAnsi="Helvetica" w:cs="Helvetica"/>
        </w:rPr>
        <w:t>This is a relatively more deprived than the 2015 index, when Medway was ranked 118th most deprived of 325.</w:t>
      </w:r>
    </w:p>
    <w:p w14:paraId="408ED419" w14:textId="77777777" w:rsidR="000E4C29" w:rsidRPr="005B7332" w:rsidRDefault="000E4C29" w:rsidP="006333CE">
      <w:pPr>
        <w:tabs>
          <w:tab w:val="center" w:pos="1080"/>
          <w:tab w:val="right" w:pos="9000"/>
        </w:tabs>
      </w:pPr>
    </w:p>
    <w:p w14:paraId="24790D1E" w14:textId="52F90A78" w:rsidR="00DE0A77" w:rsidRPr="004932D8" w:rsidRDefault="00DE0A77" w:rsidP="00087B06">
      <w:pPr>
        <w:pStyle w:val="Heading2"/>
        <w:ind w:right="-284"/>
        <w:rPr>
          <w:sz w:val="28"/>
          <w:szCs w:val="28"/>
        </w:rPr>
      </w:pPr>
      <w:r w:rsidRPr="004932D8">
        <w:rPr>
          <w:sz w:val="28"/>
          <w:szCs w:val="28"/>
        </w:rPr>
        <w:t>Medway Community: Profile</w:t>
      </w:r>
    </w:p>
    <w:p w14:paraId="54FE2DA7" w14:textId="77777777" w:rsidR="00EC55B4" w:rsidRDefault="00EC55B4" w:rsidP="00EC55B4">
      <w:pPr>
        <w:rPr>
          <w:lang w:val="en-US" w:eastAsia="en-US"/>
        </w:rPr>
      </w:pPr>
    </w:p>
    <w:p w14:paraId="0F120933" w14:textId="11B1A372" w:rsidR="00EC55B4" w:rsidRPr="000E4C29" w:rsidRDefault="00EC55B4" w:rsidP="00B061E2">
      <w:pPr>
        <w:pStyle w:val="Heading3"/>
        <w:rPr>
          <w:lang w:eastAsia="en-US"/>
        </w:rPr>
      </w:pPr>
      <w:r w:rsidRPr="000E4C29">
        <w:rPr>
          <w:lang w:eastAsia="en-US"/>
        </w:rPr>
        <w:t>5 urban areas</w:t>
      </w:r>
    </w:p>
    <w:p w14:paraId="6C0248FD" w14:textId="0FD88515" w:rsidR="00EC55B4" w:rsidRDefault="00EC55B4" w:rsidP="00EC55B4">
      <w:pPr>
        <w:rPr>
          <w:rFonts w:ascii="Helvetica" w:hAnsi="Helvetica" w:cs="Helvetica"/>
        </w:rPr>
      </w:pPr>
      <w:r w:rsidRPr="00860A20">
        <w:rPr>
          <w:rFonts w:ascii="Helvetica" w:hAnsi="Helvetica" w:cs="Helvetica"/>
        </w:rPr>
        <w:t>Medway is made up of five urban centres: Chatham, Gillingham, Rochester, Strood and Rainham. It also includes an extensive rural area on the Hoo Peninsula and the area of Cuxton and Halling to the west of M2.</w:t>
      </w:r>
    </w:p>
    <w:p w14:paraId="1C606B1D" w14:textId="77777777" w:rsidR="004932D8" w:rsidRPr="00EC55B4" w:rsidRDefault="004932D8" w:rsidP="00EC55B4">
      <w:pPr>
        <w:rPr>
          <w:color w:val="2F5496" w:themeColor="accent1" w:themeShade="BF"/>
          <w:lang w:eastAsia="en-US"/>
        </w:rPr>
      </w:pPr>
    </w:p>
    <w:p w14:paraId="5603C1DE" w14:textId="136333C4" w:rsidR="00EC55B4" w:rsidRPr="000E4C29" w:rsidRDefault="00EC55B4" w:rsidP="00B061E2">
      <w:pPr>
        <w:pStyle w:val="Heading3"/>
        <w:rPr>
          <w:lang w:eastAsia="en-US"/>
        </w:rPr>
      </w:pPr>
      <w:r w:rsidRPr="000E4C29">
        <w:rPr>
          <w:lang w:eastAsia="en-US"/>
        </w:rPr>
        <w:t>Increasing population</w:t>
      </w:r>
    </w:p>
    <w:p w14:paraId="1DDB3637" w14:textId="7DBB8C28" w:rsidR="00EC55B4" w:rsidRDefault="00EC55B4" w:rsidP="00EC55B4">
      <w:pPr>
        <w:rPr>
          <w:rFonts w:ascii="Helvetica" w:hAnsi="Helvetica" w:cs="Helvetica"/>
        </w:rPr>
      </w:pPr>
      <w:r w:rsidRPr="002321F5">
        <w:rPr>
          <w:rFonts w:ascii="Helvetica" w:hAnsi="Helvetica" w:cs="Helvetica"/>
        </w:rPr>
        <w:t>Between 2012 and 2022, the population has grown by 14,568 people, up to 282,702.</w:t>
      </w:r>
    </w:p>
    <w:p w14:paraId="64325DB2" w14:textId="77777777" w:rsidR="00EC55B4" w:rsidRDefault="00EC55B4" w:rsidP="00EC55B4">
      <w:pPr>
        <w:rPr>
          <w:color w:val="2F5496" w:themeColor="accent1" w:themeShade="BF"/>
        </w:rPr>
      </w:pPr>
    </w:p>
    <w:p w14:paraId="17344FC4" w14:textId="1B794418" w:rsidR="00EC55B4" w:rsidRPr="000E4C29" w:rsidRDefault="00EC55B4" w:rsidP="00B061E2">
      <w:pPr>
        <w:pStyle w:val="Heading3"/>
        <w:rPr>
          <w:lang w:eastAsia="en-US"/>
        </w:rPr>
      </w:pPr>
      <w:r w:rsidRPr="000E4C29">
        <w:rPr>
          <w:lang w:eastAsia="en-US"/>
        </w:rPr>
        <w:t>Includes areas of deprivation</w:t>
      </w:r>
    </w:p>
    <w:p w14:paraId="3D7D077D" w14:textId="6F55833A" w:rsidR="00EC55B4" w:rsidRPr="0063475D" w:rsidRDefault="00EC55B4" w:rsidP="00EC55B4">
      <w:pPr>
        <w:rPr>
          <w:rFonts w:ascii="Helvetica" w:hAnsi="Helvetica" w:cs="Helvetica"/>
        </w:rPr>
      </w:pPr>
      <w:r w:rsidRPr="0063475D">
        <w:rPr>
          <w:rFonts w:ascii="Helvetica" w:hAnsi="Helvetica" w:cs="Helvetica"/>
        </w:rPr>
        <w:t xml:space="preserve">Medway is ranked 93rd most deprived Local Authority of 317 (1st being the most deprived) in England in the 2019 Index of Multiple Deprivation (IMD). </w:t>
      </w:r>
      <w:r w:rsidR="007E442F">
        <w:rPr>
          <w:rFonts w:ascii="Helvetica" w:hAnsi="Helvetica" w:cs="Helvetica"/>
        </w:rPr>
        <w:t xml:space="preserve"> </w:t>
      </w:r>
      <w:r w:rsidRPr="0063475D">
        <w:rPr>
          <w:rFonts w:ascii="Helvetica" w:hAnsi="Helvetica" w:cs="Helvetica"/>
        </w:rPr>
        <w:t xml:space="preserve">This is a relatively worse position than the index in 2015, when Medway was ranked 118th most deprived of 326. </w:t>
      </w:r>
    </w:p>
    <w:p w14:paraId="550EBA54" w14:textId="00951218" w:rsidR="00EC55B4" w:rsidRDefault="00EC55B4" w:rsidP="00EC55B4">
      <w:pPr>
        <w:rPr>
          <w:color w:val="2F5496" w:themeColor="accent1" w:themeShade="BF"/>
          <w:lang w:eastAsia="en-US"/>
        </w:rPr>
      </w:pPr>
      <w:r w:rsidRPr="0063475D">
        <w:rPr>
          <w:rFonts w:ascii="Helvetica" w:hAnsi="Helvetica" w:cs="Helvetica"/>
        </w:rPr>
        <w:t>The main domains in the IMD where Medway is relatively more deprived than other areas are ‘crime’ (ranking 27 out of 317 Local Authorities in England), and ‘education, skills and training’ (which ranks 68 out of 317).</w:t>
      </w:r>
    </w:p>
    <w:p w14:paraId="29BA3922" w14:textId="77777777" w:rsidR="00EC55B4" w:rsidRDefault="00EC55B4" w:rsidP="00EC55B4">
      <w:pPr>
        <w:rPr>
          <w:color w:val="2F5496" w:themeColor="accent1" w:themeShade="BF"/>
          <w:lang w:eastAsia="en-US"/>
        </w:rPr>
      </w:pPr>
    </w:p>
    <w:p w14:paraId="6118B13D" w14:textId="5F090E4A" w:rsidR="00EC55B4" w:rsidRPr="000E4C29" w:rsidRDefault="00EC55B4" w:rsidP="00B061E2">
      <w:pPr>
        <w:pStyle w:val="Heading3"/>
        <w:rPr>
          <w:lang w:eastAsia="en-US"/>
        </w:rPr>
      </w:pPr>
      <w:r w:rsidRPr="000E4C29">
        <w:rPr>
          <w:lang w:eastAsia="en-US"/>
        </w:rPr>
        <w:t>Around a third of households have dependent children</w:t>
      </w:r>
    </w:p>
    <w:p w14:paraId="14D695E0" w14:textId="2697F5B7" w:rsidR="00EC55B4" w:rsidRPr="00EC55B4" w:rsidRDefault="00EC55B4" w:rsidP="00EC55B4">
      <w:pPr>
        <w:rPr>
          <w:rFonts w:ascii="Helvetica" w:hAnsi="Helvetica" w:cs="Helvetica"/>
        </w:rPr>
      </w:pPr>
      <w:r w:rsidRPr="00EC55B4">
        <w:rPr>
          <w:rFonts w:ascii="Helvetica" w:hAnsi="Helvetica" w:cs="Helvetica"/>
        </w:rPr>
        <w:t xml:space="preserve">The proportion of households with dependent children has remained almost the same between the censuses – in 2011 32.3% of households had dependent children, compared to 32.2% in 2021. </w:t>
      </w:r>
    </w:p>
    <w:p w14:paraId="3D8B9CA0" w14:textId="3E9838D6" w:rsidR="00EC55B4" w:rsidRDefault="00EC55B4" w:rsidP="00EC55B4">
      <w:pPr>
        <w:rPr>
          <w:rFonts w:ascii="Helvetica" w:hAnsi="Helvetica" w:cs="Helvetica"/>
        </w:rPr>
      </w:pPr>
      <w:r w:rsidRPr="00EC55B4">
        <w:rPr>
          <w:rFonts w:ascii="Helvetica" w:hAnsi="Helvetica" w:cs="Helvetica"/>
        </w:rPr>
        <w:t xml:space="preserve">The ONS classifies a dependent child as any person living in a household who is either: aged 0 to 15 years old, or aged 16 to 18, in full-time education and lives in a family with their parent(s) or grandparents(s). </w:t>
      </w:r>
      <w:r w:rsidR="007E442F">
        <w:rPr>
          <w:rFonts w:ascii="Helvetica" w:hAnsi="Helvetica" w:cs="Helvetica"/>
        </w:rPr>
        <w:t xml:space="preserve"> </w:t>
      </w:r>
      <w:r w:rsidRPr="00EC55B4">
        <w:rPr>
          <w:rFonts w:ascii="Helvetica" w:hAnsi="Helvetica" w:cs="Helvetica"/>
        </w:rPr>
        <w:t>Therefore, a person over the age of 18 living with their parent(s)/grandparent(s) will not classify as a dependent child, even if they are still financially dependent.</w:t>
      </w:r>
    </w:p>
    <w:p w14:paraId="47D3F1EB" w14:textId="77777777" w:rsidR="00EC55B4" w:rsidRDefault="00EC55B4" w:rsidP="00EC55B4">
      <w:pPr>
        <w:rPr>
          <w:rFonts w:ascii="Helvetica" w:hAnsi="Helvetica" w:cs="Helvetica"/>
        </w:rPr>
      </w:pPr>
    </w:p>
    <w:p w14:paraId="4B10132B" w14:textId="20CACEBF" w:rsidR="00EC55B4" w:rsidRPr="000E4C29" w:rsidRDefault="00306C44" w:rsidP="00B061E2">
      <w:pPr>
        <w:pStyle w:val="Heading3"/>
        <w:rPr>
          <w:lang w:eastAsia="en-US"/>
        </w:rPr>
      </w:pPr>
      <w:r w:rsidRPr="000E4C29">
        <w:rPr>
          <w:lang w:eastAsia="en-US"/>
        </w:rPr>
        <w:t>Fewer unpaid carers</w:t>
      </w:r>
    </w:p>
    <w:p w14:paraId="5348ACD9" w14:textId="24E106AE" w:rsidR="00306C44" w:rsidRDefault="00306C44" w:rsidP="00EC55B4">
      <w:pPr>
        <w:rPr>
          <w:rFonts w:ascii="Helvetica" w:hAnsi="Helvetica" w:cs="Helvetica"/>
        </w:rPr>
      </w:pPr>
      <w:r w:rsidRPr="0063475D">
        <w:rPr>
          <w:rFonts w:ascii="Helvetica" w:hAnsi="Helvetica" w:cs="Helvetica"/>
        </w:rPr>
        <w:t>The number of unpaid carers decreased from 9.5% in 2011 to 8.6% in 2021.</w:t>
      </w:r>
    </w:p>
    <w:p w14:paraId="4C211A10" w14:textId="77777777" w:rsidR="00306C44" w:rsidRDefault="00306C44" w:rsidP="00EC55B4">
      <w:pPr>
        <w:rPr>
          <w:rFonts w:ascii="Helvetica" w:hAnsi="Helvetica" w:cs="Helvetica"/>
        </w:rPr>
      </w:pPr>
    </w:p>
    <w:p w14:paraId="4FD73E3A" w14:textId="2D0ECE55" w:rsidR="00306C44" w:rsidRPr="000E4C29" w:rsidRDefault="00306C44" w:rsidP="00B061E2">
      <w:pPr>
        <w:pStyle w:val="Heading3"/>
        <w:rPr>
          <w:lang w:eastAsia="en-US"/>
        </w:rPr>
      </w:pPr>
      <w:r w:rsidRPr="000E4C29">
        <w:rPr>
          <w:lang w:eastAsia="en-US"/>
        </w:rPr>
        <w:t>More overcrowded households</w:t>
      </w:r>
    </w:p>
    <w:p w14:paraId="6F40AF56" w14:textId="25EC4721" w:rsidR="00306C44" w:rsidRDefault="00306C44" w:rsidP="00EC55B4">
      <w:pPr>
        <w:rPr>
          <w:rFonts w:ascii="Helvetica" w:hAnsi="Helvetica" w:cs="Helvetica"/>
        </w:rPr>
      </w:pPr>
      <w:r w:rsidRPr="003201DD">
        <w:rPr>
          <w:rFonts w:ascii="Helvetica" w:hAnsi="Helvetica" w:cs="Helvetica"/>
        </w:rPr>
        <w:t>In Medway, 66.8% of households are under-occupied, and 4.5% are overcrowded. Overcrowding is up slightly from 2011, and is also higher than other comparison areas, in particular wider Kent and the South East.</w:t>
      </w:r>
    </w:p>
    <w:p w14:paraId="41EB34C3" w14:textId="77777777" w:rsidR="00306C44" w:rsidRDefault="00306C44" w:rsidP="00EC55B4">
      <w:pPr>
        <w:rPr>
          <w:rFonts w:ascii="Helvetica" w:hAnsi="Helvetica" w:cs="Helvetica"/>
        </w:rPr>
      </w:pPr>
    </w:p>
    <w:p w14:paraId="690EDB32" w14:textId="5A6203C7" w:rsidR="00306C44" w:rsidRPr="000E4C29" w:rsidRDefault="00306C44" w:rsidP="00B061E2">
      <w:pPr>
        <w:pStyle w:val="Heading3"/>
        <w:rPr>
          <w:lang w:eastAsia="en-US"/>
        </w:rPr>
      </w:pPr>
      <w:r w:rsidRPr="000E4C29">
        <w:rPr>
          <w:lang w:eastAsia="en-US"/>
        </w:rPr>
        <w:t>Increase in occupied households</w:t>
      </w:r>
    </w:p>
    <w:p w14:paraId="4A1F1C92" w14:textId="29FC2AFE" w:rsidR="00EC55B4" w:rsidRDefault="00306C44" w:rsidP="00EC55B4">
      <w:pPr>
        <w:rPr>
          <w:rFonts w:ascii="Helvetica" w:hAnsi="Helvetica" w:cs="Helvetica"/>
        </w:rPr>
      </w:pPr>
      <w:r w:rsidRPr="003201DD">
        <w:rPr>
          <w:rFonts w:ascii="Helvetica" w:hAnsi="Helvetica" w:cs="Helvetica"/>
        </w:rPr>
        <w:t>As of 2011, there were 106,209 occupied households this increased by around 5% to 111,458 in 2021.</w:t>
      </w:r>
    </w:p>
    <w:p w14:paraId="0FF792C0" w14:textId="77777777" w:rsidR="00306C44" w:rsidRDefault="00306C44" w:rsidP="00EC55B4">
      <w:pPr>
        <w:rPr>
          <w:rFonts w:ascii="Helvetica" w:hAnsi="Helvetica" w:cs="Helvetica"/>
        </w:rPr>
      </w:pPr>
    </w:p>
    <w:p w14:paraId="622238E4" w14:textId="55ED77A4" w:rsidR="00306C44" w:rsidRPr="000E4C29" w:rsidRDefault="00306C44" w:rsidP="00B061E2">
      <w:pPr>
        <w:pStyle w:val="Heading3"/>
        <w:rPr>
          <w:lang w:eastAsia="en-US"/>
        </w:rPr>
      </w:pPr>
      <w:r w:rsidRPr="000E4C29">
        <w:rPr>
          <w:lang w:eastAsia="en-US"/>
        </w:rPr>
        <w:t>Significant decrease in economic activity</w:t>
      </w:r>
    </w:p>
    <w:p w14:paraId="57FA50E7" w14:textId="438F9F16" w:rsidR="001B26C0" w:rsidRPr="001B26C0" w:rsidRDefault="001B26C0" w:rsidP="001B26C0">
      <w:pPr>
        <w:rPr>
          <w:rFonts w:ascii="Helvetica" w:hAnsi="Helvetica" w:cs="Helvetica"/>
        </w:rPr>
      </w:pPr>
      <w:r w:rsidRPr="001B26C0">
        <w:rPr>
          <w:rFonts w:ascii="Helvetica" w:hAnsi="Helvetica" w:cs="Helvetica"/>
        </w:rPr>
        <w:t>The proportion of Medway’s residents who are economically active has decreased significantly between 2011 and 2021, by 8 percentage points, while economic inactivity has increased.</w:t>
      </w:r>
    </w:p>
    <w:p w14:paraId="185D2722" w14:textId="77D6E9E1" w:rsidR="001B26C0" w:rsidRPr="001B26C0" w:rsidRDefault="001B26C0" w:rsidP="001B26C0">
      <w:pPr>
        <w:rPr>
          <w:rFonts w:ascii="Helvetica" w:hAnsi="Helvetica" w:cs="Helvetica"/>
        </w:rPr>
      </w:pPr>
      <w:r w:rsidRPr="001B26C0">
        <w:rPr>
          <w:rFonts w:ascii="Helvetica" w:hAnsi="Helvetica" w:cs="Helvetica"/>
        </w:rPr>
        <w:t>In 2021, most residents aged 16 or over where economically active in (63.1%). Medway has a slightly higher percentage of economically active residents than Kent (60.2%), the South-East (62.2%) and England &amp; Wales (60.6%).</w:t>
      </w:r>
    </w:p>
    <w:p w14:paraId="1696DEF7" w14:textId="70C951D1" w:rsidR="001B26C0" w:rsidRPr="001B26C0" w:rsidRDefault="001B26C0" w:rsidP="001B26C0">
      <w:pPr>
        <w:rPr>
          <w:rFonts w:ascii="Helvetica" w:hAnsi="Helvetica" w:cs="Helvetica"/>
        </w:rPr>
      </w:pPr>
      <w:r w:rsidRPr="001B26C0">
        <w:rPr>
          <w:rFonts w:ascii="Helvetica" w:hAnsi="Helvetica" w:cs="Helvetica"/>
        </w:rPr>
        <w:t xml:space="preserve">There were 140,571 residents who were economically active in 2021; most economically active residents (excl. full-time students) were in paid employment for an individual or organisation as an employee (76.8%). </w:t>
      </w:r>
      <w:r w:rsidR="007E442F">
        <w:rPr>
          <w:rFonts w:ascii="Helvetica" w:hAnsi="Helvetica" w:cs="Helvetica"/>
        </w:rPr>
        <w:t xml:space="preserve"> </w:t>
      </w:r>
      <w:r w:rsidRPr="001B26C0">
        <w:rPr>
          <w:rFonts w:ascii="Helvetica" w:hAnsi="Helvetica" w:cs="Helvetica"/>
        </w:rPr>
        <w:t xml:space="preserve">However, 15.5% of residents (excl. full-time students) were self-employed (i.e., they own/operate their own business or professional practice, either by themselves or shared with a business partner). </w:t>
      </w:r>
    </w:p>
    <w:p w14:paraId="1D524FCF" w14:textId="7654A43A" w:rsidR="001B26C0" w:rsidRPr="001B26C0" w:rsidRDefault="001B26C0" w:rsidP="001B26C0">
      <w:pPr>
        <w:rPr>
          <w:rFonts w:ascii="Helvetica" w:hAnsi="Helvetica" w:cs="Helvetica"/>
        </w:rPr>
      </w:pPr>
      <w:r w:rsidRPr="001B26C0">
        <w:rPr>
          <w:rFonts w:ascii="Helvetica" w:hAnsi="Helvetica" w:cs="Helvetica"/>
        </w:rPr>
        <w:t xml:space="preserve">A greater number and percentage of economically active residents are self-employed in 2021 than in 2011, the number of residents who are self-employed has increased by 29.2% in 10 years. </w:t>
      </w:r>
      <w:r w:rsidR="007E442F">
        <w:rPr>
          <w:rFonts w:ascii="Helvetica" w:hAnsi="Helvetica" w:cs="Helvetica"/>
        </w:rPr>
        <w:t xml:space="preserve"> </w:t>
      </w:r>
      <w:r w:rsidRPr="001B26C0">
        <w:rPr>
          <w:rFonts w:ascii="Helvetica" w:hAnsi="Helvetica" w:cs="Helvetica"/>
        </w:rPr>
        <w:t>Just 5.7% of Medway’s non-student residents were unemployed and either waiting to start a job or seeking employment at the time of the census.</w:t>
      </w:r>
    </w:p>
    <w:p w14:paraId="2BC3D864" w14:textId="4F582652" w:rsidR="001B26C0" w:rsidRDefault="001B26C0" w:rsidP="001B26C0">
      <w:pPr>
        <w:rPr>
          <w:rFonts w:ascii="Helvetica" w:hAnsi="Helvetica" w:cs="Helvetica"/>
        </w:rPr>
      </w:pPr>
      <w:r w:rsidRPr="001B26C0">
        <w:rPr>
          <w:rFonts w:ascii="Helvetica" w:hAnsi="Helvetica" w:cs="Helvetica"/>
        </w:rPr>
        <w:t xml:space="preserve">In Medway, 36.9% of all residents aged 16 and over were economically inactive at the time of the 2021 census, up from 28.9% in the 2011. </w:t>
      </w:r>
      <w:r w:rsidR="007E442F">
        <w:rPr>
          <w:rFonts w:ascii="Helvetica" w:hAnsi="Helvetica" w:cs="Helvetica"/>
        </w:rPr>
        <w:t xml:space="preserve"> </w:t>
      </w:r>
      <w:r w:rsidRPr="001B26C0">
        <w:rPr>
          <w:rFonts w:ascii="Helvetica" w:hAnsi="Helvetica" w:cs="Helvetica"/>
        </w:rPr>
        <w:t xml:space="preserve">This change in percentage of economically inactive residents is mainly driven by an increase in the number and proportion of retired residents; in 2011 there were 24,738 retired residents in Medway, which composited 44.0% of all economically inactive residents, and this number has increased by 76.2% over the last 10 years to 43,599 residents. </w:t>
      </w:r>
      <w:r w:rsidR="007E442F">
        <w:rPr>
          <w:rFonts w:ascii="Helvetica" w:hAnsi="Helvetica" w:cs="Helvetica"/>
        </w:rPr>
        <w:t xml:space="preserve"> </w:t>
      </w:r>
      <w:r w:rsidRPr="001B26C0">
        <w:rPr>
          <w:rFonts w:ascii="Helvetica" w:hAnsi="Helvetica" w:cs="Helvetica"/>
        </w:rPr>
        <w:t xml:space="preserve">As of 2021, over half of all economically inactive residents were retired. </w:t>
      </w:r>
      <w:r w:rsidR="007E442F">
        <w:rPr>
          <w:rFonts w:ascii="Helvetica" w:hAnsi="Helvetica" w:cs="Helvetica"/>
        </w:rPr>
        <w:t xml:space="preserve"> </w:t>
      </w:r>
      <w:r w:rsidRPr="001B26C0">
        <w:rPr>
          <w:rFonts w:ascii="Helvetica" w:hAnsi="Helvetica" w:cs="Helvetica"/>
        </w:rPr>
        <w:t>Medway’s economic inactivity profile is broadly similar to other comparison areas.</w:t>
      </w:r>
    </w:p>
    <w:p w14:paraId="4861DEE8" w14:textId="77777777" w:rsidR="001B26C0" w:rsidRDefault="001B26C0" w:rsidP="001B26C0">
      <w:pPr>
        <w:rPr>
          <w:rFonts w:ascii="Helvetica" w:hAnsi="Helvetica" w:cs="Helvetica"/>
        </w:rPr>
      </w:pPr>
    </w:p>
    <w:p w14:paraId="47552AFD" w14:textId="48866FDD" w:rsidR="001B26C0" w:rsidRPr="000E4C29" w:rsidRDefault="001B26C0" w:rsidP="00B061E2">
      <w:pPr>
        <w:pStyle w:val="Heading3"/>
        <w:rPr>
          <w:lang w:eastAsia="en-US"/>
        </w:rPr>
      </w:pPr>
      <w:r w:rsidRPr="000E4C29">
        <w:rPr>
          <w:lang w:eastAsia="en-US"/>
        </w:rPr>
        <w:t>More highly qualified</w:t>
      </w:r>
    </w:p>
    <w:p w14:paraId="01E80B49" w14:textId="21CFF9AF" w:rsidR="001B26C0" w:rsidRPr="003201DD" w:rsidRDefault="001B26C0" w:rsidP="001B26C0">
      <w:pPr>
        <w:rPr>
          <w:rFonts w:ascii="Helvetica" w:hAnsi="Helvetica" w:cs="Helvetica"/>
        </w:rPr>
      </w:pPr>
      <w:r w:rsidRPr="003201DD">
        <w:rPr>
          <w:rFonts w:ascii="Helvetica" w:hAnsi="Helvetica" w:cs="Helvetica"/>
        </w:rPr>
        <w:t>As of Census 2021 77.7% of Medway’s residents held a Level 1 qualification or above, this is slightly lower than Kent (79%), the South-East (82%) and England &amp; Wales (79%).</w:t>
      </w:r>
    </w:p>
    <w:p w14:paraId="769061BC" w14:textId="42AA6785" w:rsidR="001B26C0" w:rsidRPr="003201DD" w:rsidRDefault="001B26C0" w:rsidP="001B26C0">
      <w:pPr>
        <w:rPr>
          <w:rFonts w:ascii="Helvetica" w:hAnsi="Helvetica" w:cs="Helvetica"/>
        </w:rPr>
      </w:pPr>
      <w:r w:rsidRPr="003201DD">
        <w:rPr>
          <w:rFonts w:ascii="Helvetica" w:hAnsi="Helvetica" w:cs="Helvetica"/>
        </w:rPr>
        <w:t>Around a quarter (25.6%) of Medway residents held a Level 4 qualification and above, this is lower than Kent (30.5%), the South-East (35.8%) and England &amp; Wales (33.8%).</w:t>
      </w:r>
    </w:p>
    <w:p w14:paraId="400D0A29" w14:textId="1C025DAA" w:rsidR="001B26C0" w:rsidRDefault="001B26C0" w:rsidP="001B26C0">
      <w:pPr>
        <w:rPr>
          <w:rFonts w:ascii="Helvetica" w:hAnsi="Helvetica" w:cs="Helvetica"/>
        </w:rPr>
      </w:pPr>
      <w:r w:rsidRPr="003201DD">
        <w:rPr>
          <w:rFonts w:ascii="Helvetica" w:hAnsi="Helvetica" w:cs="Helvetica"/>
        </w:rPr>
        <w:t>Both the proportion of residents with a Level 1 or higher and Level 4 or higher qualification have increased since 2011.</w:t>
      </w:r>
    </w:p>
    <w:p w14:paraId="52C65419" w14:textId="77777777" w:rsidR="001B26C0" w:rsidRDefault="001B26C0" w:rsidP="001B26C0">
      <w:pPr>
        <w:rPr>
          <w:rFonts w:ascii="Helvetica" w:hAnsi="Helvetica" w:cs="Helvetica"/>
        </w:rPr>
      </w:pPr>
    </w:p>
    <w:p w14:paraId="7EDF003F" w14:textId="3FDFD94C" w:rsidR="001B26C0" w:rsidRPr="000E4C29" w:rsidRDefault="001B26C0" w:rsidP="00B061E2">
      <w:pPr>
        <w:pStyle w:val="Heading3"/>
        <w:rPr>
          <w:lang w:eastAsia="en-US"/>
        </w:rPr>
      </w:pPr>
      <w:r w:rsidRPr="000E4C29">
        <w:rPr>
          <w:lang w:eastAsia="en-US"/>
        </w:rPr>
        <w:t>Above average households’ own home</w:t>
      </w:r>
    </w:p>
    <w:p w14:paraId="03CCF6DF" w14:textId="03C30410" w:rsidR="001B26C0" w:rsidRDefault="001B26C0" w:rsidP="001B26C0">
      <w:pPr>
        <w:rPr>
          <w:rFonts w:ascii="Helvetica" w:hAnsi="Helvetica" w:cs="Helvetica"/>
        </w:rPr>
      </w:pPr>
      <w:r w:rsidRPr="003201DD">
        <w:rPr>
          <w:rFonts w:ascii="Helvetica" w:hAnsi="Helvetica" w:cs="Helvetica"/>
        </w:rPr>
        <w:t xml:space="preserve">64.7% of households owned their own home, either with a loan, mortgage or outright; this is a decrease of 3 percentage points since 2011. </w:t>
      </w:r>
      <w:r w:rsidR="007E442F">
        <w:rPr>
          <w:rFonts w:ascii="Helvetica" w:hAnsi="Helvetica" w:cs="Helvetica"/>
        </w:rPr>
        <w:t xml:space="preserve"> </w:t>
      </w:r>
      <w:r w:rsidRPr="003201DD">
        <w:rPr>
          <w:rFonts w:ascii="Helvetica" w:hAnsi="Helvetica" w:cs="Helvetica"/>
        </w:rPr>
        <w:t>Medway’s level of ownership is still above the national average percentage of 61.6%. (Census 2021)</w:t>
      </w:r>
    </w:p>
    <w:p w14:paraId="5E92A63F" w14:textId="77777777" w:rsidR="001B26C0" w:rsidRDefault="001B26C0" w:rsidP="001B26C0">
      <w:pPr>
        <w:rPr>
          <w:rFonts w:ascii="Helvetica" w:hAnsi="Helvetica" w:cs="Helvetica"/>
        </w:rPr>
      </w:pPr>
    </w:p>
    <w:p w14:paraId="221DBBAA" w14:textId="257C2A4C" w:rsidR="001B26C0" w:rsidRPr="000E4C29" w:rsidRDefault="001B26C0" w:rsidP="00B061E2">
      <w:pPr>
        <w:pStyle w:val="Heading3"/>
        <w:rPr>
          <w:lang w:eastAsia="en-US"/>
        </w:rPr>
      </w:pPr>
      <w:r w:rsidRPr="000E4C29">
        <w:rPr>
          <w:lang w:eastAsia="en-US"/>
        </w:rPr>
        <w:t>Increase of cars and vans available for use</w:t>
      </w:r>
    </w:p>
    <w:p w14:paraId="2287A7CD" w14:textId="4839D6BF" w:rsidR="001B26C0" w:rsidRPr="001B26C0" w:rsidRDefault="001B26C0" w:rsidP="001B26C0">
      <w:pPr>
        <w:rPr>
          <w:rFonts w:ascii="Helvetica" w:hAnsi="Helvetica" w:cs="Helvetica"/>
        </w:rPr>
      </w:pPr>
      <w:r w:rsidRPr="003201DD">
        <w:rPr>
          <w:rFonts w:ascii="Helvetica" w:hAnsi="Helvetica" w:cs="Helvetica"/>
        </w:rPr>
        <w:t>The proportion of households with access to at least 1 car or van in households increased slightly from 78.1% in 2011 to 80.8% in 2021.</w:t>
      </w:r>
    </w:p>
    <w:p w14:paraId="018EF90F" w14:textId="77777777" w:rsidR="00A215DB" w:rsidRPr="005B7332" w:rsidRDefault="00A215DB" w:rsidP="006333CE">
      <w:pPr>
        <w:tabs>
          <w:tab w:val="center" w:pos="1080"/>
          <w:tab w:val="right" w:pos="9000"/>
        </w:tabs>
        <w:rPr>
          <w:rFonts w:ascii="Helvetica" w:hAnsi="Helvetica" w:cs="Helvetica"/>
          <w:highlight w:val="yellow"/>
        </w:rPr>
      </w:pPr>
    </w:p>
    <w:p w14:paraId="3618B02A" w14:textId="7DE09229" w:rsidR="00144F13" w:rsidRPr="00893DBF" w:rsidRDefault="00DE0A77" w:rsidP="00087B06">
      <w:pPr>
        <w:pStyle w:val="Heading2"/>
        <w:ind w:right="-284"/>
        <w:rPr>
          <w:sz w:val="28"/>
          <w:szCs w:val="28"/>
        </w:rPr>
      </w:pPr>
      <w:r w:rsidRPr="00893DBF">
        <w:rPr>
          <w:sz w:val="28"/>
          <w:szCs w:val="28"/>
        </w:rPr>
        <w:t>Medway Community: Sex and age</w:t>
      </w:r>
    </w:p>
    <w:p w14:paraId="3113B9CF" w14:textId="77777777" w:rsidR="001B26C0" w:rsidRDefault="001B26C0" w:rsidP="001B26C0">
      <w:pPr>
        <w:rPr>
          <w:highlight w:val="yellow"/>
          <w:lang w:val="en-US" w:eastAsia="en-US"/>
        </w:rPr>
      </w:pPr>
    </w:p>
    <w:p w14:paraId="06377FA6" w14:textId="1A28C34C" w:rsidR="001B26C0" w:rsidRPr="000E4C29" w:rsidRDefault="001B26C0" w:rsidP="00B061E2">
      <w:pPr>
        <w:pStyle w:val="Heading3"/>
        <w:rPr>
          <w:lang w:eastAsia="en-US"/>
        </w:rPr>
      </w:pPr>
      <w:r w:rsidRPr="000E4C29">
        <w:rPr>
          <w:lang w:eastAsia="en-US"/>
        </w:rPr>
        <w:t>Sex</w:t>
      </w:r>
    </w:p>
    <w:p w14:paraId="1824839B" w14:textId="6B7F9F58" w:rsidR="001B26C0" w:rsidRDefault="001B26C0" w:rsidP="001B26C0">
      <w:pPr>
        <w:rPr>
          <w:rFonts w:ascii="Helvetica" w:hAnsi="Helvetica" w:cs="Helvetica"/>
        </w:rPr>
      </w:pPr>
      <w:r w:rsidRPr="003201DD">
        <w:rPr>
          <w:rFonts w:ascii="Helvetica" w:hAnsi="Helvetica" w:cs="Helvetica"/>
        </w:rPr>
        <w:t>There has been a small change within Medway’s sex breakdown. Females accounted for 51% of Medway’s population in 202</w:t>
      </w:r>
      <w:r>
        <w:rPr>
          <w:rFonts w:ascii="Helvetica" w:hAnsi="Helvetica" w:cs="Helvetica"/>
        </w:rPr>
        <w:t>2</w:t>
      </w:r>
      <w:r w:rsidRPr="003201DD">
        <w:rPr>
          <w:rFonts w:ascii="Helvetica" w:hAnsi="Helvetica" w:cs="Helvetica"/>
        </w:rPr>
        <w:t>, up from 50.</w:t>
      </w:r>
      <w:r>
        <w:rPr>
          <w:rFonts w:ascii="Helvetica" w:hAnsi="Helvetica" w:cs="Helvetica"/>
        </w:rPr>
        <w:t>5</w:t>
      </w:r>
      <w:r w:rsidRPr="003201DD">
        <w:rPr>
          <w:rFonts w:ascii="Helvetica" w:hAnsi="Helvetica" w:cs="Helvetica"/>
        </w:rPr>
        <w:t>% in 201</w:t>
      </w:r>
      <w:r>
        <w:rPr>
          <w:rFonts w:ascii="Helvetica" w:hAnsi="Helvetica" w:cs="Helvetica"/>
        </w:rPr>
        <w:t>2</w:t>
      </w:r>
      <w:r w:rsidRPr="003201DD">
        <w:rPr>
          <w:rFonts w:ascii="Helvetica" w:hAnsi="Helvetica" w:cs="Helvetica"/>
        </w:rPr>
        <w:t xml:space="preserve">. </w:t>
      </w:r>
      <w:r w:rsidR="007E442F">
        <w:rPr>
          <w:rFonts w:ascii="Helvetica" w:hAnsi="Helvetica" w:cs="Helvetica"/>
        </w:rPr>
        <w:t xml:space="preserve"> </w:t>
      </w:r>
      <w:r w:rsidRPr="003201DD">
        <w:rPr>
          <w:rFonts w:ascii="Helvetica" w:hAnsi="Helvetica" w:cs="Helvetica"/>
        </w:rPr>
        <w:t>Males have decreased from 49.</w:t>
      </w:r>
      <w:r>
        <w:rPr>
          <w:rFonts w:ascii="Helvetica" w:hAnsi="Helvetica" w:cs="Helvetica"/>
        </w:rPr>
        <w:t>5</w:t>
      </w:r>
      <w:r w:rsidRPr="003201DD">
        <w:rPr>
          <w:rFonts w:ascii="Helvetica" w:hAnsi="Helvetica" w:cs="Helvetica"/>
        </w:rPr>
        <w:t>% in 201</w:t>
      </w:r>
      <w:r>
        <w:rPr>
          <w:rFonts w:ascii="Helvetica" w:hAnsi="Helvetica" w:cs="Helvetica"/>
        </w:rPr>
        <w:t>2</w:t>
      </w:r>
      <w:r w:rsidRPr="003201DD">
        <w:rPr>
          <w:rFonts w:ascii="Helvetica" w:hAnsi="Helvetica" w:cs="Helvetica"/>
        </w:rPr>
        <w:t xml:space="preserve"> to 49% in 202</w:t>
      </w:r>
      <w:r>
        <w:rPr>
          <w:rFonts w:ascii="Helvetica" w:hAnsi="Helvetica" w:cs="Helvetica"/>
        </w:rPr>
        <w:t>2</w:t>
      </w:r>
      <w:r w:rsidRPr="003201DD">
        <w:rPr>
          <w:rFonts w:ascii="Helvetica" w:hAnsi="Helvetica" w:cs="Helvetica"/>
        </w:rPr>
        <w:t>.</w:t>
      </w:r>
    </w:p>
    <w:p w14:paraId="4861A0C0" w14:textId="77777777" w:rsidR="001B26C0" w:rsidRDefault="001B26C0" w:rsidP="001B26C0">
      <w:pPr>
        <w:rPr>
          <w:rFonts w:ascii="Helvetica" w:hAnsi="Helvetica" w:cs="Helvetica"/>
        </w:rPr>
      </w:pPr>
    </w:p>
    <w:p w14:paraId="6CCE4A9B" w14:textId="2E631892" w:rsidR="001B26C0" w:rsidRPr="000E4C29" w:rsidRDefault="001B26C0" w:rsidP="00B061E2">
      <w:pPr>
        <w:pStyle w:val="Heading3"/>
        <w:rPr>
          <w:lang w:eastAsia="en-US"/>
        </w:rPr>
      </w:pPr>
      <w:r w:rsidRPr="000E4C29">
        <w:rPr>
          <w:lang w:eastAsia="en-US"/>
        </w:rPr>
        <w:t>Age</w:t>
      </w:r>
    </w:p>
    <w:p w14:paraId="4937552E" w14:textId="58CF2817" w:rsidR="001B26C0" w:rsidRDefault="001B26C0" w:rsidP="001B26C0">
      <w:pPr>
        <w:rPr>
          <w:rFonts w:ascii="Helvetica" w:hAnsi="Helvetica" w:cs="Helvetica"/>
        </w:rPr>
      </w:pPr>
      <w:r w:rsidRPr="00B21C5D">
        <w:rPr>
          <w:rFonts w:ascii="Helvetica" w:hAnsi="Helvetica" w:cs="Helvetica"/>
        </w:rPr>
        <w:t xml:space="preserve">Medway’s population is slightly younger than the South East or England. </w:t>
      </w:r>
    </w:p>
    <w:p w14:paraId="71DB7CA9" w14:textId="77777777" w:rsidR="00596582" w:rsidRPr="00B21C5D" w:rsidRDefault="00596582" w:rsidP="001B26C0">
      <w:pPr>
        <w:rPr>
          <w:rFonts w:ascii="Helvetica" w:hAnsi="Helvetica" w:cs="Helvetica"/>
        </w:rPr>
      </w:pPr>
    </w:p>
    <w:p w14:paraId="220226E5" w14:textId="1A10E264" w:rsidR="001B26C0" w:rsidRDefault="001B26C0" w:rsidP="001B26C0">
      <w:pPr>
        <w:rPr>
          <w:rFonts w:ascii="Helvetica" w:hAnsi="Helvetica" w:cs="Helvetica"/>
        </w:rPr>
      </w:pPr>
      <w:r w:rsidRPr="00B21C5D">
        <w:rPr>
          <w:rFonts w:ascii="Helvetica" w:hAnsi="Helvetica" w:cs="Helvetica"/>
        </w:rPr>
        <w:t xml:space="preserve">Medway’s population aged 18 and under increased from 65,131 in 2012 to 68,585 in 2022 (+5.3%). </w:t>
      </w:r>
      <w:r w:rsidR="007E442F">
        <w:rPr>
          <w:rFonts w:ascii="Helvetica" w:hAnsi="Helvetica" w:cs="Helvetica"/>
        </w:rPr>
        <w:t xml:space="preserve"> </w:t>
      </w:r>
      <w:r w:rsidRPr="00B21C5D">
        <w:rPr>
          <w:rFonts w:ascii="Helvetica" w:hAnsi="Helvetica" w:cs="Helvetica"/>
        </w:rPr>
        <w:t>Despite this increase the overall proportion of the population aged 18 and under has remained static since 2012, reflecting the rapidly increasing older population.</w:t>
      </w:r>
    </w:p>
    <w:p w14:paraId="13B7E354" w14:textId="77777777" w:rsidR="00596582" w:rsidRPr="00B21C5D" w:rsidRDefault="00596582" w:rsidP="001B26C0">
      <w:pPr>
        <w:rPr>
          <w:rFonts w:ascii="Helvetica" w:hAnsi="Helvetica" w:cs="Helvetica"/>
        </w:rPr>
      </w:pPr>
    </w:p>
    <w:p w14:paraId="1C9E989E" w14:textId="14C9CDB4" w:rsidR="001B26C0" w:rsidRDefault="001B26C0" w:rsidP="001B26C0">
      <w:pPr>
        <w:rPr>
          <w:rFonts w:ascii="Helvetica" w:hAnsi="Helvetica" w:cs="Helvetica"/>
        </w:rPr>
      </w:pPr>
      <w:r w:rsidRPr="00B21C5D">
        <w:rPr>
          <w:rFonts w:ascii="Helvetica" w:hAnsi="Helvetica" w:cs="Helvetica"/>
        </w:rPr>
        <w:t xml:space="preserve">In 2022, the population aged 19 to 64 was 167,139. </w:t>
      </w:r>
      <w:r w:rsidR="007E442F">
        <w:rPr>
          <w:rFonts w:ascii="Helvetica" w:hAnsi="Helvetica" w:cs="Helvetica"/>
        </w:rPr>
        <w:t xml:space="preserve"> </w:t>
      </w:r>
      <w:r w:rsidRPr="00B21C5D">
        <w:rPr>
          <w:rFonts w:ascii="Helvetica" w:hAnsi="Helvetica" w:cs="Helvetica"/>
        </w:rPr>
        <w:t>Although higher than the 163,861 people in this age group in 2012, the proportion of the population in this age group has declined since 2012.</w:t>
      </w:r>
    </w:p>
    <w:p w14:paraId="51D143AF" w14:textId="77777777" w:rsidR="00596582" w:rsidRPr="00B21C5D" w:rsidRDefault="00596582" w:rsidP="001B26C0">
      <w:pPr>
        <w:rPr>
          <w:rFonts w:ascii="Helvetica" w:hAnsi="Helvetica" w:cs="Helvetica"/>
        </w:rPr>
      </w:pPr>
    </w:p>
    <w:p w14:paraId="5AEDB6AC" w14:textId="2E6831D1" w:rsidR="00EC20D1" w:rsidRDefault="001B26C0" w:rsidP="00596582">
      <w:pPr>
        <w:rPr>
          <w:rFonts w:ascii="Helvetica" w:hAnsi="Helvetica" w:cs="Helvetica"/>
        </w:rPr>
      </w:pPr>
      <w:r w:rsidRPr="00B21C5D">
        <w:rPr>
          <w:rFonts w:ascii="Helvetica" w:hAnsi="Helvetica" w:cs="Helvetica"/>
        </w:rPr>
        <w:t xml:space="preserve">Medway’s population is ageing at a faster rate with more people now aged 65 and over since 2012. </w:t>
      </w:r>
      <w:r w:rsidR="007E442F">
        <w:rPr>
          <w:rFonts w:ascii="Helvetica" w:hAnsi="Helvetica" w:cs="Helvetica"/>
        </w:rPr>
        <w:t xml:space="preserve"> </w:t>
      </w:r>
      <w:r w:rsidRPr="00B21C5D">
        <w:rPr>
          <w:rFonts w:ascii="Helvetica" w:hAnsi="Helvetica" w:cs="Helvetica"/>
        </w:rPr>
        <w:t>This age group accounted for 46,978 people in 2022. This is an increase of 20% since 2012</w:t>
      </w:r>
      <w:r>
        <w:rPr>
          <w:rFonts w:ascii="Helvetica" w:hAnsi="Helvetica" w:cs="Helvetica"/>
        </w:rPr>
        <w:t>.</w:t>
      </w:r>
      <w:bookmarkStart w:id="2" w:name="_Ref471811732"/>
      <w:bookmarkStart w:id="3" w:name="_Ref436141273"/>
    </w:p>
    <w:p w14:paraId="7D0AC001" w14:textId="77777777" w:rsidR="00596582" w:rsidRPr="00596582" w:rsidRDefault="00596582" w:rsidP="00596582">
      <w:pPr>
        <w:rPr>
          <w:color w:val="2F5496" w:themeColor="accent1" w:themeShade="BF"/>
          <w:lang w:eastAsia="en-US"/>
        </w:rPr>
      </w:pPr>
    </w:p>
    <w:bookmarkEnd w:id="2"/>
    <w:bookmarkEnd w:id="3"/>
    <w:p w14:paraId="0EBA1E7A" w14:textId="040B7D15" w:rsidR="009E33F7" w:rsidRDefault="00B21C5D" w:rsidP="009E33F7">
      <w:pPr>
        <w:rPr>
          <w:rFonts w:ascii="Helvetica" w:hAnsi="Helvetica" w:cs="Helvetica"/>
          <w:bCs/>
          <w:sz w:val="18"/>
          <w:szCs w:val="18"/>
        </w:rPr>
      </w:pPr>
      <w:r w:rsidRPr="003201DD">
        <w:rPr>
          <w:rFonts w:ascii="Helvetica" w:hAnsi="Helvetica" w:cs="Helvetica"/>
        </w:rPr>
        <w:t>Table 1</w:t>
      </w:r>
      <w:r w:rsidR="00AB1F5C">
        <w:rPr>
          <w:rFonts w:ascii="Helvetica" w:hAnsi="Helvetica" w:cs="Helvetica"/>
        </w:rPr>
        <w:t xml:space="preserve"> below </w:t>
      </w:r>
      <w:r w:rsidRPr="003201DD">
        <w:rPr>
          <w:rFonts w:ascii="Helvetica" w:hAnsi="Helvetica" w:cs="Helvetica"/>
        </w:rPr>
        <w:t xml:space="preserve">shows changes as a proportion of the population in each of the three age groups. </w:t>
      </w:r>
      <w:r w:rsidR="007E442F">
        <w:rPr>
          <w:rFonts w:ascii="Helvetica" w:hAnsi="Helvetica" w:cs="Helvetica"/>
        </w:rPr>
        <w:t xml:space="preserve"> </w:t>
      </w:r>
      <w:r w:rsidRPr="003201DD">
        <w:rPr>
          <w:rFonts w:ascii="Helvetica" w:hAnsi="Helvetica" w:cs="Helvetica"/>
        </w:rPr>
        <w:t>The proportion of 0 to 18</w:t>
      </w:r>
      <w:r w:rsidR="00AB1F5C">
        <w:rPr>
          <w:rFonts w:ascii="Helvetica" w:hAnsi="Helvetica" w:cs="Helvetica"/>
        </w:rPr>
        <w:t xml:space="preserve"> </w:t>
      </w:r>
      <w:r w:rsidRPr="003201DD">
        <w:rPr>
          <w:rFonts w:ascii="Helvetica" w:hAnsi="Helvetica" w:cs="Helvetica"/>
        </w:rPr>
        <w:t>year</w:t>
      </w:r>
      <w:r w:rsidR="00AB1F5C">
        <w:rPr>
          <w:rFonts w:ascii="Helvetica" w:hAnsi="Helvetica" w:cs="Helvetica"/>
        </w:rPr>
        <w:t xml:space="preserve"> </w:t>
      </w:r>
      <w:r w:rsidRPr="003201DD">
        <w:rPr>
          <w:rFonts w:ascii="Helvetica" w:hAnsi="Helvetica" w:cs="Helvetica"/>
        </w:rPr>
        <w:t xml:space="preserve">olds has </w:t>
      </w:r>
      <w:r>
        <w:rPr>
          <w:rFonts w:ascii="Helvetica" w:hAnsi="Helvetica" w:cs="Helvetica"/>
        </w:rPr>
        <w:t>remained static</w:t>
      </w:r>
      <w:r w:rsidRPr="003201DD">
        <w:rPr>
          <w:rFonts w:ascii="Helvetica" w:hAnsi="Helvetica" w:cs="Helvetica"/>
        </w:rPr>
        <w:t xml:space="preserve"> </w:t>
      </w:r>
      <w:r w:rsidR="00AB1F5C">
        <w:rPr>
          <w:rFonts w:ascii="Helvetica" w:hAnsi="Helvetica" w:cs="Helvetica"/>
        </w:rPr>
        <w:t xml:space="preserve">since </w:t>
      </w:r>
      <w:r w:rsidRPr="003201DD">
        <w:rPr>
          <w:rFonts w:ascii="Helvetica" w:hAnsi="Helvetica" w:cs="Helvetica"/>
        </w:rPr>
        <w:t>201</w:t>
      </w:r>
      <w:r>
        <w:rPr>
          <w:rFonts w:ascii="Helvetica" w:hAnsi="Helvetica" w:cs="Helvetica"/>
        </w:rPr>
        <w:t>2</w:t>
      </w:r>
      <w:r w:rsidRPr="003201DD">
        <w:rPr>
          <w:rFonts w:ascii="Helvetica" w:hAnsi="Helvetica" w:cs="Helvetica"/>
        </w:rPr>
        <w:t>, whilst the rate</w:t>
      </w:r>
      <w:r w:rsidRPr="00B21C5D">
        <w:rPr>
          <w:rFonts w:ascii="Helvetica" w:hAnsi="Helvetica" w:cs="Helvetica"/>
        </w:rPr>
        <w:t xml:space="preserve"> of 19 to 64</w:t>
      </w:r>
      <w:r w:rsidR="00AB1F5C">
        <w:rPr>
          <w:rFonts w:ascii="Helvetica" w:hAnsi="Helvetica" w:cs="Helvetica"/>
        </w:rPr>
        <w:t xml:space="preserve"> </w:t>
      </w:r>
      <w:r w:rsidRPr="00B21C5D">
        <w:rPr>
          <w:rFonts w:ascii="Helvetica" w:hAnsi="Helvetica" w:cs="Helvetica"/>
        </w:rPr>
        <w:t>year</w:t>
      </w:r>
      <w:r w:rsidR="00AB1F5C">
        <w:rPr>
          <w:rFonts w:ascii="Helvetica" w:hAnsi="Helvetica" w:cs="Helvetica"/>
        </w:rPr>
        <w:t xml:space="preserve"> </w:t>
      </w:r>
      <w:r w:rsidRPr="00B21C5D">
        <w:rPr>
          <w:rFonts w:ascii="Helvetica" w:hAnsi="Helvetica" w:cs="Helvetica"/>
        </w:rPr>
        <w:t>olds has fallen and the population aged 65 and over group has continued to increase.</w:t>
      </w:r>
    </w:p>
    <w:p w14:paraId="14612477" w14:textId="25355428" w:rsidR="006333CE" w:rsidRPr="00860A20" w:rsidRDefault="007E442F" w:rsidP="007E442F">
      <w:pPr>
        <w:keepNext/>
        <w:rPr>
          <w:rFonts w:ascii="Helvetica" w:hAnsi="Helvetica" w:cs="Helvetica"/>
          <w:sz w:val="18"/>
          <w:szCs w:val="18"/>
        </w:rPr>
      </w:pPr>
      <w:r>
        <w:rPr>
          <w:rFonts w:ascii="Helvetica" w:hAnsi="Helvetica" w:cs="Helvetica"/>
          <w:bCs/>
          <w:sz w:val="18"/>
          <w:szCs w:val="18"/>
        </w:rPr>
        <w:t xml:space="preserve"> </w:t>
      </w:r>
      <w:r w:rsidR="00EE4059">
        <w:rPr>
          <w:rFonts w:ascii="Helvetica" w:hAnsi="Helvetica" w:cs="Helvetica"/>
          <w:bCs/>
          <w:sz w:val="18"/>
          <w:szCs w:val="18"/>
        </w:rPr>
        <w:tab/>
      </w:r>
      <w:r w:rsidR="00EE4059">
        <w:rPr>
          <w:rFonts w:ascii="Helvetica" w:hAnsi="Helvetica" w:cs="Helvetica"/>
          <w:bCs/>
          <w:sz w:val="18"/>
          <w:szCs w:val="18"/>
        </w:rPr>
        <w:tab/>
      </w:r>
      <w:r w:rsidR="00EE4059">
        <w:rPr>
          <w:rFonts w:ascii="Helvetica" w:hAnsi="Helvetica" w:cs="Helvetica"/>
          <w:bCs/>
          <w:sz w:val="18"/>
          <w:szCs w:val="18"/>
        </w:rPr>
        <w:tab/>
      </w:r>
      <w:r w:rsidR="005B30D5" w:rsidRPr="005B30D5">
        <w:rPr>
          <w:rFonts w:ascii="Helvetica" w:hAnsi="Helvetica" w:cs="Helvetica"/>
          <w:bCs/>
          <w:sz w:val="18"/>
          <w:szCs w:val="18"/>
        </w:rPr>
        <w:t>Table 1 Population by age group in 2001, 201</w:t>
      </w:r>
      <w:r w:rsidR="00B21C5D">
        <w:rPr>
          <w:rFonts w:ascii="Helvetica" w:hAnsi="Helvetica" w:cs="Helvetica"/>
          <w:bCs/>
          <w:sz w:val="18"/>
          <w:szCs w:val="18"/>
        </w:rPr>
        <w:t>2</w:t>
      </w:r>
      <w:r w:rsidR="005B30D5" w:rsidRPr="005B30D5">
        <w:rPr>
          <w:rFonts w:ascii="Helvetica" w:hAnsi="Helvetica" w:cs="Helvetica"/>
          <w:bCs/>
          <w:sz w:val="18"/>
          <w:szCs w:val="18"/>
        </w:rPr>
        <w:t xml:space="preserve"> and 20</w:t>
      </w:r>
      <w:r w:rsidR="003201DD">
        <w:rPr>
          <w:rFonts w:ascii="Helvetica" w:hAnsi="Helvetica" w:cs="Helvetica"/>
          <w:bCs/>
          <w:sz w:val="18"/>
          <w:szCs w:val="18"/>
        </w:rPr>
        <w:t>2</w:t>
      </w:r>
      <w:r w:rsidR="00B21C5D">
        <w:rPr>
          <w:rFonts w:ascii="Helvetica" w:hAnsi="Helvetica" w:cs="Helvetica"/>
          <w:bCs/>
          <w:sz w:val="18"/>
          <w:szCs w:val="18"/>
        </w:rPr>
        <w:t>2</w:t>
      </w:r>
    </w:p>
    <w:tbl>
      <w:tblPr>
        <w:tblStyle w:val="TableGrid"/>
        <w:tblpPr w:leftFromText="180" w:rightFromText="180" w:vertAnchor="text" w:horzAnchor="margin" w:tblpY="37"/>
        <w:tblW w:w="9654" w:type="dxa"/>
        <w:tblLayout w:type="fixed"/>
        <w:tblLook w:val="0020" w:firstRow="1" w:lastRow="0" w:firstColumn="0" w:lastColumn="0" w:noHBand="0" w:noVBand="0"/>
        <w:tblCaption w:val="Table 1 Population by age group in 2001, 2012 and 2022"/>
        <w:tblDescription w:val="Table 1 shows changes as a proportion of the population in each of the three age groups. "/>
      </w:tblPr>
      <w:tblGrid>
        <w:gridCol w:w="2413"/>
        <w:gridCol w:w="2414"/>
        <w:gridCol w:w="2413"/>
        <w:gridCol w:w="2414"/>
      </w:tblGrid>
      <w:tr w:rsidR="00A037C5" w:rsidRPr="00860A20" w14:paraId="2783BCDE" w14:textId="77777777" w:rsidTr="009E33F7">
        <w:trPr>
          <w:trHeight w:val="20"/>
        </w:trPr>
        <w:tc>
          <w:tcPr>
            <w:tcW w:w="2413" w:type="dxa"/>
            <w:noWrap/>
          </w:tcPr>
          <w:p w14:paraId="6DC0A180" w14:textId="77777777" w:rsidR="006333CE" w:rsidRPr="00860A20" w:rsidRDefault="006333CE" w:rsidP="007E442F">
            <w:pPr>
              <w:rPr>
                <w:rFonts w:ascii="Helvetica" w:eastAsia="Arial Unicode MS" w:hAnsi="Helvetica" w:cs="Helvetica"/>
                <w:b/>
                <w:bCs/>
              </w:rPr>
            </w:pPr>
            <w:r w:rsidRPr="00860A20">
              <w:rPr>
                <w:rFonts w:ascii="Helvetica" w:eastAsia="Arial Unicode MS" w:hAnsi="Helvetica" w:cs="Helvetica"/>
                <w:b/>
                <w:bCs/>
              </w:rPr>
              <w:t>Age group</w:t>
            </w:r>
          </w:p>
        </w:tc>
        <w:tc>
          <w:tcPr>
            <w:tcW w:w="2414" w:type="dxa"/>
            <w:noWrap/>
          </w:tcPr>
          <w:p w14:paraId="12009527" w14:textId="77777777" w:rsidR="006333CE" w:rsidRPr="00860A20" w:rsidRDefault="006333CE" w:rsidP="007E442F">
            <w:pPr>
              <w:rPr>
                <w:rFonts w:ascii="Helvetica" w:eastAsia="Arial Unicode MS" w:hAnsi="Helvetica" w:cs="Helvetica"/>
                <w:b/>
                <w:bCs/>
              </w:rPr>
            </w:pPr>
            <w:r w:rsidRPr="00860A20">
              <w:rPr>
                <w:rFonts w:ascii="Helvetica" w:eastAsia="Arial Unicode MS" w:hAnsi="Helvetica" w:cs="Helvetica"/>
                <w:b/>
                <w:bCs/>
              </w:rPr>
              <w:t>Proportion population 2001</w:t>
            </w:r>
          </w:p>
        </w:tc>
        <w:tc>
          <w:tcPr>
            <w:tcW w:w="2413" w:type="dxa"/>
            <w:noWrap/>
          </w:tcPr>
          <w:p w14:paraId="3B66B124" w14:textId="5DB763D2" w:rsidR="006333CE" w:rsidRPr="00860A20" w:rsidRDefault="006333CE" w:rsidP="007E442F">
            <w:pPr>
              <w:rPr>
                <w:rFonts w:ascii="Helvetica" w:eastAsia="Arial Unicode MS" w:hAnsi="Helvetica" w:cs="Helvetica"/>
                <w:b/>
                <w:bCs/>
              </w:rPr>
            </w:pPr>
            <w:r w:rsidRPr="00860A20">
              <w:rPr>
                <w:rFonts w:ascii="Helvetica" w:eastAsia="Arial Unicode MS" w:hAnsi="Helvetica" w:cs="Helvetica"/>
                <w:b/>
                <w:bCs/>
              </w:rPr>
              <w:t>Proportion population 201</w:t>
            </w:r>
            <w:r w:rsidR="00B21C5D">
              <w:rPr>
                <w:rFonts w:ascii="Helvetica" w:eastAsia="Arial Unicode MS" w:hAnsi="Helvetica" w:cs="Helvetica"/>
                <w:b/>
                <w:bCs/>
              </w:rPr>
              <w:t>2</w:t>
            </w:r>
            <w:r w:rsidRPr="00860A20">
              <w:rPr>
                <w:rFonts w:ascii="Helvetica" w:eastAsia="Arial Unicode MS" w:hAnsi="Helvetica" w:cs="Helvetica"/>
                <w:b/>
                <w:bCs/>
              </w:rPr>
              <w:t xml:space="preserve"> </w:t>
            </w:r>
          </w:p>
        </w:tc>
        <w:tc>
          <w:tcPr>
            <w:tcW w:w="2414" w:type="dxa"/>
            <w:noWrap/>
          </w:tcPr>
          <w:p w14:paraId="6DA67FDA" w14:textId="65F7F6D0" w:rsidR="006333CE" w:rsidRPr="00860A20" w:rsidRDefault="005B30D5" w:rsidP="007E442F">
            <w:pPr>
              <w:rPr>
                <w:rFonts w:ascii="Helvetica" w:eastAsia="Arial Unicode MS" w:hAnsi="Helvetica" w:cs="Helvetica"/>
                <w:b/>
                <w:bCs/>
                <w:highlight w:val="yellow"/>
              </w:rPr>
            </w:pPr>
            <w:r w:rsidRPr="005B30D5">
              <w:rPr>
                <w:rFonts w:ascii="Helvetica" w:eastAsia="Arial Unicode MS" w:hAnsi="Helvetica" w:cs="Helvetica"/>
                <w:b/>
                <w:bCs/>
              </w:rPr>
              <w:t>Proportion population 202</w:t>
            </w:r>
            <w:r w:rsidR="00B21C5D">
              <w:rPr>
                <w:rFonts w:ascii="Helvetica" w:eastAsia="Arial Unicode MS" w:hAnsi="Helvetica" w:cs="Helvetica"/>
                <w:b/>
                <w:bCs/>
              </w:rPr>
              <w:t>2</w:t>
            </w:r>
          </w:p>
        </w:tc>
      </w:tr>
      <w:tr w:rsidR="006333CE" w:rsidRPr="00860A20" w14:paraId="4670A0B2" w14:textId="77777777" w:rsidTr="009E33F7">
        <w:trPr>
          <w:trHeight w:val="20"/>
        </w:trPr>
        <w:tc>
          <w:tcPr>
            <w:tcW w:w="2413" w:type="dxa"/>
            <w:noWrap/>
          </w:tcPr>
          <w:p w14:paraId="03F14F11" w14:textId="77777777" w:rsidR="006333CE" w:rsidRPr="00860A20" w:rsidRDefault="006333CE" w:rsidP="007E442F">
            <w:pPr>
              <w:spacing w:before="60" w:after="60"/>
              <w:rPr>
                <w:rFonts w:ascii="Helvetica" w:eastAsia="Arial Unicode MS" w:hAnsi="Helvetica" w:cs="Helvetica"/>
              </w:rPr>
            </w:pPr>
            <w:r w:rsidRPr="00860A20">
              <w:rPr>
                <w:rFonts w:ascii="Helvetica" w:eastAsia="Arial Unicode MS" w:hAnsi="Helvetica" w:cs="Helvetica"/>
              </w:rPr>
              <w:t>0-18</w:t>
            </w:r>
          </w:p>
        </w:tc>
        <w:tc>
          <w:tcPr>
            <w:tcW w:w="2414" w:type="dxa"/>
            <w:noWrap/>
          </w:tcPr>
          <w:p w14:paraId="5B72FE6A"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26.6%</w:t>
            </w:r>
          </w:p>
        </w:tc>
        <w:tc>
          <w:tcPr>
            <w:tcW w:w="2413" w:type="dxa"/>
            <w:noWrap/>
          </w:tcPr>
          <w:p w14:paraId="65970E09"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24.5%</w:t>
            </w:r>
          </w:p>
        </w:tc>
        <w:tc>
          <w:tcPr>
            <w:tcW w:w="2414" w:type="dxa"/>
            <w:noWrap/>
          </w:tcPr>
          <w:p w14:paraId="6F024DD4" w14:textId="45A343CF" w:rsidR="006333CE" w:rsidRPr="00860A20" w:rsidRDefault="006333CE" w:rsidP="007E442F">
            <w:pPr>
              <w:spacing w:before="60" w:after="60"/>
              <w:rPr>
                <w:rFonts w:ascii="Helvetica" w:eastAsia="Arial Unicode MS" w:hAnsi="Helvetica" w:cs="Helvetica"/>
                <w:highlight w:val="yellow"/>
              </w:rPr>
            </w:pPr>
            <w:r w:rsidRPr="00860A20">
              <w:rPr>
                <w:rFonts w:ascii="Helvetica" w:hAnsi="Helvetica" w:cs="Helvetica"/>
              </w:rPr>
              <w:t>2</w:t>
            </w:r>
            <w:r w:rsidR="003201DD">
              <w:rPr>
                <w:rFonts w:ascii="Helvetica" w:hAnsi="Helvetica" w:cs="Helvetica"/>
              </w:rPr>
              <w:t>3</w:t>
            </w:r>
            <w:r w:rsidRPr="00860A20">
              <w:rPr>
                <w:rFonts w:ascii="Helvetica" w:hAnsi="Helvetica" w:cs="Helvetica"/>
              </w:rPr>
              <w:t>.</w:t>
            </w:r>
            <w:r w:rsidR="003201DD">
              <w:rPr>
                <w:rFonts w:ascii="Helvetica" w:hAnsi="Helvetica" w:cs="Helvetica"/>
              </w:rPr>
              <w:t>9</w:t>
            </w:r>
            <w:r w:rsidRPr="00860A20">
              <w:rPr>
                <w:rFonts w:ascii="Helvetica" w:hAnsi="Helvetica" w:cs="Helvetica"/>
              </w:rPr>
              <w:t>%</w:t>
            </w:r>
          </w:p>
        </w:tc>
      </w:tr>
      <w:tr w:rsidR="006333CE" w:rsidRPr="00860A20" w14:paraId="7ABB0D14" w14:textId="77777777" w:rsidTr="009E33F7">
        <w:trPr>
          <w:trHeight w:val="20"/>
        </w:trPr>
        <w:tc>
          <w:tcPr>
            <w:tcW w:w="2413" w:type="dxa"/>
            <w:noWrap/>
          </w:tcPr>
          <w:p w14:paraId="69D1AF0B" w14:textId="77777777" w:rsidR="006333CE" w:rsidRPr="00860A20" w:rsidRDefault="006333CE" w:rsidP="007E442F">
            <w:pPr>
              <w:spacing w:before="60" w:after="60"/>
              <w:rPr>
                <w:rFonts w:ascii="Helvetica" w:eastAsia="Arial Unicode MS" w:hAnsi="Helvetica" w:cs="Helvetica"/>
              </w:rPr>
            </w:pPr>
            <w:r w:rsidRPr="00860A20">
              <w:rPr>
                <w:rFonts w:ascii="Helvetica" w:eastAsia="Arial Unicode MS" w:hAnsi="Helvetica" w:cs="Helvetica"/>
              </w:rPr>
              <w:t>19-64</w:t>
            </w:r>
          </w:p>
        </w:tc>
        <w:tc>
          <w:tcPr>
            <w:tcW w:w="2414" w:type="dxa"/>
            <w:noWrap/>
          </w:tcPr>
          <w:p w14:paraId="2C3525CB"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60.7%</w:t>
            </w:r>
          </w:p>
        </w:tc>
        <w:tc>
          <w:tcPr>
            <w:tcW w:w="2413" w:type="dxa"/>
            <w:noWrap/>
          </w:tcPr>
          <w:p w14:paraId="0DF7ACB3"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61.5%</w:t>
            </w:r>
          </w:p>
        </w:tc>
        <w:tc>
          <w:tcPr>
            <w:tcW w:w="2414" w:type="dxa"/>
            <w:noWrap/>
          </w:tcPr>
          <w:p w14:paraId="71A8FB3B" w14:textId="6F63C259" w:rsidR="006333CE" w:rsidRPr="00860A20" w:rsidRDefault="005B30D5" w:rsidP="007E442F">
            <w:pPr>
              <w:spacing w:before="60" w:after="60"/>
              <w:rPr>
                <w:rFonts w:ascii="Helvetica" w:eastAsia="Arial Unicode MS" w:hAnsi="Helvetica" w:cs="Helvetica"/>
                <w:highlight w:val="yellow"/>
              </w:rPr>
            </w:pPr>
            <w:r>
              <w:rPr>
                <w:rFonts w:ascii="Helvetica" w:hAnsi="Helvetica" w:cs="Helvetica"/>
              </w:rPr>
              <w:t>59.</w:t>
            </w:r>
            <w:r w:rsidR="003201DD">
              <w:rPr>
                <w:rFonts w:ascii="Helvetica" w:hAnsi="Helvetica" w:cs="Helvetica"/>
              </w:rPr>
              <w:t>6</w:t>
            </w:r>
            <w:r w:rsidR="006333CE" w:rsidRPr="00860A20">
              <w:rPr>
                <w:rFonts w:ascii="Helvetica" w:hAnsi="Helvetica" w:cs="Helvetica"/>
              </w:rPr>
              <w:t>%</w:t>
            </w:r>
          </w:p>
        </w:tc>
      </w:tr>
      <w:tr w:rsidR="006333CE" w:rsidRPr="00860A20" w14:paraId="05BBB946" w14:textId="77777777" w:rsidTr="009E33F7">
        <w:trPr>
          <w:trHeight w:val="20"/>
        </w:trPr>
        <w:tc>
          <w:tcPr>
            <w:tcW w:w="2413" w:type="dxa"/>
            <w:noWrap/>
          </w:tcPr>
          <w:p w14:paraId="74F1A1D6" w14:textId="77777777" w:rsidR="006333CE" w:rsidRPr="00860A20" w:rsidRDefault="006333CE" w:rsidP="007E442F">
            <w:pPr>
              <w:spacing w:before="60" w:after="60"/>
              <w:rPr>
                <w:rFonts w:ascii="Helvetica" w:eastAsia="Arial Unicode MS" w:hAnsi="Helvetica" w:cs="Helvetica"/>
              </w:rPr>
            </w:pPr>
            <w:r w:rsidRPr="00860A20">
              <w:rPr>
                <w:rFonts w:ascii="Helvetica" w:eastAsia="Arial Unicode MS" w:hAnsi="Helvetica" w:cs="Helvetica"/>
              </w:rPr>
              <w:t>65 and over</w:t>
            </w:r>
          </w:p>
        </w:tc>
        <w:tc>
          <w:tcPr>
            <w:tcW w:w="2414" w:type="dxa"/>
            <w:noWrap/>
          </w:tcPr>
          <w:p w14:paraId="74DA8C65"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12.6%</w:t>
            </w:r>
          </w:p>
        </w:tc>
        <w:tc>
          <w:tcPr>
            <w:tcW w:w="2413" w:type="dxa"/>
            <w:noWrap/>
          </w:tcPr>
          <w:p w14:paraId="7F48F00E" w14:textId="77777777" w:rsidR="006333CE" w:rsidRPr="00860A20" w:rsidRDefault="006333CE" w:rsidP="007E442F">
            <w:pPr>
              <w:spacing w:before="60" w:after="60"/>
              <w:rPr>
                <w:rFonts w:ascii="Helvetica" w:eastAsia="Arial Unicode MS" w:hAnsi="Helvetica" w:cs="Helvetica"/>
              </w:rPr>
            </w:pPr>
            <w:r w:rsidRPr="00860A20">
              <w:rPr>
                <w:rFonts w:ascii="Helvetica" w:hAnsi="Helvetica" w:cs="Helvetica"/>
              </w:rPr>
              <w:t>14.3%</w:t>
            </w:r>
          </w:p>
        </w:tc>
        <w:tc>
          <w:tcPr>
            <w:tcW w:w="2414" w:type="dxa"/>
            <w:noWrap/>
          </w:tcPr>
          <w:p w14:paraId="2C2E428C" w14:textId="31D699A0" w:rsidR="006333CE" w:rsidRPr="00860A20" w:rsidRDefault="006333CE" w:rsidP="007E442F">
            <w:pPr>
              <w:spacing w:before="60" w:after="60"/>
              <w:rPr>
                <w:rFonts w:ascii="Helvetica" w:eastAsia="Arial Unicode MS" w:hAnsi="Helvetica" w:cs="Helvetica"/>
                <w:highlight w:val="yellow"/>
              </w:rPr>
            </w:pPr>
            <w:r w:rsidRPr="00860A20">
              <w:rPr>
                <w:rFonts w:ascii="Helvetica" w:hAnsi="Helvetica" w:cs="Helvetica"/>
              </w:rPr>
              <w:t>1</w:t>
            </w:r>
            <w:r w:rsidR="005B30D5">
              <w:rPr>
                <w:rFonts w:ascii="Helvetica" w:hAnsi="Helvetica" w:cs="Helvetica"/>
              </w:rPr>
              <w:t>6</w:t>
            </w:r>
            <w:r w:rsidRPr="00860A20">
              <w:rPr>
                <w:rFonts w:ascii="Helvetica" w:hAnsi="Helvetica" w:cs="Helvetica"/>
              </w:rPr>
              <w:t>.</w:t>
            </w:r>
            <w:r w:rsidR="003201DD">
              <w:rPr>
                <w:rFonts w:ascii="Helvetica" w:hAnsi="Helvetica" w:cs="Helvetica"/>
              </w:rPr>
              <w:t>5</w:t>
            </w:r>
            <w:r w:rsidRPr="00860A20">
              <w:rPr>
                <w:rFonts w:ascii="Helvetica" w:hAnsi="Helvetica" w:cs="Helvetica"/>
              </w:rPr>
              <w:t>%</w:t>
            </w:r>
          </w:p>
        </w:tc>
      </w:tr>
    </w:tbl>
    <w:p w14:paraId="02549835" w14:textId="138CF127" w:rsidR="00596582" w:rsidRDefault="00EE4059" w:rsidP="00EE4059">
      <w:pPr>
        <w:tabs>
          <w:tab w:val="center" w:pos="1080"/>
          <w:tab w:val="right" w:pos="9000"/>
        </w:tabs>
        <w:rPr>
          <w:rFonts w:ascii="Helvetica" w:hAnsi="Helvetica" w:cs="Helvetica"/>
          <w:sz w:val="18"/>
          <w:szCs w:val="18"/>
        </w:rPr>
      </w:pPr>
      <w:r>
        <w:rPr>
          <w:rFonts w:ascii="Helvetica" w:hAnsi="Helvetica" w:cs="Helvetica"/>
          <w:sz w:val="18"/>
          <w:szCs w:val="18"/>
        </w:rPr>
        <w:tab/>
        <w:t xml:space="preserve">                                                    </w:t>
      </w:r>
      <w:r w:rsidR="00B21C5D" w:rsidRPr="00B21C5D">
        <w:rPr>
          <w:rFonts w:ascii="Helvetica" w:hAnsi="Helvetica" w:cs="Helvetica"/>
          <w:sz w:val="18"/>
          <w:szCs w:val="18"/>
        </w:rPr>
        <w:t>Source: Census 2001, Mid-Year 2012 and 2022</w:t>
      </w:r>
    </w:p>
    <w:p w14:paraId="5834BE4F" w14:textId="77777777" w:rsidR="00893DBF" w:rsidRDefault="00893DBF" w:rsidP="009E33F7">
      <w:pPr>
        <w:tabs>
          <w:tab w:val="center" w:pos="1080"/>
          <w:tab w:val="right" w:pos="9000"/>
        </w:tabs>
        <w:jc w:val="center"/>
      </w:pPr>
    </w:p>
    <w:p w14:paraId="31D1C0D8" w14:textId="209617AE" w:rsidR="009E33F7" w:rsidRDefault="00004397" w:rsidP="009E33F7">
      <w:r w:rsidRPr="005B7332">
        <w:t xml:space="preserve">Table 2 </w:t>
      </w:r>
      <w:r w:rsidR="00AB1F5C">
        <w:t xml:space="preserve">below </w:t>
      </w:r>
      <w:r w:rsidRPr="005B7332">
        <w:t>shows Medway’s population over different age groups, and the split by sex for mid-year population estimates 2022.</w:t>
      </w:r>
    </w:p>
    <w:p w14:paraId="128F450F" w14:textId="77777777" w:rsidR="00893DBF" w:rsidRDefault="00893DBF" w:rsidP="009E33F7">
      <w:pPr>
        <w:rPr>
          <w:bCs/>
          <w:sz w:val="18"/>
          <w:szCs w:val="20"/>
        </w:rPr>
      </w:pPr>
    </w:p>
    <w:p w14:paraId="73FEDDB8" w14:textId="243CD423" w:rsidR="000B0804" w:rsidRPr="005B7332" w:rsidRDefault="007A45CE" w:rsidP="007A45CE">
      <w:pPr>
        <w:rPr>
          <w:bCs/>
          <w:sz w:val="18"/>
          <w:szCs w:val="20"/>
        </w:rPr>
      </w:pPr>
      <w:r>
        <w:rPr>
          <w:bCs/>
          <w:sz w:val="18"/>
          <w:szCs w:val="20"/>
        </w:rPr>
        <w:t xml:space="preserve"> </w:t>
      </w:r>
      <w:r w:rsidR="00893DBF">
        <w:rPr>
          <w:bCs/>
          <w:sz w:val="18"/>
          <w:szCs w:val="20"/>
        </w:rPr>
        <w:t xml:space="preserve">           </w:t>
      </w:r>
      <w:r w:rsidR="006333CE" w:rsidRPr="005B7332">
        <w:rPr>
          <w:bCs/>
          <w:sz w:val="18"/>
          <w:szCs w:val="20"/>
        </w:rPr>
        <w:t xml:space="preserve">Table 2 – </w:t>
      </w:r>
      <w:r w:rsidR="003201DD" w:rsidRPr="005B7332">
        <w:rPr>
          <w:bCs/>
          <w:sz w:val="18"/>
          <w:szCs w:val="20"/>
        </w:rPr>
        <w:t xml:space="preserve">Proportion of </w:t>
      </w:r>
      <w:r w:rsidR="00B77218">
        <w:rPr>
          <w:bCs/>
          <w:sz w:val="18"/>
          <w:szCs w:val="20"/>
        </w:rPr>
        <w:t>Medway’s</w:t>
      </w:r>
      <w:r w:rsidR="003201DD" w:rsidRPr="005B7332">
        <w:rPr>
          <w:bCs/>
          <w:sz w:val="18"/>
          <w:szCs w:val="20"/>
        </w:rPr>
        <w:t xml:space="preserve"> population by 5-year age bands and sex (</w:t>
      </w:r>
      <w:r w:rsidR="00004397" w:rsidRPr="005B7332">
        <w:rPr>
          <w:bCs/>
          <w:sz w:val="18"/>
          <w:szCs w:val="20"/>
        </w:rPr>
        <w:t>Mid-Year 2022</w:t>
      </w:r>
      <w:r w:rsidR="003201DD" w:rsidRPr="005B7332">
        <w:rPr>
          <w:bCs/>
          <w:sz w:val="18"/>
          <w:szCs w:val="20"/>
        </w:rPr>
        <w:t>)</w:t>
      </w:r>
    </w:p>
    <w:tbl>
      <w:tblPr>
        <w:tblStyle w:val="TableGrid"/>
        <w:tblpPr w:leftFromText="180" w:rightFromText="180" w:vertAnchor="text" w:horzAnchor="page" w:tblpXSpec="center" w:tblpY="8"/>
        <w:tblW w:w="7366" w:type="dxa"/>
        <w:tblLayout w:type="fixed"/>
        <w:tblLook w:val="0020" w:firstRow="1" w:lastRow="0" w:firstColumn="0" w:lastColumn="0" w:noHBand="0" w:noVBand="0"/>
        <w:tblCaption w:val="Table 2 – Proportion of Medway’s population by 5-year age bands and sex (Mid-Year 2022)"/>
        <w:tblDescription w:val="Table 2 shows Medway’s population over different age groups, and the split by sex for mid-year population estimates 2022. "/>
      </w:tblPr>
      <w:tblGrid>
        <w:gridCol w:w="1841"/>
        <w:gridCol w:w="1842"/>
        <w:gridCol w:w="1841"/>
        <w:gridCol w:w="1842"/>
      </w:tblGrid>
      <w:tr w:rsidR="006333CE" w:rsidRPr="00E64E18" w14:paraId="33CBA8F6" w14:textId="77777777" w:rsidTr="009E33F7">
        <w:trPr>
          <w:trHeight w:val="287"/>
        </w:trPr>
        <w:tc>
          <w:tcPr>
            <w:tcW w:w="1841" w:type="dxa"/>
            <w:noWrap/>
          </w:tcPr>
          <w:p w14:paraId="6F01784D" w14:textId="77777777" w:rsidR="006333CE" w:rsidRPr="005B7332" w:rsidRDefault="006333CE" w:rsidP="00A10914">
            <w:pPr>
              <w:jc w:val="center"/>
              <w:rPr>
                <w:rFonts w:eastAsia="Arial Unicode MS"/>
                <w:b/>
                <w:bCs/>
                <w:sz w:val="20"/>
                <w:szCs w:val="20"/>
                <w:highlight w:val="yellow"/>
              </w:rPr>
            </w:pPr>
            <w:r w:rsidRPr="005B7332">
              <w:rPr>
                <w:sz w:val="20"/>
                <w:szCs w:val="20"/>
              </w:rPr>
              <w:t>Age group</w:t>
            </w:r>
          </w:p>
        </w:tc>
        <w:tc>
          <w:tcPr>
            <w:tcW w:w="1842" w:type="dxa"/>
            <w:noWrap/>
          </w:tcPr>
          <w:p w14:paraId="26711C7B" w14:textId="438BFED9" w:rsidR="006333CE" w:rsidRPr="005B7332" w:rsidRDefault="00E92C99" w:rsidP="00A10914">
            <w:pPr>
              <w:jc w:val="center"/>
              <w:rPr>
                <w:b/>
                <w:bCs/>
                <w:sz w:val="20"/>
                <w:szCs w:val="20"/>
                <w:highlight w:val="yellow"/>
              </w:rPr>
            </w:pPr>
            <w:r w:rsidRPr="005B7332">
              <w:rPr>
                <w:sz w:val="20"/>
                <w:szCs w:val="20"/>
              </w:rPr>
              <w:t>Male</w:t>
            </w:r>
            <w:r w:rsidR="006333CE" w:rsidRPr="005B7332">
              <w:rPr>
                <w:sz w:val="20"/>
                <w:szCs w:val="20"/>
              </w:rPr>
              <w:t xml:space="preserve"> %</w:t>
            </w:r>
          </w:p>
        </w:tc>
        <w:tc>
          <w:tcPr>
            <w:tcW w:w="1841" w:type="dxa"/>
            <w:noWrap/>
          </w:tcPr>
          <w:p w14:paraId="5C5E73EC" w14:textId="5FF1160B" w:rsidR="006333CE" w:rsidRPr="005B7332" w:rsidRDefault="00E92C99" w:rsidP="00A10914">
            <w:pPr>
              <w:jc w:val="center"/>
              <w:rPr>
                <w:b/>
                <w:bCs/>
                <w:sz w:val="20"/>
                <w:szCs w:val="20"/>
                <w:highlight w:val="yellow"/>
              </w:rPr>
            </w:pPr>
            <w:r w:rsidRPr="005B7332">
              <w:rPr>
                <w:sz w:val="20"/>
                <w:szCs w:val="20"/>
              </w:rPr>
              <w:t>Female</w:t>
            </w:r>
            <w:r w:rsidR="006333CE" w:rsidRPr="005B7332">
              <w:rPr>
                <w:sz w:val="20"/>
                <w:szCs w:val="20"/>
              </w:rPr>
              <w:t xml:space="preserve"> %</w:t>
            </w:r>
          </w:p>
        </w:tc>
        <w:tc>
          <w:tcPr>
            <w:tcW w:w="1842" w:type="dxa"/>
            <w:noWrap/>
          </w:tcPr>
          <w:p w14:paraId="2E920B63" w14:textId="77777777" w:rsidR="006333CE" w:rsidRPr="005B7332" w:rsidRDefault="006333CE" w:rsidP="00A10914">
            <w:pPr>
              <w:jc w:val="center"/>
              <w:rPr>
                <w:b/>
                <w:bCs/>
                <w:sz w:val="20"/>
                <w:szCs w:val="20"/>
                <w:highlight w:val="yellow"/>
              </w:rPr>
            </w:pPr>
            <w:r w:rsidRPr="005B7332">
              <w:rPr>
                <w:sz w:val="20"/>
                <w:szCs w:val="20"/>
              </w:rPr>
              <w:t>Total %</w:t>
            </w:r>
          </w:p>
        </w:tc>
      </w:tr>
      <w:tr w:rsidR="006333CE" w:rsidRPr="00E64E18" w14:paraId="7427AF03" w14:textId="77777777" w:rsidTr="009E33F7">
        <w:trPr>
          <w:trHeight w:val="287"/>
        </w:trPr>
        <w:tc>
          <w:tcPr>
            <w:tcW w:w="1841" w:type="dxa"/>
            <w:noWrap/>
          </w:tcPr>
          <w:p w14:paraId="271DB099" w14:textId="77777777" w:rsidR="006333CE" w:rsidRPr="005B7332" w:rsidRDefault="006333CE" w:rsidP="00FF3076">
            <w:pPr>
              <w:jc w:val="center"/>
              <w:rPr>
                <w:rFonts w:eastAsia="Arial Unicode MS"/>
                <w:sz w:val="20"/>
                <w:szCs w:val="20"/>
                <w:highlight w:val="yellow"/>
              </w:rPr>
            </w:pPr>
            <w:r w:rsidRPr="005B7332">
              <w:rPr>
                <w:sz w:val="20"/>
                <w:szCs w:val="20"/>
              </w:rPr>
              <w:t>0-4</w:t>
            </w:r>
          </w:p>
        </w:tc>
        <w:tc>
          <w:tcPr>
            <w:tcW w:w="1842" w:type="dxa"/>
            <w:noWrap/>
          </w:tcPr>
          <w:p w14:paraId="390C9F25" w14:textId="1429B73A" w:rsidR="006333CE" w:rsidRPr="005B7332" w:rsidRDefault="00393523" w:rsidP="00FF3076">
            <w:pPr>
              <w:jc w:val="center"/>
              <w:rPr>
                <w:color w:val="000000"/>
                <w:sz w:val="20"/>
                <w:szCs w:val="20"/>
              </w:rPr>
            </w:pPr>
            <w:r w:rsidRPr="005B7332">
              <w:rPr>
                <w:color w:val="000000"/>
                <w:sz w:val="20"/>
                <w:szCs w:val="20"/>
              </w:rPr>
              <w:t>3.</w:t>
            </w:r>
            <w:r w:rsidR="00004397" w:rsidRPr="005B7332">
              <w:rPr>
                <w:color w:val="000000"/>
                <w:sz w:val="20"/>
                <w:szCs w:val="20"/>
              </w:rPr>
              <w:t>1</w:t>
            </w:r>
          </w:p>
        </w:tc>
        <w:tc>
          <w:tcPr>
            <w:tcW w:w="1841" w:type="dxa"/>
            <w:noWrap/>
          </w:tcPr>
          <w:p w14:paraId="344225CF" w14:textId="48083620" w:rsidR="006333CE" w:rsidRPr="005B7332" w:rsidRDefault="006333CE" w:rsidP="00FF3076">
            <w:pPr>
              <w:jc w:val="center"/>
              <w:rPr>
                <w:color w:val="000000"/>
                <w:sz w:val="20"/>
                <w:szCs w:val="20"/>
              </w:rPr>
            </w:pPr>
            <w:r w:rsidRPr="005B7332">
              <w:rPr>
                <w:color w:val="000000"/>
                <w:sz w:val="20"/>
                <w:szCs w:val="20"/>
              </w:rPr>
              <w:t>3.</w:t>
            </w:r>
            <w:r w:rsidR="00004397" w:rsidRPr="005B7332">
              <w:rPr>
                <w:color w:val="000000"/>
                <w:sz w:val="20"/>
                <w:szCs w:val="20"/>
              </w:rPr>
              <w:t>0</w:t>
            </w:r>
          </w:p>
        </w:tc>
        <w:tc>
          <w:tcPr>
            <w:tcW w:w="1842" w:type="dxa"/>
            <w:noWrap/>
          </w:tcPr>
          <w:p w14:paraId="68B14818" w14:textId="7A04FEFD" w:rsidR="006333CE" w:rsidRPr="005B7332" w:rsidRDefault="00393523" w:rsidP="00FF3076">
            <w:pPr>
              <w:jc w:val="center"/>
              <w:rPr>
                <w:color w:val="000000"/>
                <w:sz w:val="20"/>
                <w:szCs w:val="20"/>
              </w:rPr>
            </w:pPr>
            <w:r w:rsidRPr="005B7332">
              <w:rPr>
                <w:color w:val="000000"/>
                <w:sz w:val="20"/>
                <w:szCs w:val="20"/>
              </w:rPr>
              <w:t>6</w:t>
            </w:r>
            <w:r w:rsidR="006333CE" w:rsidRPr="005B7332">
              <w:rPr>
                <w:color w:val="000000"/>
                <w:sz w:val="20"/>
                <w:szCs w:val="20"/>
              </w:rPr>
              <w:t>.</w:t>
            </w:r>
            <w:r w:rsidR="00004397" w:rsidRPr="005B7332">
              <w:rPr>
                <w:color w:val="000000"/>
                <w:sz w:val="20"/>
                <w:szCs w:val="20"/>
              </w:rPr>
              <w:t>1</w:t>
            </w:r>
          </w:p>
        </w:tc>
      </w:tr>
      <w:tr w:rsidR="006333CE" w:rsidRPr="00E64E18" w14:paraId="101878CC" w14:textId="77777777" w:rsidTr="009E33F7">
        <w:trPr>
          <w:trHeight w:val="287"/>
        </w:trPr>
        <w:tc>
          <w:tcPr>
            <w:tcW w:w="1841" w:type="dxa"/>
            <w:noWrap/>
          </w:tcPr>
          <w:p w14:paraId="3171EE51" w14:textId="77777777" w:rsidR="006333CE" w:rsidRPr="005B7332" w:rsidRDefault="006333CE" w:rsidP="00FF3076">
            <w:pPr>
              <w:jc w:val="center"/>
              <w:rPr>
                <w:sz w:val="20"/>
                <w:szCs w:val="20"/>
              </w:rPr>
            </w:pPr>
            <w:r w:rsidRPr="005B7332">
              <w:rPr>
                <w:sz w:val="20"/>
                <w:szCs w:val="20"/>
              </w:rPr>
              <w:t>5-9</w:t>
            </w:r>
          </w:p>
        </w:tc>
        <w:tc>
          <w:tcPr>
            <w:tcW w:w="1842" w:type="dxa"/>
            <w:noWrap/>
          </w:tcPr>
          <w:p w14:paraId="7AD06660" w14:textId="0C8F4556" w:rsidR="006333CE" w:rsidRPr="005B7332" w:rsidRDefault="00393523" w:rsidP="00FF3076">
            <w:pPr>
              <w:jc w:val="center"/>
              <w:rPr>
                <w:color w:val="000000"/>
                <w:sz w:val="20"/>
                <w:szCs w:val="20"/>
              </w:rPr>
            </w:pPr>
            <w:r w:rsidRPr="005B7332">
              <w:rPr>
                <w:color w:val="000000"/>
                <w:sz w:val="20"/>
                <w:szCs w:val="20"/>
              </w:rPr>
              <w:t>3.</w:t>
            </w:r>
            <w:r w:rsidR="00004397" w:rsidRPr="005B7332">
              <w:rPr>
                <w:color w:val="000000"/>
                <w:sz w:val="20"/>
                <w:szCs w:val="20"/>
              </w:rPr>
              <w:t>3</w:t>
            </w:r>
          </w:p>
        </w:tc>
        <w:tc>
          <w:tcPr>
            <w:tcW w:w="1841" w:type="dxa"/>
            <w:noWrap/>
          </w:tcPr>
          <w:p w14:paraId="27F45F9F" w14:textId="5BCFFEE7" w:rsidR="006333CE" w:rsidRPr="005B7332" w:rsidRDefault="006333CE" w:rsidP="00FF3076">
            <w:pPr>
              <w:jc w:val="center"/>
              <w:rPr>
                <w:color w:val="000000"/>
                <w:sz w:val="20"/>
                <w:szCs w:val="20"/>
              </w:rPr>
            </w:pPr>
            <w:r w:rsidRPr="005B7332">
              <w:rPr>
                <w:color w:val="000000"/>
                <w:sz w:val="20"/>
                <w:szCs w:val="20"/>
              </w:rPr>
              <w:t>3.</w:t>
            </w:r>
            <w:r w:rsidR="00004397" w:rsidRPr="005B7332">
              <w:rPr>
                <w:color w:val="000000"/>
                <w:sz w:val="20"/>
                <w:szCs w:val="20"/>
              </w:rPr>
              <w:t>2</w:t>
            </w:r>
          </w:p>
        </w:tc>
        <w:tc>
          <w:tcPr>
            <w:tcW w:w="1842" w:type="dxa"/>
            <w:noWrap/>
          </w:tcPr>
          <w:p w14:paraId="65051C38" w14:textId="075F3A62" w:rsidR="006333CE" w:rsidRPr="005B7332" w:rsidRDefault="00E1111D" w:rsidP="00FF3076">
            <w:pPr>
              <w:jc w:val="center"/>
              <w:rPr>
                <w:color w:val="000000"/>
                <w:sz w:val="20"/>
                <w:szCs w:val="20"/>
              </w:rPr>
            </w:pPr>
            <w:r w:rsidRPr="005B7332">
              <w:rPr>
                <w:color w:val="000000"/>
                <w:sz w:val="20"/>
                <w:szCs w:val="20"/>
              </w:rPr>
              <w:t>6.</w:t>
            </w:r>
            <w:r w:rsidR="00837A67" w:rsidRPr="005B7332">
              <w:rPr>
                <w:color w:val="000000"/>
                <w:sz w:val="20"/>
                <w:szCs w:val="20"/>
              </w:rPr>
              <w:t>6</w:t>
            </w:r>
          </w:p>
        </w:tc>
      </w:tr>
      <w:tr w:rsidR="006333CE" w:rsidRPr="00E64E18" w14:paraId="72C7BD6B" w14:textId="77777777" w:rsidTr="009E33F7">
        <w:trPr>
          <w:trHeight w:val="287"/>
        </w:trPr>
        <w:tc>
          <w:tcPr>
            <w:tcW w:w="1841" w:type="dxa"/>
            <w:noWrap/>
          </w:tcPr>
          <w:p w14:paraId="15DEE588" w14:textId="77777777" w:rsidR="006333CE" w:rsidRPr="005B7332" w:rsidRDefault="006333CE" w:rsidP="00FF3076">
            <w:pPr>
              <w:jc w:val="center"/>
              <w:rPr>
                <w:rFonts w:eastAsia="Arial Unicode MS"/>
                <w:sz w:val="20"/>
                <w:szCs w:val="20"/>
                <w:highlight w:val="yellow"/>
              </w:rPr>
            </w:pPr>
            <w:r w:rsidRPr="005B7332">
              <w:rPr>
                <w:sz w:val="20"/>
                <w:szCs w:val="20"/>
              </w:rPr>
              <w:t>10-14</w:t>
            </w:r>
          </w:p>
        </w:tc>
        <w:tc>
          <w:tcPr>
            <w:tcW w:w="1842" w:type="dxa"/>
            <w:noWrap/>
          </w:tcPr>
          <w:p w14:paraId="23184775" w14:textId="3E9C90AF" w:rsidR="006333CE" w:rsidRPr="005B7332" w:rsidRDefault="00E1111D" w:rsidP="00FF3076">
            <w:pPr>
              <w:jc w:val="center"/>
              <w:rPr>
                <w:color w:val="000000"/>
                <w:sz w:val="20"/>
                <w:szCs w:val="20"/>
              </w:rPr>
            </w:pPr>
            <w:r w:rsidRPr="005B7332">
              <w:rPr>
                <w:color w:val="000000"/>
                <w:sz w:val="20"/>
                <w:szCs w:val="20"/>
              </w:rPr>
              <w:t>3.</w:t>
            </w:r>
            <w:r w:rsidR="00004397" w:rsidRPr="005B7332">
              <w:rPr>
                <w:color w:val="000000"/>
                <w:sz w:val="20"/>
                <w:szCs w:val="20"/>
              </w:rPr>
              <w:t>4</w:t>
            </w:r>
          </w:p>
        </w:tc>
        <w:tc>
          <w:tcPr>
            <w:tcW w:w="1841" w:type="dxa"/>
            <w:noWrap/>
          </w:tcPr>
          <w:p w14:paraId="757A1E0E" w14:textId="72EE94CE" w:rsidR="006333CE" w:rsidRPr="005B7332" w:rsidRDefault="006333CE" w:rsidP="00FF3076">
            <w:pPr>
              <w:jc w:val="center"/>
              <w:rPr>
                <w:color w:val="000000"/>
                <w:sz w:val="20"/>
                <w:szCs w:val="20"/>
              </w:rPr>
            </w:pPr>
            <w:r w:rsidRPr="005B7332">
              <w:rPr>
                <w:color w:val="000000"/>
                <w:sz w:val="20"/>
                <w:szCs w:val="20"/>
              </w:rPr>
              <w:t>3.</w:t>
            </w:r>
            <w:r w:rsidR="00837A67" w:rsidRPr="005B7332">
              <w:rPr>
                <w:color w:val="000000"/>
                <w:sz w:val="20"/>
                <w:szCs w:val="20"/>
              </w:rPr>
              <w:t>3</w:t>
            </w:r>
          </w:p>
        </w:tc>
        <w:tc>
          <w:tcPr>
            <w:tcW w:w="1842" w:type="dxa"/>
            <w:noWrap/>
          </w:tcPr>
          <w:p w14:paraId="68DFF505" w14:textId="3258D9F0" w:rsidR="006333CE" w:rsidRPr="005B7332" w:rsidRDefault="00E1111D" w:rsidP="00FF3076">
            <w:pPr>
              <w:jc w:val="center"/>
              <w:rPr>
                <w:color w:val="000000"/>
                <w:sz w:val="20"/>
                <w:szCs w:val="20"/>
              </w:rPr>
            </w:pPr>
            <w:r w:rsidRPr="005B7332">
              <w:rPr>
                <w:color w:val="000000"/>
                <w:sz w:val="20"/>
                <w:szCs w:val="20"/>
              </w:rPr>
              <w:t>6.</w:t>
            </w:r>
            <w:r w:rsidR="00004397" w:rsidRPr="005B7332">
              <w:rPr>
                <w:color w:val="000000"/>
                <w:sz w:val="20"/>
                <w:szCs w:val="20"/>
              </w:rPr>
              <w:t>7</w:t>
            </w:r>
          </w:p>
        </w:tc>
      </w:tr>
      <w:tr w:rsidR="00E1111D" w:rsidRPr="00E64E18" w14:paraId="2A21D16C" w14:textId="77777777" w:rsidTr="009E33F7">
        <w:trPr>
          <w:trHeight w:val="287"/>
        </w:trPr>
        <w:tc>
          <w:tcPr>
            <w:tcW w:w="1841" w:type="dxa"/>
            <w:noWrap/>
          </w:tcPr>
          <w:p w14:paraId="73BAB4B1" w14:textId="77777777" w:rsidR="00E1111D" w:rsidRPr="005B7332" w:rsidRDefault="00E1111D" w:rsidP="00FF3076">
            <w:pPr>
              <w:jc w:val="center"/>
              <w:rPr>
                <w:rFonts w:eastAsia="Arial Unicode MS"/>
                <w:sz w:val="20"/>
                <w:szCs w:val="20"/>
                <w:highlight w:val="yellow"/>
              </w:rPr>
            </w:pPr>
            <w:r w:rsidRPr="005B7332">
              <w:rPr>
                <w:sz w:val="20"/>
                <w:szCs w:val="20"/>
              </w:rPr>
              <w:t>15-19</w:t>
            </w:r>
          </w:p>
        </w:tc>
        <w:tc>
          <w:tcPr>
            <w:tcW w:w="1842" w:type="dxa"/>
            <w:noWrap/>
          </w:tcPr>
          <w:p w14:paraId="5CB2F032" w14:textId="542819F1" w:rsidR="00E1111D" w:rsidRPr="005B7332" w:rsidRDefault="00004397" w:rsidP="00FF3076">
            <w:pPr>
              <w:jc w:val="center"/>
              <w:rPr>
                <w:color w:val="000000"/>
                <w:sz w:val="20"/>
                <w:szCs w:val="20"/>
              </w:rPr>
            </w:pPr>
            <w:r w:rsidRPr="005B7332">
              <w:rPr>
                <w:color w:val="000000"/>
                <w:sz w:val="20"/>
                <w:szCs w:val="20"/>
              </w:rPr>
              <w:t>3</w:t>
            </w:r>
            <w:r w:rsidR="00E1111D" w:rsidRPr="005B7332">
              <w:rPr>
                <w:color w:val="000000"/>
                <w:sz w:val="20"/>
                <w:szCs w:val="20"/>
              </w:rPr>
              <w:t>.</w:t>
            </w:r>
            <w:r w:rsidRPr="005B7332">
              <w:rPr>
                <w:color w:val="000000"/>
                <w:sz w:val="20"/>
                <w:szCs w:val="20"/>
              </w:rPr>
              <w:t>0</w:t>
            </w:r>
          </w:p>
        </w:tc>
        <w:tc>
          <w:tcPr>
            <w:tcW w:w="1841" w:type="dxa"/>
            <w:noWrap/>
          </w:tcPr>
          <w:p w14:paraId="57B59EC8" w14:textId="12D48A4B" w:rsidR="00E1111D" w:rsidRPr="005B7332" w:rsidRDefault="00B17A47" w:rsidP="00FF3076">
            <w:pPr>
              <w:jc w:val="center"/>
              <w:rPr>
                <w:color w:val="000000"/>
                <w:sz w:val="20"/>
                <w:szCs w:val="20"/>
              </w:rPr>
            </w:pPr>
            <w:r w:rsidRPr="005B7332">
              <w:rPr>
                <w:color w:val="000000"/>
                <w:sz w:val="20"/>
                <w:szCs w:val="20"/>
              </w:rPr>
              <w:t>2</w:t>
            </w:r>
            <w:r w:rsidR="00E1111D" w:rsidRPr="005B7332">
              <w:rPr>
                <w:color w:val="000000"/>
                <w:sz w:val="20"/>
                <w:szCs w:val="20"/>
              </w:rPr>
              <w:t>.</w:t>
            </w:r>
            <w:r w:rsidRPr="005B7332">
              <w:rPr>
                <w:color w:val="000000"/>
                <w:sz w:val="20"/>
                <w:szCs w:val="20"/>
              </w:rPr>
              <w:t>9</w:t>
            </w:r>
          </w:p>
        </w:tc>
        <w:tc>
          <w:tcPr>
            <w:tcW w:w="1842" w:type="dxa"/>
            <w:noWrap/>
          </w:tcPr>
          <w:p w14:paraId="6D9938B8" w14:textId="658F1B6E" w:rsidR="00E1111D" w:rsidRPr="005B7332" w:rsidRDefault="00E1111D" w:rsidP="00FF3076">
            <w:pPr>
              <w:jc w:val="center"/>
              <w:rPr>
                <w:color w:val="000000"/>
                <w:sz w:val="20"/>
                <w:szCs w:val="20"/>
              </w:rPr>
            </w:pPr>
            <w:r w:rsidRPr="005B7332">
              <w:rPr>
                <w:color w:val="000000"/>
                <w:sz w:val="20"/>
                <w:szCs w:val="20"/>
              </w:rPr>
              <w:t>5.</w:t>
            </w:r>
            <w:r w:rsidR="00837A67" w:rsidRPr="005B7332">
              <w:rPr>
                <w:color w:val="000000"/>
                <w:sz w:val="20"/>
                <w:szCs w:val="20"/>
              </w:rPr>
              <w:t>8</w:t>
            </w:r>
          </w:p>
        </w:tc>
      </w:tr>
      <w:tr w:rsidR="00E1111D" w:rsidRPr="00E64E18" w14:paraId="638AD4A1" w14:textId="77777777" w:rsidTr="009E33F7">
        <w:trPr>
          <w:trHeight w:val="287"/>
        </w:trPr>
        <w:tc>
          <w:tcPr>
            <w:tcW w:w="1841" w:type="dxa"/>
            <w:noWrap/>
          </w:tcPr>
          <w:p w14:paraId="6E6BE955" w14:textId="77777777" w:rsidR="00E1111D" w:rsidRPr="005B7332" w:rsidRDefault="00E1111D" w:rsidP="00FF3076">
            <w:pPr>
              <w:jc w:val="center"/>
              <w:rPr>
                <w:rFonts w:eastAsia="Arial Unicode MS"/>
                <w:sz w:val="20"/>
                <w:szCs w:val="20"/>
                <w:highlight w:val="yellow"/>
              </w:rPr>
            </w:pPr>
            <w:r w:rsidRPr="005B7332">
              <w:rPr>
                <w:sz w:val="20"/>
                <w:szCs w:val="20"/>
              </w:rPr>
              <w:t>20-24</w:t>
            </w:r>
          </w:p>
        </w:tc>
        <w:tc>
          <w:tcPr>
            <w:tcW w:w="1842" w:type="dxa"/>
            <w:noWrap/>
          </w:tcPr>
          <w:p w14:paraId="3CE35E8F" w14:textId="7ED2A2F5" w:rsidR="00E1111D" w:rsidRPr="005B7332" w:rsidRDefault="00837A67" w:rsidP="00FF3076">
            <w:pPr>
              <w:jc w:val="center"/>
              <w:rPr>
                <w:color w:val="000000"/>
                <w:sz w:val="20"/>
                <w:szCs w:val="20"/>
              </w:rPr>
            </w:pPr>
            <w:r w:rsidRPr="005B7332">
              <w:rPr>
                <w:color w:val="000000"/>
                <w:sz w:val="20"/>
                <w:szCs w:val="20"/>
              </w:rPr>
              <w:t>2</w:t>
            </w:r>
            <w:r w:rsidR="00E1111D" w:rsidRPr="005B7332">
              <w:rPr>
                <w:color w:val="000000"/>
                <w:sz w:val="20"/>
                <w:szCs w:val="20"/>
              </w:rPr>
              <w:t>.</w:t>
            </w:r>
            <w:r w:rsidRPr="005B7332">
              <w:rPr>
                <w:color w:val="000000"/>
                <w:sz w:val="20"/>
                <w:szCs w:val="20"/>
              </w:rPr>
              <w:t>8</w:t>
            </w:r>
          </w:p>
        </w:tc>
        <w:tc>
          <w:tcPr>
            <w:tcW w:w="1841" w:type="dxa"/>
            <w:noWrap/>
          </w:tcPr>
          <w:p w14:paraId="79AF7760" w14:textId="28BBBAB3"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7</w:t>
            </w:r>
          </w:p>
        </w:tc>
        <w:tc>
          <w:tcPr>
            <w:tcW w:w="1842" w:type="dxa"/>
            <w:noWrap/>
          </w:tcPr>
          <w:p w14:paraId="5B839F80" w14:textId="34D3E7F6" w:rsidR="00E1111D" w:rsidRPr="005B7332" w:rsidRDefault="00E1111D" w:rsidP="00FF3076">
            <w:pPr>
              <w:jc w:val="center"/>
              <w:rPr>
                <w:color w:val="000000"/>
                <w:sz w:val="20"/>
                <w:szCs w:val="20"/>
              </w:rPr>
            </w:pPr>
            <w:r w:rsidRPr="005B7332">
              <w:rPr>
                <w:color w:val="000000"/>
                <w:sz w:val="20"/>
                <w:szCs w:val="20"/>
              </w:rPr>
              <w:t>5.</w:t>
            </w:r>
            <w:r w:rsidR="00B17A47" w:rsidRPr="005B7332">
              <w:rPr>
                <w:color w:val="000000"/>
                <w:sz w:val="20"/>
                <w:szCs w:val="20"/>
              </w:rPr>
              <w:t>4</w:t>
            </w:r>
          </w:p>
        </w:tc>
      </w:tr>
      <w:tr w:rsidR="00E1111D" w:rsidRPr="00E64E18" w14:paraId="4FD88105" w14:textId="77777777" w:rsidTr="009E33F7">
        <w:trPr>
          <w:trHeight w:val="287"/>
        </w:trPr>
        <w:tc>
          <w:tcPr>
            <w:tcW w:w="1841" w:type="dxa"/>
            <w:noWrap/>
          </w:tcPr>
          <w:p w14:paraId="600C0A3D" w14:textId="77777777" w:rsidR="00E1111D" w:rsidRPr="005B7332" w:rsidRDefault="00E1111D" w:rsidP="00FF3076">
            <w:pPr>
              <w:jc w:val="center"/>
              <w:rPr>
                <w:rFonts w:eastAsia="Arial Unicode MS"/>
                <w:sz w:val="20"/>
                <w:szCs w:val="20"/>
                <w:highlight w:val="yellow"/>
              </w:rPr>
            </w:pPr>
            <w:r w:rsidRPr="005B7332">
              <w:rPr>
                <w:sz w:val="20"/>
                <w:szCs w:val="20"/>
              </w:rPr>
              <w:t>25-29</w:t>
            </w:r>
          </w:p>
        </w:tc>
        <w:tc>
          <w:tcPr>
            <w:tcW w:w="1842" w:type="dxa"/>
            <w:noWrap/>
          </w:tcPr>
          <w:p w14:paraId="48F1B9A0" w14:textId="203FB3B0"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1</w:t>
            </w:r>
          </w:p>
        </w:tc>
        <w:tc>
          <w:tcPr>
            <w:tcW w:w="1841" w:type="dxa"/>
            <w:noWrap/>
          </w:tcPr>
          <w:p w14:paraId="7C6B0570" w14:textId="306FAAF3"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3</w:t>
            </w:r>
          </w:p>
        </w:tc>
        <w:tc>
          <w:tcPr>
            <w:tcW w:w="1842" w:type="dxa"/>
            <w:noWrap/>
          </w:tcPr>
          <w:p w14:paraId="30BCA37B" w14:textId="19070C8A" w:rsidR="00E1111D" w:rsidRPr="005B7332" w:rsidRDefault="00E1111D" w:rsidP="00FF3076">
            <w:pPr>
              <w:jc w:val="center"/>
              <w:rPr>
                <w:color w:val="000000"/>
                <w:sz w:val="20"/>
                <w:szCs w:val="20"/>
              </w:rPr>
            </w:pPr>
            <w:r w:rsidRPr="005B7332">
              <w:rPr>
                <w:color w:val="000000"/>
                <w:sz w:val="20"/>
                <w:szCs w:val="20"/>
              </w:rPr>
              <w:t>6.</w:t>
            </w:r>
            <w:r w:rsidR="00B17A47" w:rsidRPr="005B7332">
              <w:rPr>
                <w:color w:val="000000"/>
                <w:sz w:val="20"/>
                <w:szCs w:val="20"/>
              </w:rPr>
              <w:t>4</w:t>
            </w:r>
          </w:p>
        </w:tc>
      </w:tr>
      <w:tr w:rsidR="00E1111D" w:rsidRPr="00E64E18" w14:paraId="2181A631" w14:textId="77777777" w:rsidTr="009E33F7">
        <w:trPr>
          <w:trHeight w:val="287"/>
        </w:trPr>
        <w:tc>
          <w:tcPr>
            <w:tcW w:w="1841" w:type="dxa"/>
            <w:noWrap/>
          </w:tcPr>
          <w:p w14:paraId="3FDA86C4" w14:textId="77777777" w:rsidR="00E1111D" w:rsidRPr="005B7332" w:rsidRDefault="00E1111D" w:rsidP="00FF3076">
            <w:pPr>
              <w:jc w:val="center"/>
              <w:rPr>
                <w:rFonts w:eastAsia="Arial Unicode MS"/>
                <w:sz w:val="20"/>
                <w:szCs w:val="20"/>
                <w:highlight w:val="yellow"/>
              </w:rPr>
            </w:pPr>
            <w:r w:rsidRPr="005B7332">
              <w:rPr>
                <w:sz w:val="20"/>
                <w:szCs w:val="20"/>
              </w:rPr>
              <w:t>30-34</w:t>
            </w:r>
          </w:p>
        </w:tc>
        <w:tc>
          <w:tcPr>
            <w:tcW w:w="1842" w:type="dxa"/>
            <w:noWrap/>
          </w:tcPr>
          <w:p w14:paraId="3D70E0E6" w14:textId="3C72F44A"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5</w:t>
            </w:r>
          </w:p>
        </w:tc>
        <w:tc>
          <w:tcPr>
            <w:tcW w:w="1841" w:type="dxa"/>
            <w:noWrap/>
          </w:tcPr>
          <w:p w14:paraId="2E70AD46" w14:textId="5E456CE2"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9</w:t>
            </w:r>
          </w:p>
        </w:tc>
        <w:tc>
          <w:tcPr>
            <w:tcW w:w="1842" w:type="dxa"/>
            <w:noWrap/>
          </w:tcPr>
          <w:p w14:paraId="33B4287A" w14:textId="2BD5A7E0" w:rsidR="00E1111D" w:rsidRPr="005B7332" w:rsidRDefault="00E1111D" w:rsidP="00FF3076">
            <w:pPr>
              <w:jc w:val="center"/>
              <w:rPr>
                <w:color w:val="000000"/>
                <w:sz w:val="20"/>
                <w:szCs w:val="20"/>
              </w:rPr>
            </w:pPr>
            <w:r w:rsidRPr="005B7332">
              <w:rPr>
                <w:color w:val="000000"/>
                <w:sz w:val="20"/>
                <w:szCs w:val="20"/>
              </w:rPr>
              <w:t>7.3</w:t>
            </w:r>
          </w:p>
        </w:tc>
      </w:tr>
      <w:tr w:rsidR="00E1111D" w:rsidRPr="00E64E18" w14:paraId="2F0EBEEC" w14:textId="77777777" w:rsidTr="009E33F7">
        <w:trPr>
          <w:trHeight w:val="287"/>
        </w:trPr>
        <w:tc>
          <w:tcPr>
            <w:tcW w:w="1841" w:type="dxa"/>
            <w:noWrap/>
          </w:tcPr>
          <w:p w14:paraId="05D15F6D" w14:textId="77777777" w:rsidR="00E1111D" w:rsidRPr="005B7332" w:rsidRDefault="00E1111D" w:rsidP="00FF3076">
            <w:pPr>
              <w:jc w:val="center"/>
              <w:rPr>
                <w:rFonts w:eastAsia="Arial Unicode MS"/>
                <w:sz w:val="20"/>
                <w:szCs w:val="20"/>
                <w:highlight w:val="yellow"/>
              </w:rPr>
            </w:pPr>
            <w:r w:rsidRPr="005B7332">
              <w:rPr>
                <w:sz w:val="20"/>
                <w:szCs w:val="20"/>
              </w:rPr>
              <w:t>35-39</w:t>
            </w:r>
          </w:p>
        </w:tc>
        <w:tc>
          <w:tcPr>
            <w:tcW w:w="1842" w:type="dxa"/>
            <w:noWrap/>
          </w:tcPr>
          <w:p w14:paraId="4C467FDC" w14:textId="430CFC2C"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4</w:t>
            </w:r>
          </w:p>
        </w:tc>
        <w:tc>
          <w:tcPr>
            <w:tcW w:w="1841" w:type="dxa"/>
            <w:noWrap/>
          </w:tcPr>
          <w:p w14:paraId="47A3FBA7" w14:textId="12D8DDFC"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6</w:t>
            </w:r>
          </w:p>
        </w:tc>
        <w:tc>
          <w:tcPr>
            <w:tcW w:w="1842" w:type="dxa"/>
            <w:noWrap/>
          </w:tcPr>
          <w:p w14:paraId="78FA229C" w14:textId="435363F7" w:rsidR="00E1111D" w:rsidRPr="005B7332" w:rsidRDefault="00837A67" w:rsidP="00FF3076">
            <w:pPr>
              <w:jc w:val="center"/>
              <w:rPr>
                <w:color w:val="000000"/>
                <w:sz w:val="20"/>
                <w:szCs w:val="20"/>
              </w:rPr>
            </w:pPr>
            <w:r w:rsidRPr="005B7332">
              <w:rPr>
                <w:color w:val="000000"/>
                <w:sz w:val="20"/>
                <w:szCs w:val="20"/>
              </w:rPr>
              <w:t>7</w:t>
            </w:r>
            <w:r w:rsidR="00E1111D" w:rsidRPr="005B7332">
              <w:rPr>
                <w:color w:val="000000"/>
                <w:sz w:val="20"/>
                <w:szCs w:val="20"/>
              </w:rPr>
              <w:t>.</w:t>
            </w:r>
            <w:r w:rsidRPr="005B7332">
              <w:rPr>
                <w:color w:val="000000"/>
                <w:sz w:val="20"/>
                <w:szCs w:val="20"/>
              </w:rPr>
              <w:t>0</w:t>
            </w:r>
          </w:p>
        </w:tc>
      </w:tr>
      <w:tr w:rsidR="00E1111D" w:rsidRPr="00E64E18" w14:paraId="6FAE6AB2" w14:textId="77777777" w:rsidTr="009E33F7">
        <w:trPr>
          <w:trHeight w:val="287"/>
        </w:trPr>
        <w:tc>
          <w:tcPr>
            <w:tcW w:w="1841" w:type="dxa"/>
            <w:noWrap/>
          </w:tcPr>
          <w:p w14:paraId="63BF2E23" w14:textId="77777777" w:rsidR="00E1111D" w:rsidRPr="005B7332" w:rsidRDefault="00E1111D" w:rsidP="00FF3076">
            <w:pPr>
              <w:jc w:val="center"/>
              <w:rPr>
                <w:rFonts w:eastAsia="Arial Unicode MS"/>
                <w:sz w:val="20"/>
                <w:szCs w:val="20"/>
                <w:highlight w:val="yellow"/>
              </w:rPr>
            </w:pPr>
            <w:r w:rsidRPr="005B7332">
              <w:rPr>
                <w:sz w:val="20"/>
                <w:szCs w:val="20"/>
              </w:rPr>
              <w:t>40-44</w:t>
            </w:r>
          </w:p>
        </w:tc>
        <w:tc>
          <w:tcPr>
            <w:tcW w:w="1842" w:type="dxa"/>
            <w:noWrap/>
          </w:tcPr>
          <w:p w14:paraId="3859DCB7" w14:textId="43A6C16C"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3</w:t>
            </w:r>
          </w:p>
        </w:tc>
        <w:tc>
          <w:tcPr>
            <w:tcW w:w="1841" w:type="dxa"/>
            <w:noWrap/>
          </w:tcPr>
          <w:p w14:paraId="6A7536D0" w14:textId="7D007CB6"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5</w:t>
            </w:r>
          </w:p>
        </w:tc>
        <w:tc>
          <w:tcPr>
            <w:tcW w:w="1842" w:type="dxa"/>
            <w:noWrap/>
          </w:tcPr>
          <w:p w14:paraId="2DC4BDB4" w14:textId="74C48B4C" w:rsidR="00E1111D" w:rsidRPr="005B7332" w:rsidRDefault="00E1111D" w:rsidP="00FF3076">
            <w:pPr>
              <w:jc w:val="center"/>
              <w:rPr>
                <w:color w:val="000000"/>
                <w:sz w:val="20"/>
                <w:szCs w:val="20"/>
              </w:rPr>
            </w:pPr>
            <w:r w:rsidRPr="005B7332">
              <w:rPr>
                <w:color w:val="000000"/>
                <w:sz w:val="20"/>
                <w:szCs w:val="20"/>
              </w:rPr>
              <w:t>6.</w:t>
            </w:r>
            <w:r w:rsidR="00B17A47" w:rsidRPr="005B7332">
              <w:rPr>
                <w:color w:val="000000"/>
                <w:sz w:val="20"/>
                <w:szCs w:val="20"/>
              </w:rPr>
              <w:t>8</w:t>
            </w:r>
          </w:p>
        </w:tc>
      </w:tr>
      <w:tr w:rsidR="00E1111D" w:rsidRPr="00E64E18" w14:paraId="22C12398" w14:textId="77777777" w:rsidTr="009E33F7">
        <w:trPr>
          <w:trHeight w:val="287"/>
        </w:trPr>
        <w:tc>
          <w:tcPr>
            <w:tcW w:w="1841" w:type="dxa"/>
            <w:noWrap/>
          </w:tcPr>
          <w:p w14:paraId="1140135F" w14:textId="77777777" w:rsidR="00E1111D" w:rsidRPr="005B7332" w:rsidRDefault="00E1111D" w:rsidP="00FF3076">
            <w:pPr>
              <w:jc w:val="center"/>
              <w:rPr>
                <w:rFonts w:eastAsia="Arial Unicode MS"/>
                <w:sz w:val="20"/>
                <w:szCs w:val="20"/>
                <w:highlight w:val="yellow"/>
              </w:rPr>
            </w:pPr>
            <w:r w:rsidRPr="005B7332">
              <w:rPr>
                <w:sz w:val="20"/>
                <w:szCs w:val="20"/>
              </w:rPr>
              <w:t>45-49</w:t>
            </w:r>
          </w:p>
        </w:tc>
        <w:tc>
          <w:tcPr>
            <w:tcW w:w="1842" w:type="dxa"/>
            <w:noWrap/>
          </w:tcPr>
          <w:p w14:paraId="6233DBC8" w14:textId="0D00D60A"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1</w:t>
            </w:r>
          </w:p>
        </w:tc>
        <w:tc>
          <w:tcPr>
            <w:tcW w:w="1841" w:type="dxa"/>
            <w:noWrap/>
          </w:tcPr>
          <w:p w14:paraId="7A83714D" w14:textId="39EF93A0" w:rsidR="00E1111D" w:rsidRPr="005B7332" w:rsidRDefault="00E1111D" w:rsidP="00FF3076">
            <w:pPr>
              <w:jc w:val="center"/>
              <w:rPr>
                <w:color w:val="000000"/>
                <w:sz w:val="20"/>
                <w:szCs w:val="20"/>
              </w:rPr>
            </w:pPr>
            <w:r w:rsidRPr="005B7332">
              <w:rPr>
                <w:color w:val="000000"/>
                <w:sz w:val="20"/>
                <w:szCs w:val="20"/>
              </w:rPr>
              <w:t>3.</w:t>
            </w:r>
            <w:r w:rsidR="00671DB8" w:rsidRPr="005B7332">
              <w:rPr>
                <w:color w:val="000000"/>
                <w:sz w:val="20"/>
                <w:szCs w:val="20"/>
              </w:rPr>
              <w:t>1</w:t>
            </w:r>
          </w:p>
        </w:tc>
        <w:tc>
          <w:tcPr>
            <w:tcW w:w="1842" w:type="dxa"/>
            <w:noWrap/>
          </w:tcPr>
          <w:p w14:paraId="1F9E9B86" w14:textId="075ABD64" w:rsidR="00E1111D" w:rsidRPr="005B7332" w:rsidRDefault="00E1111D" w:rsidP="00FF3076">
            <w:pPr>
              <w:jc w:val="center"/>
              <w:rPr>
                <w:color w:val="000000"/>
                <w:sz w:val="20"/>
                <w:szCs w:val="20"/>
              </w:rPr>
            </w:pPr>
            <w:r w:rsidRPr="005B7332">
              <w:rPr>
                <w:color w:val="000000"/>
                <w:sz w:val="20"/>
                <w:szCs w:val="20"/>
              </w:rPr>
              <w:t>6.</w:t>
            </w:r>
            <w:r w:rsidR="00B17A47" w:rsidRPr="005B7332">
              <w:rPr>
                <w:color w:val="000000"/>
                <w:sz w:val="20"/>
                <w:szCs w:val="20"/>
              </w:rPr>
              <w:t>2</w:t>
            </w:r>
          </w:p>
        </w:tc>
      </w:tr>
      <w:tr w:rsidR="00E1111D" w:rsidRPr="00E64E18" w14:paraId="2E9F2795" w14:textId="77777777" w:rsidTr="009E33F7">
        <w:trPr>
          <w:trHeight w:val="287"/>
        </w:trPr>
        <w:tc>
          <w:tcPr>
            <w:tcW w:w="1841" w:type="dxa"/>
            <w:noWrap/>
          </w:tcPr>
          <w:p w14:paraId="667F55BC" w14:textId="77777777" w:rsidR="00E1111D" w:rsidRPr="005B7332" w:rsidRDefault="00E1111D" w:rsidP="00FF3076">
            <w:pPr>
              <w:jc w:val="center"/>
              <w:rPr>
                <w:rFonts w:eastAsia="Arial Unicode MS"/>
                <w:sz w:val="20"/>
                <w:szCs w:val="20"/>
                <w:highlight w:val="yellow"/>
              </w:rPr>
            </w:pPr>
            <w:r w:rsidRPr="005B7332">
              <w:rPr>
                <w:sz w:val="20"/>
                <w:szCs w:val="20"/>
              </w:rPr>
              <w:t>50-54</w:t>
            </w:r>
          </w:p>
        </w:tc>
        <w:tc>
          <w:tcPr>
            <w:tcW w:w="1842" w:type="dxa"/>
            <w:noWrap/>
          </w:tcPr>
          <w:p w14:paraId="3E08ED21" w14:textId="59574D59"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3</w:t>
            </w:r>
          </w:p>
        </w:tc>
        <w:tc>
          <w:tcPr>
            <w:tcW w:w="1841" w:type="dxa"/>
            <w:noWrap/>
          </w:tcPr>
          <w:p w14:paraId="777DF10A" w14:textId="6593B234"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3</w:t>
            </w:r>
          </w:p>
        </w:tc>
        <w:tc>
          <w:tcPr>
            <w:tcW w:w="1842" w:type="dxa"/>
            <w:noWrap/>
          </w:tcPr>
          <w:p w14:paraId="3594F59C" w14:textId="1D6C5612" w:rsidR="00E1111D" w:rsidRPr="005B7332" w:rsidRDefault="00E1111D" w:rsidP="00FF3076">
            <w:pPr>
              <w:jc w:val="center"/>
              <w:rPr>
                <w:color w:val="000000"/>
                <w:sz w:val="20"/>
                <w:szCs w:val="20"/>
              </w:rPr>
            </w:pPr>
            <w:r w:rsidRPr="005B7332">
              <w:rPr>
                <w:color w:val="000000"/>
                <w:sz w:val="20"/>
                <w:szCs w:val="20"/>
              </w:rPr>
              <w:t>6.</w:t>
            </w:r>
            <w:r w:rsidR="00B17A47" w:rsidRPr="005B7332">
              <w:rPr>
                <w:color w:val="000000"/>
                <w:sz w:val="20"/>
                <w:szCs w:val="20"/>
              </w:rPr>
              <w:t>6</w:t>
            </w:r>
          </w:p>
        </w:tc>
      </w:tr>
      <w:tr w:rsidR="00E1111D" w:rsidRPr="00E64E18" w14:paraId="7242BC2A" w14:textId="77777777" w:rsidTr="009E33F7">
        <w:trPr>
          <w:trHeight w:val="287"/>
        </w:trPr>
        <w:tc>
          <w:tcPr>
            <w:tcW w:w="1841" w:type="dxa"/>
            <w:noWrap/>
          </w:tcPr>
          <w:p w14:paraId="2ABE44AA" w14:textId="77777777" w:rsidR="00E1111D" w:rsidRPr="005B7332" w:rsidRDefault="00E1111D" w:rsidP="00FF3076">
            <w:pPr>
              <w:jc w:val="center"/>
              <w:rPr>
                <w:rFonts w:eastAsia="Arial Unicode MS"/>
                <w:sz w:val="20"/>
                <w:szCs w:val="20"/>
                <w:highlight w:val="yellow"/>
              </w:rPr>
            </w:pPr>
            <w:r w:rsidRPr="005B7332">
              <w:rPr>
                <w:sz w:val="20"/>
                <w:szCs w:val="20"/>
              </w:rPr>
              <w:t>55-59</w:t>
            </w:r>
          </w:p>
        </w:tc>
        <w:tc>
          <w:tcPr>
            <w:tcW w:w="1842" w:type="dxa"/>
            <w:noWrap/>
          </w:tcPr>
          <w:p w14:paraId="605CF6D0" w14:textId="7ADAE227"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3</w:t>
            </w:r>
          </w:p>
        </w:tc>
        <w:tc>
          <w:tcPr>
            <w:tcW w:w="1841" w:type="dxa"/>
            <w:noWrap/>
          </w:tcPr>
          <w:p w14:paraId="69756738" w14:textId="516361A5" w:rsidR="00E1111D" w:rsidRPr="005B7332" w:rsidRDefault="00E1111D" w:rsidP="00FF3076">
            <w:pPr>
              <w:jc w:val="center"/>
              <w:rPr>
                <w:color w:val="000000"/>
                <w:sz w:val="20"/>
                <w:szCs w:val="20"/>
              </w:rPr>
            </w:pPr>
            <w:r w:rsidRPr="005B7332">
              <w:rPr>
                <w:color w:val="000000"/>
                <w:sz w:val="20"/>
                <w:szCs w:val="20"/>
              </w:rPr>
              <w:t>3.3</w:t>
            </w:r>
          </w:p>
        </w:tc>
        <w:tc>
          <w:tcPr>
            <w:tcW w:w="1842" w:type="dxa"/>
            <w:noWrap/>
          </w:tcPr>
          <w:p w14:paraId="5805D17E" w14:textId="694BBD2C" w:rsidR="00E1111D" w:rsidRPr="005B7332" w:rsidRDefault="00E1111D" w:rsidP="00FF3076">
            <w:pPr>
              <w:jc w:val="center"/>
              <w:rPr>
                <w:color w:val="000000"/>
                <w:sz w:val="20"/>
                <w:szCs w:val="20"/>
              </w:rPr>
            </w:pPr>
            <w:r w:rsidRPr="005B7332">
              <w:rPr>
                <w:color w:val="000000"/>
                <w:sz w:val="20"/>
                <w:szCs w:val="20"/>
              </w:rPr>
              <w:t>6.</w:t>
            </w:r>
            <w:r w:rsidR="00B17A47" w:rsidRPr="005B7332">
              <w:rPr>
                <w:color w:val="000000"/>
                <w:sz w:val="20"/>
                <w:szCs w:val="20"/>
              </w:rPr>
              <w:t>6</w:t>
            </w:r>
          </w:p>
        </w:tc>
      </w:tr>
      <w:tr w:rsidR="00E1111D" w:rsidRPr="00E64E18" w14:paraId="6429E122" w14:textId="77777777" w:rsidTr="009E33F7">
        <w:trPr>
          <w:trHeight w:val="287"/>
        </w:trPr>
        <w:tc>
          <w:tcPr>
            <w:tcW w:w="1841" w:type="dxa"/>
            <w:noWrap/>
          </w:tcPr>
          <w:p w14:paraId="05399EF5" w14:textId="77777777" w:rsidR="00E1111D" w:rsidRPr="005B7332" w:rsidRDefault="00E1111D" w:rsidP="00FF3076">
            <w:pPr>
              <w:jc w:val="center"/>
              <w:rPr>
                <w:rFonts w:eastAsia="Arial Unicode MS"/>
                <w:sz w:val="20"/>
                <w:szCs w:val="20"/>
                <w:highlight w:val="yellow"/>
              </w:rPr>
            </w:pPr>
            <w:r w:rsidRPr="005B7332">
              <w:rPr>
                <w:sz w:val="20"/>
                <w:szCs w:val="20"/>
              </w:rPr>
              <w:t>60-64</w:t>
            </w:r>
          </w:p>
        </w:tc>
        <w:tc>
          <w:tcPr>
            <w:tcW w:w="1842" w:type="dxa"/>
            <w:noWrap/>
          </w:tcPr>
          <w:p w14:paraId="0E93CEAF" w14:textId="3FB3B1A3" w:rsidR="00E1111D" w:rsidRPr="005B7332" w:rsidRDefault="00E1111D" w:rsidP="00FF3076">
            <w:pPr>
              <w:jc w:val="center"/>
              <w:rPr>
                <w:color w:val="000000"/>
                <w:sz w:val="20"/>
                <w:szCs w:val="20"/>
              </w:rPr>
            </w:pPr>
            <w:r w:rsidRPr="005B7332">
              <w:rPr>
                <w:color w:val="000000"/>
                <w:sz w:val="20"/>
                <w:szCs w:val="20"/>
              </w:rPr>
              <w:t>2.</w:t>
            </w:r>
            <w:r w:rsidR="009C4AF4" w:rsidRPr="005B7332">
              <w:rPr>
                <w:color w:val="000000"/>
                <w:sz w:val="20"/>
                <w:szCs w:val="20"/>
              </w:rPr>
              <w:t>8</w:t>
            </w:r>
          </w:p>
        </w:tc>
        <w:tc>
          <w:tcPr>
            <w:tcW w:w="1841" w:type="dxa"/>
            <w:noWrap/>
          </w:tcPr>
          <w:p w14:paraId="576CD375" w14:textId="6F75B1A3"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9</w:t>
            </w:r>
          </w:p>
        </w:tc>
        <w:tc>
          <w:tcPr>
            <w:tcW w:w="1842" w:type="dxa"/>
            <w:noWrap/>
          </w:tcPr>
          <w:p w14:paraId="04F91F13" w14:textId="7CB90406" w:rsidR="00E1111D" w:rsidRPr="005B7332" w:rsidRDefault="00E1111D" w:rsidP="00FF3076">
            <w:pPr>
              <w:jc w:val="center"/>
              <w:rPr>
                <w:color w:val="000000"/>
                <w:sz w:val="20"/>
                <w:szCs w:val="20"/>
              </w:rPr>
            </w:pPr>
            <w:r w:rsidRPr="005B7332">
              <w:rPr>
                <w:color w:val="000000"/>
                <w:sz w:val="20"/>
                <w:szCs w:val="20"/>
              </w:rPr>
              <w:t>5.</w:t>
            </w:r>
            <w:r w:rsidR="00B17A47" w:rsidRPr="005B7332">
              <w:rPr>
                <w:color w:val="000000"/>
                <w:sz w:val="20"/>
                <w:szCs w:val="20"/>
              </w:rPr>
              <w:t>7</w:t>
            </w:r>
          </w:p>
        </w:tc>
      </w:tr>
      <w:tr w:rsidR="00E1111D" w:rsidRPr="00E64E18" w14:paraId="67F61EA1" w14:textId="77777777" w:rsidTr="009E33F7">
        <w:trPr>
          <w:trHeight w:val="287"/>
        </w:trPr>
        <w:tc>
          <w:tcPr>
            <w:tcW w:w="1841" w:type="dxa"/>
            <w:noWrap/>
          </w:tcPr>
          <w:p w14:paraId="35AECF43" w14:textId="77777777" w:rsidR="00E1111D" w:rsidRPr="005B7332" w:rsidRDefault="00E1111D" w:rsidP="00FF3076">
            <w:pPr>
              <w:jc w:val="center"/>
              <w:rPr>
                <w:rFonts w:eastAsia="Arial Unicode MS"/>
                <w:sz w:val="20"/>
                <w:szCs w:val="20"/>
                <w:highlight w:val="yellow"/>
              </w:rPr>
            </w:pPr>
            <w:r w:rsidRPr="005B7332">
              <w:rPr>
                <w:sz w:val="20"/>
                <w:szCs w:val="20"/>
              </w:rPr>
              <w:t>65-69</w:t>
            </w:r>
          </w:p>
        </w:tc>
        <w:tc>
          <w:tcPr>
            <w:tcW w:w="1842" w:type="dxa"/>
            <w:noWrap/>
          </w:tcPr>
          <w:p w14:paraId="0E520520" w14:textId="01674936"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3</w:t>
            </w:r>
          </w:p>
        </w:tc>
        <w:tc>
          <w:tcPr>
            <w:tcW w:w="1841" w:type="dxa"/>
            <w:noWrap/>
          </w:tcPr>
          <w:p w14:paraId="7B9B508C" w14:textId="58F72350"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4</w:t>
            </w:r>
          </w:p>
        </w:tc>
        <w:tc>
          <w:tcPr>
            <w:tcW w:w="1842" w:type="dxa"/>
            <w:noWrap/>
          </w:tcPr>
          <w:p w14:paraId="106E0658" w14:textId="77EDE0AE" w:rsidR="00E1111D" w:rsidRPr="005B7332" w:rsidRDefault="00E1111D" w:rsidP="00FF3076">
            <w:pPr>
              <w:jc w:val="center"/>
              <w:rPr>
                <w:color w:val="000000"/>
                <w:sz w:val="20"/>
                <w:szCs w:val="20"/>
              </w:rPr>
            </w:pPr>
            <w:r w:rsidRPr="005B7332">
              <w:rPr>
                <w:color w:val="000000"/>
                <w:sz w:val="20"/>
                <w:szCs w:val="20"/>
              </w:rPr>
              <w:t>4.</w:t>
            </w:r>
            <w:r w:rsidR="009C4AF4" w:rsidRPr="005B7332">
              <w:rPr>
                <w:color w:val="000000"/>
                <w:sz w:val="20"/>
                <w:szCs w:val="20"/>
              </w:rPr>
              <w:t>6</w:t>
            </w:r>
          </w:p>
        </w:tc>
      </w:tr>
      <w:tr w:rsidR="00E1111D" w:rsidRPr="00E64E18" w14:paraId="64C3D313" w14:textId="77777777" w:rsidTr="009E33F7">
        <w:trPr>
          <w:trHeight w:val="287"/>
        </w:trPr>
        <w:tc>
          <w:tcPr>
            <w:tcW w:w="1841" w:type="dxa"/>
            <w:noWrap/>
          </w:tcPr>
          <w:p w14:paraId="6801FD53" w14:textId="77777777" w:rsidR="00E1111D" w:rsidRPr="005B7332" w:rsidRDefault="00E1111D" w:rsidP="00FF3076">
            <w:pPr>
              <w:jc w:val="center"/>
              <w:rPr>
                <w:rFonts w:eastAsia="Arial Unicode MS"/>
                <w:sz w:val="20"/>
                <w:szCs w:val="20"/>
                <w:highlight w:val="yellow"/>
              </w:rPr>
            </w:pPr>
            <w:r w:rsidRPr="005B7332">
              <w:rPr>
                <w:sz w:val="20"/>
                <w:szCs w:val="20"/>
              </w:rPr>
              <w:t>70-74</w:t>
            </w:r>
          </w:p>
        </w:tc>
        <w:tc>
          <w:tcPr>
            <w:tcW w:w="1842" w:type="dxa"/>
            <w:noWrap/>
          </w:tcPr>
          <w:p w14:paraId="2F603624" w14:textId="12E57A09"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0</w:t>
            </w:r>
          </w:p>
        </w:tc>
        <w:tc>
          <w:tcPr>
            <w:tcW w:w="1841" w:type="dxa"/>
            <w:noWrap/>
          </w:tcPr>
          <w:p w14:paraId="1909C684" w14:textId="4E1C421B" w:rsidR="00E1111D" w:rsidRPr="005B7332" w:rsidRDefault="00E1111D" w:rsidP="00FF3076">
            <w:pPr>
              <w:jc w:val="center"/>
              <w:rPr>
                <w:color w:val="000000"/>
                <w:sz w:val="20"/>
                <w:szCs w:val="20"/>
              </w:rPr>
            </w:pPr>
            <w:r w:rsidRPr="005B7332">
              <w:rPr>
                <w:color w:val="000000"/>
                <w:sz w:val="20"/>
                <w:szCs w:val="20"/>
              </w:rPr>
              <w:t>2.</w:t>
            </w:r>
            <w:r w:rsidR="00B17A47" w:rsidRPr="005B7332">
              <w:rPr>
                <w:color w:val="000000"/>
                <w:sz w:val="20"/>
                <w:szCs w:val="20"/>
              </w:rPr>
              <w:t>3</w:t>
            </w:r>
          </w:p>
        </w:tc>
        <w:tc>
          <w:tcPr>
            <w:tcW w:w="1842" w:type="dxa"/>
            <w:noWrap/>
          </w:tcPr>
          <w:p w14:paraId="27117BB7" w14:textId="648F0E2D" w:rsidR="00E1111D" w:rsidRPr="005B7332" w:rsidRDefault="00E1111D" w:rsidP="00FF3076">
            <w:pPr>
              <w:jc w:val="center"/>
              <w:rPr>
                <w:color w:val="000000"/>
                <w:sz w:val="20"/>
                <w:szCs w:val="20"/>
              </w:rPr>
            </w:pPr>
            <w:r w:rsidRPr="005B7332">
              <w:rPr>
                <w:color w:val="000000"/>
                <w:sz w:val="20"/>
                <w:szCs w:val="20"/>
              </w:rPr>
              <w:t>4.</w:t>
            </w:r>
            <w:r w:rsidR="00B17A47" w:rsidRPr="005B7332">
              <w:rPr>
                <w:color w:val="000000"/>
                <w:sz w:val="20"/>
                <w:szCs w:val="20"/>
              </w:rPr>
              <w:t>3</w:t>
            </w:r>
          </w:p>
        </w:tc>
      </w:tr>
      <w:tr w:rsidR="00E1111D" w:rsidRPr="00E64E18" w14:paraId="601CD9AC" w14:textId="77777777" w:rsidTr="009E33F7">
        <w:trPr>
          <w:trHeight w:val="287"/>
        </w:trPr>
        <w:tc>
          <w:tcPr>
            <w:tcW w:w="1841" w:type="dxa"/>
            <w:noWrap/>
          </w:tcPr>
          <w:p w14:paraId="47857790" w14:textId="77777777" w:rsidR="00E1111D" w:rsidRPr="005B7332" w:rsidRDefault="00E1111D" w:rsidP="00FF3076">
            <w:pPr>
              <w:jc w:val="center"/>
              <w:rPr>
                <w:rFonts w:eastAsia="Arial Unicode MS"/>
                <w:sz w:val="20"/>
                <w:szCs w:val="20"/>
                <w:highlight w:val="yellow"/>
              </w:rPr>
            </w:pPr>
            <w:r w:rsidRPr="005B7332">
              <w:rPr>
                <w:sz w:val="20"/>
                <w:szCs w:val="20"/>
              </w:rPr>
              <w:t>75-79</w:t>
            </w:r>
          </w:p>
        </w:tc>
        <w:tc>
          <w:tcPr>
            <w:tcW w:w="1842" w:type="dxa"/>
            <w:noWrap/>
          </w:tcPr>
          <w:p w14:paraId="6648AC39" w14:textId="0530B971" w:rsidR="00E1111D" w:rsidRPr="005B7332" w:rsidRDefault="00E1111D" w:rsidP="00FF3076">
            <w:pPr>
              <w:jc w:val="center"/>
              <w:rPr>
                <w:color w:val="000000"/>
                <w:sz w:val="20"/>
                <w:szCs w:val="20"/>
              </w:rPr>
            </w:pPr>
            <w:r w:rsidRPr="005B7332">
              <w:rPr>
                <w:color w:val="000000"/>
                <w:sz w:val="20"/>
                <w:szCs w:val="20"/>
              </w:rPr>
              <w:t>1.</w:t>
            </w:r>
            <w:r w:rsidR="009C4AF4" w:rsidRPr="005B7332">
              <w:rPr>
                <w:color w:val="000000"/>
                <w:sz w:val="20"/>
                <w:szCs w:val="20"/>
              </w:rPr>
              <w:t>7</w:t>
            </w:r>
          </w:p>
        </w:tc>
        <w:tc>
          <w:tcPr>
            <w:tcW w:w="1841" w:type="dxa"/>
            <w:noWrap/>
          </w:tcPr>
          <w:p w14:paraId="0D03E98A" w14:textId="61CB46AC" w:rsidR="00E1111D" w:rsidRPr="005B7332" w:rsidRDefault="00E1111D" w:rsidP="00FF3076">
            <w:pPr>
              <w:jc w:val="center"/>
              <w:rPr>
                <w:color w:val="000000"/>
                <w:sz w:val="20"/>
                <w:szCs w:val="20"/>
              </w:rPr>
            </w:pPr>
            <w:r w:rsidRPr="005B7332">
              <w:rPr>
                <w:color w:val="000000"/>
                <w:sz w:val="20"/>
                <w:szCs w:val="20"/>
              </w:rPr>
              <w:t>1.</w:t>
            </w:r>
            <w:r w:rsidR="00B17A47" w:rsidRPr="005B7332">
              <w:rPr>
                <w:color w:val="000000"/>
                <w:sz w:val="20"/>
                <w:szCs w:val="20"/>
              </w:rPr>
              <w:t>9</w:t>
            </w:r>
          </w:p>
        </w:tc>
        <w:tc>
          <w:tcPr>
            <w:tcW w:w="1842" w:type="dxa"/>
            <w:noWrap/>
          </w:tcPr>
          <w:p w14:paraId="6A231D03" w14:textId="49B3519E" w:rsidR="00E1111D" w:rsidRPr="005B7332" w:rsidRDefault="00E1111D" w:rsidP="00FF3076">
            <w:pPr>
              <w:jc w:val="center"/>
              <w:rPr>
                <w:color w:val="000000"/>
                <w:sz w:val="20"/>
                <w:szCs w:val="20"/>
              </w:rPr>
            </w:pPr>
            <w:r w:rsidRPr="005B7332">
              <w:rPr>
                <w:color w:val="000000"/>
                <w:sz w:val="20"/>
                <w:szCs w:val="20"/>
              </w:rPr>
              <w:t>3.</w:t>
            </w:r>
            <w:r w:rsidR="00B17A47" w:rsidRPr="005B7332">
              <w:rPr>
                <w:color w:val="000000"/>
                <w:sz w:val="20"/>
                <w:szCs w:val="20"/>
              </w:rPr>
              <w:t>6</w:t>
            </w:r>
          </w:p>
        </w:tc>
      </w:tr>
      <w:tr w:rsidR="00E1111D" w:rsidRPr="00E64E18" w14:paraId="7EE5DBA9" w14:textId="77777777" w:rsidTr="009E33F7">
        <w:trPr>
          <w:trHeight w:val="287"/>
        </w:trPr>
        <w:tc>
          <w:tcPr>
            <w:tcW w:w="1841" w:type="dxa"/>
            <w:noWrap/>
          </w:tcPr>
          <w:p w14:paraId="4DD796AA" w14:textId="77777777" w:rsidR="00E1111D" w:rsidRPr="005B7332" w:rsidRDefault="00E1111D" w:rsidP="00FF3076">
            <w:pPr>
              <w:jc w:val="center"/>
              <w:rPr>
                <w:rFonts w:eastAsia="Arial Unicode MS"/>
                <w:sz w:val="20"/>
                <w:szCs w:val="20"/>
                <w:highlight w:val="yellow"/>
              </w:rPr>
            </w:pPr>
            <w:r w:rsidRPr="005B7332">
              <w:rPr>
                <w:sz w:val="20"/>
                <w:szCs w:val="20"/>
              </w:rPr>
              <w:t>80-84</w:t>
            </w:r>
          </w:p>
        </w:tc>
        <w:tc>
          <w:tcPr>
            <w:tcW w:w="1842" w:type="dxa"/>
            <w:noWrap/>
          </w:tcPr>
          <w:p w14:paraId="62BBE946" w14:textId="102BB75B" w:rsidR="00E1111D" w:rsidRPr="005B7332" w:rsidRDefault="00B17A47" w:rsidP="00FF3076">
            <w:pPr>
              <w:jc w:val="center"/>
              <w:rPr>
                <w:color w:val="000000"/>
                <w:sz w:val="20"/>
                <w:szCs w:val="20"/>
              </w:rPr>
            </w:pPr>
            <w:r w:rsidRPr="005B7332">
              <w:rPr>
                <w:color w:val="000000"/>
                <w:sz w:val="20"/>
                <w:szCs w:val="20"/>
              </w:rPr>
              <w:t>0</w:t>
            </w:r>
            <w:r w:rsidR="00E1111D" w:rsidRPr="005B7332">
              <w:rPr>
                <w:color w:val="000000"/>
                <w:sz w:val="20"/>
                <w:szCs w:val="20"/>
              </w:rPr>
              <w:t>.</w:t>
            </w:r>
            <w:r w:rsidRPr="005B7332">
              <w:rPr>
                <w:color w:val="000000"/>
                <w:sz w:val="20"/>
                <w:szCs w:val="20"/>
              </w:rPr>
              <w:t>9</w:t>
            </w:r>
          </w:p>
        </w:tc>
        <w:tc>
          <w:tcPr>
            <w:tcW w:w="1841" w:type="dxa"/>
            <w:noWrap/>
          </w:tcPr>
          <w:p w14:paraId="5DF10363" w14:textId="5BA3522B" w:rsidR="00E1111D" w:rsidRPr="005B7332" w:rsidRDefault="00B17A47" w:rsidP="00FF3076">
            <w:pPr>
              <w:jc w:val="center"/>
              <w:rPr>
                <w:color w:val="000000"/>
                <w:sz w:val="20"/>
                <w:szCs w:val="20"/>
              </w:rPr>
            </w:pPr>
            <w:r w:rsidRPr="005B7332">
              <w:rPr>
                <w:color w:val="000000"/>
                <w:sz w:val="20"/>
                <w:szCs w:val="20"/>
              </w:rPr>
              <w:t>1</w:t>
            </w:r>
            <w:r w:rsidR="00E1111D" w:rsidRPr="005B7332">
              <w:rPr>
                <w:color w:val="000000"/>
                <w:sz w:val="20"/>
                <w:szCs w:val="20"/>
              </w:rPr>
              <w:t>.</w:t>
            </w:r>
            <w:r w:rsidRPr="005B7332">
              <w:rPr>
                <w:color w:val="000000"/>
                <w:sz w:val="20"/>
                <w:szCs w:val="20"/>
              </w:rPr>
              <w:t>2</w:t>
            </w:r>
          </w:p>
        </w:tc>
        <w:tc>
          <w:tcPr>
            <w:tcW w:w="1842" w:type="dxa"/>
            <w:noWrap/>
          </w:tcPr>
          <w:p w14:paraId="021BC875" w14:textId="5BA669C5" w:rsidR="00E1111D" w:rsidRPr="005B7332" w:rsidRDefault="00E1111D" w:rsidP="00FF3076">
            <w:pPr>
              <w:jc w:val="center"/>
              <w:rPr>
                <w:color w:val="000000"/>
                <w:sz w:val="20"/>
                <w:szCs w:val="20"/>
              </w:rPr>
            </w:pPr>
            <w:r w:rsidRPr="005B7332">
              <w:rPr>
                <w:color w:val="000000"/>
                <w:sz w:val="20"/>
                <w:szCs w:val="20"/>
              </w:rPr>
              <w:t>2.2</w:t>
            </w:r>
          </w:p>
        </w:tc>
      </w:tr>
      <w:tr w:rsidR="00E1111D" w:rsidRPr="00E64E18" w14:paraId="6B638402" w14:textId="77777777" w:rsidTr="009E33F7">
        <w:trPr>
          <w:trHeight w:val="287"/>
        </w:trPr>
        <w:tc>
          <w:tcPr>
            <w:tcW w:w="1841" w:type="dxa"/>
            <w:noWrap/>
          </w:tcPr>
          <w:p w14:paraId="5328D436" w14:textId="77777777" w:rsidR="00E1111D" w:rsidRPr="005B7332" w:rsidRDefault="00E1111D" w:rsidP="00FF3076">
            <w:pPr>
              <w:jc w:val="center"/>
              <w:rPr>
                <w:rFonts w:eastAsia="Arial Unicode MS"/>
                <w:sz w:val="20"/>
                <w:szCs w:val="20"/>
                <w:highlight w:val="yellow"/>
              </w:rPr>
            </w:pPr>
            <w:r w:rsidRPr="005B7332">
              <w:rPr>
                <w:sz w:val="20"/>
                <w:szCs w:val="20"/>
              </w:rPr>
              <w:t>85-89</w:t>
            </w:r>
          </w:p>
        </w:tc>
        <w:tc>
          <w:tcPr>
            <w:tcW w:w="1842" w:type="dxa"/>
            <w:noWrap/>
          </w:tcPr>
          <w:p w14:paraId="60620916" w14:textId="059D43CC" w:rsidR="00E1111D" w:rsidRPr="005B7332" w:rsidRDefault="00E1111D" w:rsidP="00FF3076">
            <w:pPr>
              <w:jc w:val="center"/>
              <w:rPr>
                <w:color w:val="000000"/>
                <w:sz w:val="20"/>
                <w:szCs w:val="20"/>
              </w:rPr>
            </w:pPr>
            <w:r w:rsidRPr="005B7332">
              <w:rPr>
                <w:color w:val="000000"/>
                <w:sz w:val="20"/>
                <w:szCs w:val="20"/>
              </w:rPr>
              <w:t>0.</w:t>
            </w:r>
            <w:r w:rsidR="00B17A47" w:rsidRPr="005B7332">
              <w:rPr>
                <w:color w:val="000000"/>
                <w:sz w:val="20"/>
                <w:szCs w:val="20"/>
              </w:rPr>
              <w:t>5</w:t>
            </w:r>
          </w:p>
        </w:tc>
        <w:tc>
          <w:tcPr>
            <w:tcW w:w="1841" w:type="dxa"/>
            <w:noWrap/>
          </w:tcPr>
          <w:p w14:paraId="2C03794B" w14:textId="67A7E58A" w:rsidR="00E1111D" w:rsidRPr="005B7332" w:rsidRDefault="00E1111D" w:rsidP="00FF3076">
            <w:pPr>
              <w:jc w:val="center"/>
              <w:rPr>
                <w:color w:val="000000"/>
                <w:sz w:val="20"/>
                <w:szCs w:val="20"/>
              </w:rPr>
            </w:pPr>
            <w:r w:rsidRPr="005B7332">
              <w:rPr>
                <w:color w:val="000000"/>
                <w:sz w:val="20"/>
                <w:szCs w:val="20"/>
              </w:rPr>
              <w:t>0.</w:t>
            </w:r>
            <w:r w:rsidR="00B17A47" w:rsidRPr="005B7332">
              <w:rPr>
                <w:color w:val="000000"/>
                <w:sz w:val="20"/>
                <w:szCs w:val="20"/>
              </w:rPr>
              <w:t>8</w:t>
            </w:r>
          </w:p>
        </w:tc>
        <w:tc>
          <w:tcPr>
            <w:tcW w:w="1842" w:type="dxa"/>
            <w:noWrap/>
          </w:tcPr>
          <w:p w14:paraId="1C510618" w14:textId="7BED53A5" w:rsidR="00E1111D" w:rsidRPr="005B7332" w:rsidRDefault="00E1111D" w:rsidP="00FF3076">
            <w:pPr>
              <w:jc w:val="center"/>
              <w:rPr>
                <w:color w:val="000000"/>
                <w:sz w:val="20"/>
                <w:szCs w:val="20"/>
              </w:rPr>
            </w:pPr>
            <w:r w:rsidRPr="005B7332">
              <w:rPr>
                <w:color w:val="000000"/>
                <w:sz w:val="20"/>
                <w:szCs w:val="20"/>
              </w:rPr>
              <w:t>1.2</w:t>
            </w:r>
          </w:p>
        </w:tc>
      </w:tr>
      <w:tr w:rsidR="00E1111D" w:rsidRPr="00E64E18" w14:paraId="25CD5A3E" w14:textId="77777777" w:rsidTr="009E33F7">
        <w:trPr>
          <w:trHeight w:val="287"/>
        </w:trPr>
        <w:tc>
          <w:tcPr>
            <w:tcW w:w="1841" w:type="dxa"/>
            <w:noWrap/>
          </w:tcPr>
          <w:p w14:paraId="63CC30E4" w14:textId="77777777" w:rsidR="00E1111D" w:rsidRPr="005B7332" w:rsidRDefault="00E1111D" w:rsidP="00FF3076">
            <w:pPr>
              <w:jc w:val="center"/>
              <w:rPr>
                <w:rFonts w:eastAsia="Arial Unicode MS"/>
                <w:sz w:val="20"/>
                <w:szCs w:val="20"/>
                <w:highlight w:val="yellow"/>
              </w:rPr>
            </w:pPr>
            <w:r w:rsidRPr="005B7332">
              <w:rPr>
                <w:sz w:val="20"/>
                <w:szCs w:val="20"/>
              </w:rPr>
              <w:t>90+</w:t>
            </w:r>
          </w:p>
        </w:tc>
        <w:tc>
          <w:tcPr>
            <w:tcW w:w="1842" w:type="dxa"/>
            <w:noWrap/>
          </w:tcPr>
          <w:p w14:paraId="2B7C97E3" w14:textId="25505779" w:rsidR="00E1111D" w:rsidRPr="005B7332" w:rsidRDefault="00E1111D" w:rsidP="00FF3076">
            <w:pPr>
              <w:jc w:val="center"/>
              <w:rPr>
                <w:color w:val="000000"/>
                <w:sz w:val="20"/>
                <w:szCs w:val="20"/>
              </w:rPr>
            </w:pPr>
            <w:r w:rsidRPr="005B7332">
              <w:rPr>
                <w:color w:val="000000"/>
                <w:sz w:val="20"/>
                <w:szCs w:val="20"/>
              </w:rPr>
              <w:t>0.</w:t>
            </w:r>
            <w:r w:rsidR="00B17A47" w:rsidRPr="005B7332">
              <w:rPr>
                <w:color w:val="000000"/>
                <w:sz w:val="20"/>
                <w:szCs w:val="20"/>
              </w:rPr>
              <w:t>2</w:t>
            </w:r>
          </w:p>
        </w:tc>
        <w:tc>
          <w:tcPr>
            <w:tcW w:w="1841" w:type="dxa"/>
            <w:noWrap/>
          </w:tcPr>
          <w:p w14:paraId="65DB9902" w14:textId="0F6356CF" w:rsidR="00E1111D" w:rsidRPr="005B7332" w:rsidRDefault="00E1111D" w:rsidP="00FF3076">
            <w:pPr>
              <w:jc w:val="center"/>
              <w:rPr>
                <w:color w:val="000000"/>
                <w:sz w:val="20"/>
                <w:szCs w:val="20"/>
              </w:rPr>
            </w:pPr>
            <w:r w:rsidRPr="005B7332">
              <w:rPr>
                <w:color w:val="000000"/>
                <w:sz w:val="20"/>
                <w:szCs w:val="20"/>
              </w:rPr>
              <w:t>0.</w:t>
            </w:r>
            <w:r w:rsidR="00B17A47" w:rsidRPr="005B7332">
              <w:rPr>
                <w:color w:val="000000"/>
                <w:sz w:val="20"/>
                <w:szCs w:val="20"/>
              </w:rPr>
              <w:t>5</w:t>
            </w:r>
          </w:p>
        </w:tc>
        <w:tc>
          <w:tcPr>
            <w:tcW w:w="1842" w:type="dxa"/>
            <w:noWrap/>
          </w:tcPr>
          <w:p w14:paraId="3489CEC0" w14:textId="0D031A74" w:rsidR="00E1111D" w:rsidRPr="005B7332" w:rsidRDefault="00E1111D" w:rsidP="00FF3076">
            <w:pPr>
              <w:jc w:val="center"/>
              <w:rPr>
                <w:color w:val="000000"/>
                <w:sz w:val="20"/>
                <w:szCs w:val="20"/>
              </w:rPr>
            </w:pPr>
            <w:r w:rsidRPr="005B7332">
              <w:rPr>
                <w:color w:val="000000"/>
                <w:sz w:val="20"/>
                <w:szCs w:val="20"/>
              </w:rPr>
              <w:t>0.</w:t>
            </w:r>
            <w:r w:rsidR="00B17A47" w:rsidRPr="005B7332">
              <w:rPr>
                <w:color w:val="000000"/>
                <w:sz w:val="20"/>
                <w:szCs w:val="20"/>
              </w:rPr>
              <w:t>7</w:t>
            </w:r>
          </w:p>
        </w:tc>
      </w:tr>
      <w:tr w:rsidR="00E1111D" w:rsidRPr="00E64E18" w14:paraId="3B4B3B9E" w14:textId="77777777" w:rsidTr="009E33F7">
        <w:trPr>
          <w:trHeight w:val="287"/>
        </w:trPr>
        <w:tc>
          <w:tcPr>
            <w:tcW w:w="1841" w:type="dxa"/>
            <w:noWrap/>
          </w:tcPr>
          <w:p w14:paraId="520BC2BB" w14:textId="77777777" w:rsidR="00E1111D" w:rsidRPr="005B7332" w:rsidRDefault="00E1111D" w:rsidP="00FF3076">
            <w:pPr>
              <w:jc w:val="center"/>
              <w:rPr>
                <w:rFonts w:eastAsia="Arial Unicode MS"/>
                <w:i/>
                <w:sz w:val="20"/>
                <w:szCs w:val="20"/>
              </w:rPr>
            </w:pPr>
            <w:r w:rsidRPr="005B7332">
              <w:rPr>
                <w:rFonts w:eastAsia="Arial Unicode MS"/>
                <w:i/>
                <w:sz w:val="20"/>
                <w:szCs w:val="20"/>
              </w:rPr>
              <w:t>Grand total</w:t>
            </w:r>
          </w:p>
        </w:tc>
        <w:tc>
          <w:tcPr>
            <w:tcW w:w="1842" w:type="dxa"/>
            <w:noWrap/>
          </w:tcPr>
          <w:p w14:paraId="283A6158" w14:textId="43D4212E" w:rsidR="00E1111D" w:rsidRPr="005B7332" w:rsidRDefault="00B17A47" w:rsidP="00FF3076">
            <w:pPr>
              <w:jc w:val="center"/>
              <w:rPr>
                <w:color w:val="000000"/>
                <w:sz w:val="20"/>
                <w:szCs w:val="20"/>
              </w:rPr>
            </w:pPr>
            <w:r w:rsidRPr="005B7332">
              <w:rPr>
                <w:color w:val="000000"/>
                <w:sz w:val="20"/>
                <w:szCs w:val="20"/>
              </w:rPr>
              <w:t>49</w:t>
            </w:r>
            <w:r w:rsidR="00E1111D" w:rsidRPr="005B7332">
              <w:rPr>
                <w:color w:val="000000"/>
                <w:sz w:val="20"/>
                <w:szCs w:val="20"/>
              </w:rPr>
              <w:t>.</w:t>
            </w:r>
            <w:r w:rsidR="009C4AF4" w:rsidRPr="005B7332">
              <w:rPr>
                <w:color w:val="000000"/>
                <w:sz w:val="20"/>
                <w:szCs w:val="20"/>
              </w:rPr>
              <w:t>0</w:t>
            </w:r>
          </w:p>
        </w:tc>
        <w:tc>
          <w:tcPr>
            <w:tcW w:w="1841" w:type="dxa"/>
            <w:noWrap/>
          </w:tcPr>
          <w:p w14:paraId="62B5258A" w14:textId="772C969E" w:rsidR="00E1111D" w:rsidRPr="005B7332" w:rsidRDefault="00B17A47" w:rsidP="00FF3076">
            <w:pPr>
              <w:jc w:val="center"/>
              <w:rPr>
                <w:color w:val="000000"/>
                <w:sz w:val="20"/>
                <w:szCs w:val="20"/>
              </w:rPr>
            </w:pPr>
            <w:r w:rsidRPr="005B7332">
              <w:rPr>
                <w:color w:val="000000"/>
                <w:sz w:val="20"/>
                <w:szCs w:val="20"/>
              </w:rPr>
              <w:t>51</w:t>
            </w:r>
            <w:r w:rsidR="00E1111D" w:rsidRPr="005B7332">
              <w:rPr>
                <w:color w:val="000000"/>
                <w:sz w:val="20"/>
                <w:szCs w:val="20"/>
              </w:rPr>
              <w:t>.</w:t>
            </w:r>
            <w:r w:rsidR="009C4AF4" w:rsidRPr="005B7332">
              <w:rPr>
                <w:color w:val="000000"/>
                <w:sz w:val="20"/>
                <w:szCs w:val="20"/>
              </w:rPr>
              <w:t>0</w:t>
            </w:r>
          </w:p>
        </w:tc>
        <w:tc>
          <w:tcPr>
            <w:tcW w:w="1842" w:type="dxa"/>
            <w:noWrap/>
          </w:tcPr>
          <w:p w14:paraId="48C150F2" w14:textId="1BA4D5A4" w:rsidR="00E1111D" w:rsidRPr="005B7332" w:rsidRDefault="00E1111D" w:rsidP="00FF3076">
            <w:pPr>
              <w:keepNext/>
              <w:jc w:val="center"/>
              <w:rPr>
                <w:color w:val="000000"/>
                <w:sz w:val="20"/>
                <w:szCs w:val="20"/>
              </w:rPr>
            </w:pPr>
            <w:r w:rsidRPr="005B7332">
              <w:rPr>
                <w:color w:val="000000"/>
                <w:sz w:val="20"/>
                <w:szCs w:val="20"/>
              </w:rPr>
              <w:t>100.0</w:t>
            </w:r>
          </w:p>
        </w:tc>
      </w:tr>
    </w:tbl>
    <w:p w14:paraId="0B554D75" w14:textId="77777777" w:rsidR="000B0804" w:rsidRDefault="000B0804" w:rsidP="000C0592">
      <w:pPr>
        <w:jc w:val="center"/>
        <w:rPr>
          <w:rFonts w:ascii="Helvetica" w:hAnsi="Helvetica" w:cs="Helvetica"/>
          <w:sz w:val="20"/>
          <w:szCs w:val="20"/>
        </w:rPr>
      </w:pPr>
    </w:p>
    <w:p w14:paraId="434C66F6" w14:textId="77777777" w:rsidR="00B061E2" w:rsidRDefault="00B061E2" w:rsidP="000C0592">
      <w:pPr>
        <w:jc w:val="center"/>
        <w:rPr>
          <w:rFonts w:ascii="Helvetica" w:hAnsi="Helvetica" w:cs="Helvetica"/>
          <w:sz w:val="20"/>
          <w:szCs w:val="20"/>
        </w:rPr>
      </w:pPr>
    </w:p>
    <w:p w14:paraId="503ADEDC" w14:textId="6B851149" w:rsidR="006333CE" w:rsidRPr="00860A20" w:rsidRDefault="00A82A0D" w:rsidP="000C0592">
      <w:pPr>
        <w:jc w:val="center"/>
        <w:rPr>
          <w:rFonts w:ascii="Helvetica" w:hAnsi="Helvetica" w:cs="Helvetica"/>
          <w:sz w:val="20"/>
          <w:szCs w:val="20"/>
        </w:rPr>
      </w:pPr>
      <w:r>
        <w:rPr>
          <w:rFonts w:ascii="Helvetica" w:hAnsi="Helvetica" w:cs="Helvetica"/>
          <w:noProof/>
          <w:sz w:val="20"/>
          <w:szCs w:val="20"/>
        </w:rPr>
        <w:drawing>
          <wp:inline distT="0" distB="0" distL="0" distR="0" wp14:anchorId="512BBA45" wp14:editId="053425D4">
            <wp:extent cx="5133975" cy="3821003"/>
            <wp:effectExtent l="0" t="0" r="0" b="8255"/>
            <wp:docPr id="212241484" name="Picture 1" descr=" Chart showing female and male mid year population estimates by 5 year age range comparing years 2012 a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84" name="Picture 1" descr=" Chart showing female and male mid year population estimates by 5 year age range comparing years 2012 and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5530" cy="3822160"/>
                    </a:xfrm>
                    <a:prstGeom prst="rect">
                      <a:avLst/>
                    </a:prstGeom>
                    <a:noFill/>
                  </pic:spPr>
                </pic:pic>
              </a:graphicData>
            </a:graphic>
          </wp:inline>
        </w:drawing>
      </w:r>
    </w:p>
    <w:p w14:paraId="4AF712E9" w14:textId="074E025F" w:rsidR="006333CE" w:rsidRPr="00B061E2" w:rsidRDefault="002F350D" w:rsidP="00B061E2">
      <w:pPr>
        <w:ind w:left="1440" w:firstLine="720"/>
        <w:rPr>
          <w:rFonts w:ascii="Helvetica" w:hAnsi="Helvetica" w:cs="Helvetica"/>
          <w:sz w:val="18"/>
          <w:szCs w:val="18"/>
        </w:rPr>
      </w:pPr>
      <w:r w:rsidRPr="00AB1F5C">
        <w:rPr>
          <w:rFonts w:ascii="Helvetica" w:hAnsi="Helvetica" w:cs="Helvetica"/>
          <w:sz w:val="18"/>
          <w:szCs w:val="18"/>
        </w:rPr>
        <w:t>Figure 1 – Population pyramid 2012 and 2022</w:t>
      </w:r>
    </w:p>
    <w:p w14:paraId="102E9478" w14:textId="77777777" w:rsidR="002F350D" w:rsidRPr="002F350D" w:rsidRDefault="002F350D" w:rsidP="002F350D">
      <w:pPr>
        <w:jc w:val="center"/>
        <w:rPr>
          <w:rFonts w:ascii="Helvetica" w:hAnsi="Helvetica" w:cs="Helvetica"/>
          <w:bCs/>
          <w:sz w:val="18"/>
          <w:szCs w:val="20"/>
        </w:rPr>
      </w:pPr>
      <w:r w:rsidRPr="002F350D">
        <w:rPr>
          <w:rFonts w:ascii="Helvetica" w:hAnsi="Helvetica" w:cs="Helvetica"/>
          <w:bCs/>
          <w:sz w:val="18"/>
          <w:szCs w:val="20"/>
        </w:rPr>
        <w:t>Sources: ONS mid-year population estimates 2012 and 2022</w:t>
      </w:r>
    </w:p>
    <w:p w14:paraId="2521CAD3" w14:textId="77777777" w:rsidR="00EB398C" w:rsidRPr="005B7332" w:rsidRDefault="00EB398C" w:rsidP="00413D67">
      <w:pPr>
        <w:rPr>
          <w:rFonts w:ascii="Helvetica" w:hAnsi="Helvetica" w:cs="Helvetica"/>
          <w:highlight w:val="yellow"/>
        </w:rPr>
      </w:pPr>
    </w:p>
    <w:p w14:paraId="6A5D17AF" w14:textId="5540DF37" w:rsidR="002F350D" w:rsidRPr="00B061E2" w:rsidRDefault="002F350D" w:rsidP="005B7332">
      <w:r w:rsidRPr="002F350D">
        <w:rPr>
          <w:rFonts w:ascii="Helvetica" w:hAnsi="Helvetica" w:cs="Helvetica"/>
          <w:noProof/>
        </w:rPr>
        <w:t xml:space="preserve">Figure 1 </w:t>
      </w:r>
      <w:r w:rsidR="00B061E2">
        <w:t xml:space="preserve">above </w:t>
      </w:r>
      <w:r w:rsidR="00B061E2" w:rsidRPr="005B7332">
        <w:t xml:space="preserve">shows the age and sex profile of Medway’s population in 2022 compared to 2012. </w:t>
      </w:r>
      <w:r w:rsidR="00B061E2">
        <w:rPr>
          <w:rFonts w:ascii="Helvetica" w:hAnsi="Helvetica" w:cs="Helvetica"/>
          <w:noProof/>
        </w:rPr>
        <w:t>It</w:t>
      </w:r>
      <w:r w:rsidR="00AB1F5C">
        <w:rPr>
          <w:rFonts w:ascii="Helvetica" w:hAnsi="Helvetica" w:cs="Helvetica"/>
          <w:noProof/>
        </w:rPr>
        <w:t xml:space="preserve"> </w:t>
      </w:r>
      <w:r w:rsidRPr="002F350D">
        <w:rPr>
          <w:rFonts w:ascii="Helvetica" w:hAnsi="Helvetica" w:cs="Helvetica"/>
          <w:noProof/>
        </w:rPr>
        <w:t xml:space="preserve">shows that overall, since 2012, the population aged 0 to 14 has increased; although both males and female populations aged 0 to 4 are showing decreases. During the same period those aged 15 to 24 have seen notable decreases, whereas the number of young adults aged 25 to 39 has increased, and the number of adults aged 40 to 49 has reduced. </w:t>
      </w:r>
    </w:p>
    <w:p w14:paraId="14493404" w14:textId="77777777" w:rsidR="00413D67" w:rsidRPr="002F350D" w:rsidRDefault="00413D67" w:rsidP="005B7332">
      <w:pPr>
        <w:rPr>
          <w:rFonts w:ascii="Helvetica" w:hAnsi="Helvetica" w:cs="Helvetica"/>
          <w:noProof/>
        </w:rPr>
      </w:pPr>
    </w:p>
    <w:p w14:paraId="44A5AA35" w14:textId="77777777" w:rsidR="002F350D" w:rsidRDefault="002F350D" w:rsidP="005B7332">
      <w:pPr>
        <w:rPr>
          <w:rFonts w:ascii="Helvetica" w:hAnsi="Helvetica" w:cs="Helvetica"/>
          <w:noProof/>
        </w:rPr>
      </w:pPr>
      <w:r w:rsidRPr="002F350D">
        <w:rPr>
          <w:rFonts w:ascii="Helvetica" w:hAnsi="Helvetica" w:cs="Helvetica"/>
          <w:noProof/>
        </w:rPr>
        <w:t>Overall, the number of adults aged over 50 has increased in every age group. With notable increases in both the male and female populations in all age groups aged 70 and over.</w:t>
      </w:r>
    </w:p>
    <w:p w14:paraId="7A7430F4" w14:textId="77777777" w:rsidR="00413D67" w:rsidRPr="002F350D" w:rsidRDefault="00413D67" w:rsidP="005B7332">
      <w:pPr>
        <w:rPr>
          <w:rFonts w:ascii="Helvetica" w:hAnsi="Helvetica" w:cs="Helvetica"/>
          <w:noProof/>
        </w:rPr>
      </w:pPr>
    </w:p>
    <w:p w14:paraId="25C19604" w14:textId="77777777" w:rsidR="002F350D" w:rsidRDefault="002F350D" w:rsidP="005B7332">
      <w:pPr>
        <w:rPr>
          <w:rFonts w:ascii="Helvetica" w:hAnsi="Helvetica" w:cs="Helvetica"/>
          <w:noProof/>
        </w:rPr>
      </w:pPr>
      <w:r w:rsidRPr="002F350D">
        <w:rPr>
          <w:rFonts w:ascii="Helvetica" w:hAnsi="Helvetica" w:cs="Helvetica"/>
          <w:noProof/>
        </w:rPr>
        <w:t>The median age of Medway residents in 2022 was 38.9, lower than the England &amp; Wales median age of 40.6 and the South-East, 41.9.</w:t>
      </w:r>
    </w:p>
    <w:p w14:paraId="2C51600C" w14:textId="77777777" w:rsidR="00413D67" w:rsidRPr="002F350D" w:rsidRDefault="00413D67" w:rsidP="005B7332">
      <w:pPr>
        <w:rPr>
          <w:rFonts w:ascii="Helvetica" w:hAnsi="Helvetica" w:cs="Helvetica"/>
          <w:noProof/>
        </w:rPr>
      </w:pPr>
    </w:p>
    <w:p w14:paraId="38452B8B" w14:textId="74870057" w:rsidR="009E33F7" w:rsidRDefault="00AB1F5C" w:rsidP="009E33F7">
      <w:pPr>
        <w:rPr>
          <w:rFonts w:ascii="Helvetica" w:hAnsi="Helvetica" w:cs="Helvetica"/>
          <w:sz w:val="18"/>
          <w:szCs w:val="18"/>
        </w:rPr>
      </w:pPr>
      <w:r>
        <w:rPr>
          <w:rFonts w:ascii="Helvetica" w:hAnsi="Helvetica" w:cs="Helvetica"/>
          <w:noProof/>
        </w:rPr>
        <w:t xml:space="preserve">Figure 2 below shows that </w:t>
      </w:r>
      <w:r w:rsidR="002F350D" w:rsidRPr="002F350D">
        <w:rPr>
          <w:rFonts w:ascii="Helvetica" w:hAnsi="Helvetica" w:cs="Helvetica"/>
          <w:noProof/>
        </w:rPr>
        <w:t>Medway’s population is projected to still be growing in 2032 increasing to around 286,200 (Figure 2). There are projected to be notable increases in the 15 to 24 and 35 to 44 age groups, as well as those aged 65 and over. There are smaller falls in the population aged 10 to 14, with more significant falls in the population aged 25 to 34 and 50 to 59.</w:t>
      </w:r>
    </w:p>
    <w:p w14:paraId="632B7195" w14:textId="3917243C" w:rsidR="002F350D" w:rsidRPr="002F350D" w:rsidRDefault="00F33327" w:rsidP="001F3348">
      <w:pPr>
        <w:rPr>
          <w:rFonts w:ascii="Helvetica" w:hAnsi="Helvetica" w:cs="Helvetica"/>
          <w:sz w:val="18"/>
          <w:szCs w:val="18"/>
        </w:rPr>
      </w:pPr>
      <w:r>
        <w:rPr>
          <w:rFonts w:ascii="Helvetica" w:hAnsi="Helvetica" w:cs="Helvetica"/>
          <w:sz w:val="18"/>
          <w:szCs w:val="18"/>
        </w:rPr>
        <w:t xml:space="preserve"> </w:t>
      </w:r>
      <w:r w:rsidR="002F350D" w:rsidRPr="00AB1F5C">
        <w:rPr>
          <w:rFonts w:ascii="Helvetica" w:hAnsi="Helvetica" w:cs="Helvetica"/>
          <w:sz w:val="18"/>
          <w:szCs w:val="18"/>
        </w:rPr>
        <w:t>Figure 2 - Population 2022 and 2032</w:t>
      </w:r>
    </w:p>
    <w:p w14:paraId="515B9912" w14:textId="7A250AEE" w:rsidR="001F3348" w:rsidRPr="005B7332" w:rsidRDefault="002F350D" w:rsidP="009E33F7">
      <w:pPr>
        <w:jc w:val="center"/>
        <w:rPr>
          <w:rFonts w:ascii="Helvetica" w:hAnsi="Helvetica" w:cs="Helvetica"/>
          <w:highlight w:val="yellow"/>
        </w:rPr>
      </w:pPr>
      <w:r>
        <w:rPr>
          <w:rFonts w:ascii="Helvetica" w:hAnsi="Helvetica" w:cs="Helvetica"/>
          <w:noProof/>
          <w:sz w:val="22"/>
          <w:szCs w:val="22"/>
        </w:rPr>
        <w:drawing>
          <wp:inline distT="0" distB="0" distL="0" distR="0" wp14:anchorId="46061482" wp14:editId="0D6DD067">
            <wp:extent cx="4694555" cy="3493135"/>
            <wp:effectExtent l="0" t="0" r="0" b="0"/>
            <wp:docPr id="1842027845" name="Picture 1" descr="Chart showing female and male mid year population estimates by 5 year age range comparing years 2022 and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27845" name="Picture 1" descr="Chart showing female and male mid year population estimates by 5 year age range comparing years 2022 and 20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555" cy="3493135"/>
                    </a:xfrm>
                    <a:prstGeom prst="rect">
                      <a:avLst/>
                    </a:prstGeom>
                    <a:noFill/>
                  </pic:spPr>
                </pic:pic>
              </a:graphicData>
            </a:graphic>
          </wp:inline>
        </w:drawing>
      </w:r>
    </w:p>
    <w:p w14:paraId="315B2384" w14:textId="77777777" w:rsidR="00893DBF" w:rsidRDefault="00893DBF" w:rsidP="004409F6">
      <w:pPr>
        <w:pStyle w:val="Heading2"/>
      </w:pPr>
    </w:p>
    <w:p w14:paraId="57CCD6CC" w14:textId="5C2FD069" w:rsidR="00357EB6" w:rsidRPr="00314379" w:rsidRDefault="00DE0A77" w:rsidP="007479B5">
      <w:pPr>
        <w:pStyle w:val="Heading3"/>
      </w:pPr>
      <w:r w:rsidRPr="00314379">
        <w:t>Medway Community: Sexual Orientation</w:t>
      </w:r>
    </w:p>
    <w:p w14:paraId="0B5B0638" w14:textId="1077C6C5" w:rsidR="001F3348" w:rsidRPr="00F33327" w:rsidRDefault="00237C61" w:rsidP="00F33327">
      <w:pPr>
        <w:rPr>
          <w:rFonts w:ascii="Helvetica" w:hAnsi="Helvetica" w:cs="Helvetica"/>
          <w:szCs w:val="28"/>
        </w:rPr>
      </w:pPr>
      <w:bookmarkStart w:id="4" w:name="_Ref471812995"/>
      <w:r w:rsidRPr="00237C61">
        <w:rPr>
          <w:rFonts w:ascii="Helvetica" w:hAnsi="Helvetica" w:cs="Helvetica"/>
          <w:szCs w:val="28"/>
        </w:rPr>
        <w:t xml:space="preserve">Census 2021, for the first time, asked respondents aged 16 and over to provide details of their sexual orientation. </w:t>
      </w:r>
      <w:r w:rsidR="009D5CA2">
        <w:rPr>
          <w:rFonts w:ascii="Helvetica" w:hAnsi="Helvetica" w:cs="Helvetica"/>
          <w:szCs w:val="28"/>
        </w:rPr>
        <w:t>Table 3 below shows m</w:t>
      </w:r>
      <w:r w:rsidRPr="00237C61">
        <w:rPr>
          <w:rFonts w:ascii="Helvetica" w:hAnsi="Helvetica" w:cs="Helvetica"/>
          <w:szCs w:val="28"/>
        </w:rPr>
        <w:t>ost of Medway’s population (90.5%) stated their sexual orientation as ‘straight or heterosexual’, with 2.7% identifying with another sexual orientation. Amongst this group the majority stated they were ‘gay or lesbian’ (1.3%), followed by ‘bisexual’ (1.1%) and ‘other sexual orientation’ (0.3%). As this was a voluntary question, some people (6.7%) chose not to answer</w:t>
      </w:r>
      <w:r w:rsidR="00F33327">
        <w:rPr>
          <w:rFonts w:ascii="Helvetica" w:hAnsi="Helvetica" w:cs="Helvetica"/>
          <w:szCs w:val="28"/>
        </w:rPr>
        <w:t>.</w:t>
      </w:r>
    </w:p>
    <w:p w14:paraId="2DE2BB68" w14:textId="77777777" w:rsidR="001F3348" w:rsidRDefault="001F3348" w:rsidP="001F3348">
      <w:pPr>
        <w:jc w:val="center"/>
        <w:rPr>
          <w:rFonts w:ascii="Helvetica" w:hAnsi="Helvetica" w:cs="Helvetica"/>
          <w:bCs/>
          <w:sz w:val="18"/>
          <w:szCs w:val="18"/>
        </w:rPr>
      </w:pPr>
    </w:p>
    <w:p w14:paraId="7D42AD60" w14:textId="3E0A581A" w:rsidR="00A10914" w:rsidRPr="001F3348" w:rsidRDefault="00A10914" w:rsidP="001F3348">
      <w:pPr>
        <w:jc w:val="center"/>
        <w:rPr>
          <w:rFonts w:ascii="Helvetica" w:hAnsi="Helvetica" w:cs="Helvetica"/>
          <w:szCs w:val="28"/>
        </w:rPr>
      </w:pPr>
      <w:r w:rsidRPr="00237C61">
        <w:rPr>
          <w:rFonts w:ascii="Helvetica" w:hAnsi="Helvetica" w:cs="Helvetica"/>
          <w:bCs/>
          <w:sz w:val="18"/>
          <w:szCs w:val="18"/>
        </w:rPr>
        <w:t>Table 3 Sexual Orientation, Census 2021</w:t>
      </w:r>
    </w:p>
    <w:tbl>
      <w:tblPr>
        <w:tblStyle w:val="TableGrid"/>
        <w:tblW w:w="0" w:type="auto"/>
        <w:jc w:val="center"/>
        <w:tblLook w:val="04A0" w:firstRow="1" w:lastRow="0" w:firstColumn="1" w:lastColumn="0" w:noHBand="0" w:noVBand="1"/>
        <w:tblCaption w:val="Table 3 Sexual Orientation, Census 2021"/>
        <w:tblDescription w:val="Table 3  shows most of Medway’s population (90.5%) stated their sexual orientation as ‘straight or heterosexual’."/>
      </w:tblPr>
      <w:tblGrid>
        <w:gridCol w:w="3805"/>
        <w:gridCol w:w="4394"/>
      </w:tblGrid>
      <w:tr w:rsidR="00F33327" w:rsidRPr="00F33327" w14:paraId="3D3C7618" w14:textId="77777777" w:rsidTr="001315B7">
        <w:trPr>
          <w:jc w:val="center"/>
        </w:trPr>
        <w:tc>
          <w:tcPr>
            <w:tcW w:w="3805" w:type="dxa"/>
            <w:tcBorders>
              <w:top w:val="single" w:sz="18" w:space="0" w:color="00205B"/>
              <w:left w:val="single" w:sz="18" w:space="0" w:color="00205B"/>
            </w:tcBorders>
            <w:shd w:val="clear" w:color="auto" w:fill="auto"/>
          </w:tcPr>
          <w:bookmarkEnd w:id="4"/>
          <w:p w14:paraId="084C8282" w14:textId="77777777" w:rsidR="00F33327" w:rsidRPr="00F33327" w:rsidRDefault="00F33327" w:rsidP="00F33327">
            <w:pPr>
              <w:pStyle w:val="Heading2"/>
              <w:rPr>
                <w:b w:val="0"/>
                <w:bCs w:val="0"/>
                <w:lang w:val="en-GB"/>
              </w:rPr>
            </w:pPr>
            <w:r w:rsidRPr="00F33327">
              <w:rPr>
                <w:b w:val="0"/>
                <w:bCs w:val="0"/>
                <w:lang w:val="en-GB"/>
              </w:rPr>
              <w:t>Sexual Orientation</w:t>
            </w:r>
          </w:p>
        </w:tc>
        <w:tc>
          <w:tcPr>
            <w:tcW w:w="4394" w:type="dxa"/>
            <w:tcBorders>
              <w:top w:val="single" w:sz="18" w:space="0" w:color="00205B"/>
              <w:right w:val="single" w:sz="12" w:space="0" w:color="auto"/>
            </w:tcBorders>
            <w:shd w:val="clear" w:color="auto" w:fill="auto"/>
          </w:tcPr>
          <w:p w14:paraId="7A37797C" w14:textId="77777777" w:rsidR="00F33327" w:rsidRPr="00F33327" w:rsidRDefault="00F33327" w:rsidP="00F33327">
            <w:pPr>
              <w:pStyle w:val="Heading2"/>
              <w:rPr>
                <w:b w:val="0"/>
                <w:bCs w:val="0"/>
                <w:lang w:val="en-GB"/>
              </w:rPr>
            </w:pPr>
            <w:r w:rsidRPr="00F33327">
              <w:rPr>
                <w:b w:val="0"/>
                <w:bCs w:val="0"/>
                <w:lang w:val="en-GB"/>
              </w:rPr>
              <w:t>Medway 2021</w:t>
            </w:r>
          </w:p>
        </w:tc>
      </w:tr>
      <w:tr w:rsidR="00F33327" w:rsidRPr="00F33327" w14:paraId="2C7A7C17" w14:textId="77777777" w:rsidTr="001315B7">
        <w:trPr>
          <w:jc w:val="center"/>
        </w:trPr>
        <w:tc>
          <w:tcPr>
            <w:tcW w:w="3805" w:type="dxa"/>
            <w:tcBorders>
              <w:left w:val="single" w:sz="18" w:space="0" w:color="00205B"/>
            </w:tcBorders>
            <w:shd w:val="clear" w:color="auto" w:fill="auto"/>
            <w:vAlign w:val="bottom"/>
          </w:tcPr>
          <w:p w14:paraId="538B4DDC" w14:textId="77777777" w:rsidR="00F33327" w:rsidRPr="00F33327" w:rsidRDefault="00F33327" w:rsidP="00F33327">
            <w:pPr>
              <w:pStyle w:val="Heading2"/>
              <w:rPr>
                <w:b w:val="0"/>
                <w:bCs w:val="0"/>
                <w:sz w:val="22"/>
                <w:szCs w:val="22"/>
                <w:lang w:val="en-GB"/>
              </w:rPr>
            </w:pPr>
            <w:r w:rsidRPr="00F33327">
              <w:rPr>
                <w:b w:val="0"/>
                <w:bCs w:val="0"/>
                <w:sz w:val="22"/>
                <w:szCs w:val="22"/>
                <w:lang w:val="en-GB"/>
              </w:rPr>
              <w:t>Straight or Heterosexual</w:t>
            </w:r>
          </w:p>
        </w:tc>
        <w:tc>
          <w:tcPr>
            <w:tcW w:w="4394" w:type="dxa"/>
            <w:tcBorders>
              <w:right w:val="single" w:sz="12" w:space="0" w:color="auto"/>
            </w:tcBorders>
            <w:shd w:val="clear" w:color="auto" w:fill="FFFFFF" w:themeFill="background1"/>
            <w:vAlign w:val="bottom"/>
          </w:tcPr>
          <w:p w14:paraId="2236D447" w14:textId="77777777" w:rsidR="00F33327" w:rsidRPr="00F33327" w:rsidRDefault="00F33327" w:rsidP="00F33327">
            <w:pPr>
              <w:pStyle w:val="Heading2"/>
              <w:rPr>
                <w:b w:val="0"/>
                <w:bCs w:val="0"/>
                <w:sz w:val="22"/>
                <w:szCs w:val="22"/>
                <w:lang w:val="en-GB"/>
              </w:rPr>
            </w:pPr>
            <w:r w:rsidRPr="00F33327">
              <w:rPr>
                <w:b w:val="0"/>
                <w:bCs w:val="0"/>
                <w:sz w:val="22"/>
                <w:szCs w:val="22"/>
                <w:lang w:val="en-GB"/>
              </w:rPr>
              <w:t>201,694 (90.5%)</w:t>
            </w:r>
          </w:p>
        </w:tc>
      </w:tr>
      <w:tr w:rsidR="00F33327" w:rsidRPr="00F33327" w14:paraId="664F24D5" w14:textId="77777777" w:rsidTr="001315B7">
        <w:trPr>
          <w:jc w:val="center"/>
        </w:trPr>
        <w:tc>
          <w:tcPr>
            <w:tcW w:w="3805" w:type="dxa"/>
            <w:tcBorders>
              <w:left w:val="single" w:sz="18" w:space="0" w:color="00205B"/>
            </w:tcBorders>
            <w:shd w:val="clear" w:color="auto" w:fill="auto"/>
            <w:vAlign w:val="bottom"/>
          </w:tcPr>
          <w:p w14:paraId="71F73F17" w14:textId="77777777" w:rsidR="00F33327" w:rsidRPr="00F33327" w:rsidRDefault="00F33327" w:rsidP="00F33327">
            <w:pPr>
              <w:pStyle w:val="Heading2"/>
              <w:rPr>
                <w:b w:val="0"/>
                <w:bCs w:val="0"/>
                <w:sz w:val="22"/>
                <w:szCs w:val="22"/>
                <w:lang w:val="en-GB"/>
              </w:rPr>
            </w:pPr>
            <w:r w:rsidRPr="00F33327">
              <w:rPr>
                <w:b w:val="0"/>
                <w:bCs w:val="0"/>
                <w:sz w:val="22"/>
                <w:szCs w:val="22"/>
                <w:lang w:val="en-GB"/>
              </w:rPr>
              <w:t>Gay or Lesbian</w:t>
            </w:r>
          </w:p>
        </w:tc>
        <w:tc>
          <w:tcPr>
            <w:tcW w:w="4394" w:type="dxa"/>
            <w:tcBorders>
              <w:right w:val="single" w:sz="12" w:space="0" w:color="auto"/>
            </w:tcBorders>
            <w:shd w:val="clear" w:color="auto" w:fill="FFFFFF" w:themeFill="background1"/>
            <w:vAlign w:val="bottom"/>
          </w:tcPr>
          <w:p w14:paraId="353C5329" w14:textId="77777777" w:rsidR="00F33327" w:rsidRPr="00F33327" w:rsidRDefault="00F33327" w:rsidP="00F33327">
            <w:pPr>
              <w:pStyle w:val="Heading2"/>
              <w:rPr>
                <w:b w:val="0"/>
                <w:bCs w:val="0"/>
                <w:sz w:val="22"/>
                <w:szCs w:val="22"/>
                <w:lang w:val="en-GB"/>
              </w:rPr>
            </w:pPr>
            <w:r w:rsidRPr="00F33327">
              <w:rPr>
                <w:b w:val="0"/>
                <w:bCs w:val="0"/>
                <w:sz w:val="22"/>
                <w:szCs w:val="22"/>
                <w:lang w:val="en-GB"/>
              </w:rPr>
              <w:t>2,979 (1.3%)</w:t>
            </w:r>
          </w:p>
        </w:tc>
      </w:tr>
      <w:tr w:rsidR="00F33327" w:rsidRPr="00F33327" w14:paraId="6D9415D6" w14:textId="77777777" w:rsidTr="001315B7">
        <w:trPr>
          <w:jc w:val="center"/>
        </w:trPr>
        <w:tc>
          <w:tcPr>
            <w:tcW w:w="3805" w:type="dxa"/>
            <w:tcBorders>
              <w:left w:val="single" w:sz="18" w:space="0" w:color="00205B"/>
            </w:tcBorders>
            <w:shd w:val="clear" w:color="auto" w:fill="auto"/>
            <w:vAlign w:val="bottom"/>
          </w:tcPr>
          <w:p w14:paraId="0544F086" w14:textId="77777777" w:rsidR="00F33327" w:rsidRPr="00F33327" w:rsidRDefault="00F33327" w:rsidP="00F33327">
            <w:pPr>
              <w:pStyle w:val="Heading2"/>
              <w:rPr>
                <w:b w:val="0"/>
                <w:bCs w:val="0"/>
                <w:sz w:val="22"/>
                <w:szCs w:val="22"/>
                <w:lang w:val="en-GB"/>
              </w:rPr>
            </w:pPr>
            <w:r w:rsidRPr="00F33327">
              <w:rPr>
                <w:b w:val="0"/>
                <w:bCs w:val="0"/>
                <w:sz w:val="22"/>
                <w:szCs w:val="22"/>
                <w:lang w:val="en-GB"/>
              </w:rPr>
              <w:t>Bisexual</w:t>
            </w:r>
          </w:p>
        </w:tc>
        <w:tc>
          <w:tcPr>
            <w:tcW w:w="4394" w:type="dxa"/>
            <w:tcBorders>
              <w:right w:val="single" w:sz="12" w:space="0" w:color="auto"/>
            </w:tcBorders>
            <w:shd w:val="clear" w:color="auto" w:fill="FFFFFF" w:themeFill="background1"/>
            <w:vAlign w:val="bottom"/>
          </w:tcPr>
          <w:p w14:paraId="40CC02CC" w14:textId="77777777" w:rsidR="00F33327" w:rsidRPr="00F33327" w:rsidRDefault="00F33327" w:rsidP="00F33327">
            <w:pPr>
              <w:pStyle w:val="Heading2"/>
              <w:rPr>
                <w:b w:val="0"/>
                <w:bCs w:val="0"/>
                <w:sz w:val="22"/>
                <w:szCs w:val="22"/>
                <w:lang w:val="en-GB"/>
              </w:rPr>
            </w:pPr>
            <w:r w:rsidRPr="00F33327">
              <w:rPr>
                <w:b w:val="0"/>
                <w:bCs w:val="0"/>
                <w:sz w:val="22"/>
                <w:szCs w:val="22"/>
                <w:lang w:val="en-GB"/>
              </w:rPr>
              <w:t>2,528 (1.1%)</w:t>
            </w:r>
          </w:p>
        </w:tc>
      </w:tr>
      <w:tr w:rsidR="00F33327" w:rsidRPr="00F33327" w14:paraId="1DEC55A0" w14:textId="77777777" w:rsidTr="001315B7">
        <w:trPr>
          <w:jc w:val="center"/>
        </w:trPr>
        <w:tc>
          <w:tcPr>
            <w:tcW w:w="3805" w:type="dxa"/>
            <w:tcBorders>
              <w:left w:val="single" w:sz="18" w:space="0" w:color="00205B"/>
            </w:tcBorders>
            <w:shd w:val="clear" w:color="auto" w:fill="auto"/>
            <w:vAlign w:val="bottom"/>
          </w:tcPr>
          <w:p w14:paraId="6516A8C1" w14:textId="77777777" w:rsidR="00F33327" w:rsidRPr="00F33327" w:rsidRDefault="00F33327" w:rsidP="00F33327">
            <w:pPr>
              <w:pStyle w:val="Heading2"/>
              <w:rPr>
                <w:b w:val="0"/>
                <w:bCs w:val="0"/>
                <w:sz w:val="22"/>
                <w:szCs w:val="22"/>
                <w:lang w:val="en-GB"/>
              </w:rPr>
            </w:pPr>
            <w:r w:rsidRPr="00F33327">
              <w:rPr>
                <w:b w:val="0"/>
                <w:bCs w:val="0"/>
                <w:sz w:val="22"/>
                <w:szCs w:val="22"/>
                <w:lang w:val="en-GB"/>
              </w:rPr>
              <w:t>All other sexual orientations</w:t>
            </w:r>
          </w:p>
        </w:tc>
        <w:tc>
          <w:tcPr>
            <w:tcW w:w="4394" w:type="dxa"/>
            <w:tcBorders>
              <w:right w:val="single" w:sz="12" w:space="0" w:color="auto"/>
            </w:tcBorders>
            <w:shd w:val="clear" w:color="auto" w:fill="FFFFFF" w:themeFill="background1"/>
            <w:vAlign w:val="bottom"/>
          </w:tcPr>
          <w:p w14:paraId="3154D140" w14:textId="77777777" w:rsidR="00F33327" w:rsidRPr="00F33327" w:rsidRDefault="00F33327" w:rsidP="00F33327">
            <w:pPr>
              <w:pStyle w:val="Heading2"/>
              <w:rPr>
                <w:b w:val="0"/>
                <w:bCs w:val="0"/>
                <w:sz w:val="22"/>
                <w:szCs w:val="22"/>
                <w:lang w:val="en-GB"/>
              </w:rPr>
            </w:pPr>
            <w:r w:rsidRPr="00F33327">
              <w:rPr>
                <w:b w:val="0"/>
                <w:bCs w:val="0"/>
                <w:sz w:val="22"/>
                <w:szCs w:val="22"/>
                <w:lang w:val="en-GB"/>
              </w:rPr>
              <w:t>674 (0.3%)</w:t>
            </w:r>
          </w:p>
        </w:tc>
      </w:tr>
      <w:tr w:rsidR="00F33327" w:rsidRPr="00F33327" w14:paraId="4192A323" w14:textId="77777777" w:rsidTr="001315B7">
        <w:trPr>
          <w:jc w:val="center"/>
        </w:trPr>
        <w:tc>
          <w:tcPr>
            <w:tcW w:w="3805" w:type="dxa"/>
            <w:tcBorders>
              <w:left w:val="single" w:sz="18" w:space="0" w:color="00205B"/>
              <w:bottom w:val="single" w:sz="18" w:space="0" w:color="00205B"/>
            </w:tcBorders>
            <w:shd w:val="clear" w:color="auto" w:fill="auto"/>
            <w:vAlign w:val="bottom"/>
          </w:tcPr>
          <w:p w14:paraId="0E9D98A5" w14:textId="77777777" w:rsidR="00F33327" w:rsidRPr="00F33327" w:rsidRDefault="00F33327" w:rsidP="00F33327">
            <w:pPr>
              <w:pStyle w:val="Heading2"/>
              <w:rPr>
                <w:b w:val="0"/>
                <w:bCs w:val="0"/>
                <w:sz w:val="22"/>
                <w:szCs w:val="22"/>
                <w:lang w:val="en-GB"/>
              </w:rPr>
            </w:pPr>
            <w:r w:rsidRPr="00F33327">
              <w:rPr>
                <w:b w:val="0"/>
                <w:bCs w:val="0"/>
                <w:sz w:val="22"/>
                <w:szCs w:val="22"/>
                <w:lang w:val="en-GB"/>
              </w:rPr>
              <w:t>Not answered*</w:t>
            </w:r>
          </w:p>
        </w:tc>
        <w:tc>
          <w:tcPr>
            <w:tcW w:w="4394" w:type="dxa"/>
            <w:tcBorders>
              <w:bottom w:val="single" w:sz="18" w:space="0" w:color="00205B"/>
              <w:right w:val="single" w:sz="12" w:space="0" w:color="auto"/>
            </w:tcBorders>
            <w:shd w:val="clear" w:color="auto" w:fill="FFFFFF" w:themeFill="background1"/>
            <w:vAlign w:val="bottom"/>
          </w:tcPr>
          <w:p w14:paraId="4EF5AA49" w14:textId="77777777" w:rsidR="00F33327" w:rsidRPr="00F33327" w:rsidRDefault="00F33327" w:rsidP="00F33327">
            <w:pPr>
              <w:pStyle w:val="Heading2"/>
              <w:rPr>
                <w:b w:val="0"/>
                <w:bCs w:val="0"/>
                <w:sz w:val="22"/>
                <w:szCs w:val="22"/>
                <w:lang w:val="en-GB"/>
              </w:rPr>
            </w:pPr>
            <w:r w:rsidRPr="00F33327">
              <w:rPr>
                <w:b w:val="0"/>
                <w:bCs w:val="0"/>
                <w:sz w:val="22"/>
                <w:szCs w:val="22"/>
                <w:lang w:val="en-GB"/>
              </w:rPr>
              <w:t>14,881 (6.7%)</w:t>
            </w:r>
          </w:p>
        </w:tc>
      </w:tr>
    </w:tbl>
    <w:p w14:paraId="3FEF47AF" w14:textId="77777777" w:rsidR="00511FF2" w:rsidRDefault="00511FF2" w:rsidP="00511FF2">
      <w:pPr>
        <w:pStyle w:val="Heading2"/>
        <w:rPr>
          <w:b w:val="0"/>
          <w:bCs w:val="0"/>
          <w:highlight w:val="yellow"/>
        </w:rPr>
      </w:pPr>
    </w:p>
    <w:p w14:paraId="7EACC5D7" w14:textId="77777777" w:rsidR="00F33327" w:rsidRPr="00F33327" w:rsidRDefault="00F33327" w:rsidP="00F33327">
      <w:pPr>
        <w:rPr>
          <w:highlight w:val="yellow"/>
          <w:lang w:val="en-US" w:eastAsia="en-US"/>
        </w:rPr>
      </w:pPr>
    </w:p>
    <w:p w14:paraId="3CC46D7A" w14:textId="108ED9D3" w:rsidR="00B77218" w:rsidRPr="007479B5" w:rsidRDefault="00DE0A77" w:rsidP="007479B5">
      <w:pPr>
        <w:pStyle w:val="Heading2"/>
        <w:rPr>
          <w:sz w:val="28"/>
          <w:szCs w:val="28"/>
        </w:rPr>
      </w:pPr>
      <w:r w:rsidRPr="007479B5">
        <w:rPr>
          <w:sz w:val="28"/>
          <w:szCs w:val="28"/>
        </w:rPr>
        <w:t>Medway Community: Gender Reassignment</w:t>
      </w:r>
    </w:p>
    <w:p w14:paraId="33A677F8" w14:textId="77777777" w:rsidR="00596582" w:rsidRPr="007479B5" w:rsidRDefault="00596582" w:rsidP="007479B5">
      <w:pPr>
        <w:pStyle w:val="Heading2"/>
        <w:rPr>
          <w:sz w:val="28"/>
          <w:szCs w:val="28"/>
        </w:rPr>
      </w:pPr>
    </w:p>
    <w:p w14:paraId="3BEB20CD" w14:textId="163AE26F" w:rsidR="00237C61" w:rsidRPr="004409F6" w:rsidRDefault="00237C61" w:rsidP="009E33F7">
      <w:pPr>
        <w:pStyle w:val="Heading3"/>
      </w:pPr>
      <w:r w:rsidRPr="004409F6">
        <w:t>Gender Identity</w:t>
      </w:r>
    </w:p>
    <w:p w14:paraId="5CBD989C" w14:textId="18A74FDF" w:rsidR="00237C61" w:rsidRDefault="00237C61" w:rsidP="005B7332">
      <w:r w:rsidRPr="00237C61">
        <w:rPr>
          <w:rFonts w:ascii="Helvetica" w:hAnsi="Helvetica" w:cs="Helvetica"/>
          <w:kern w:val="32"/>
        </w:rPr>
        <w:t xml:space="preserve">The Census 2021 was the first to ask respondents to provide details of their gender identity. </w:t>
      </w:r>
      <w:r w:rsidR="00F33327">
        <w:rPr>
          <w:rFonts w:ascii="Helvetica" w:hAnsi="Helvetica" w:cs="Helvetica"/>
          <w:kern w:val="32"/>
        </w:rPr>
        <w:t xml:space="preserve"> </w:t>
      </w:r>
      <w:r w:rsidRPr="00237C61">
        <w:rPr>
          <w:rFonts w:ascii="Helvetica" w:hAnsi="Helvetica" w:cs="Helvetica"/>
          <w:kern w:val="32"/>
        </w:rPr>
        <w:t xml:space="preserve">The question asked was “Is the gender you identify with the same as your sex registered at birth?”. </w:t>
      </w:r>
      <w:r w:rsidR="00F33327">
        <w:rPr>
          <w:rFonts w:ascii="Helvetica" w:hAnsi="Helvetica" w:cs="Helvetica"/>
          <w:kern w:val="32"/>
        </w:rPr>
        <w:t xml:space="preserve"> </w:t>
      </w:r>
      <w:r w:rsidRPr="00237C61">
        <w:rPr>
          <w:rFonts w:ascii="Helvetica" w:hAnsi="Helvetica" w:cs="Helvetica"/>
          <w:kern w:val="32"/>
        </w:rPr>
        <w:t>Respondents did not have to answer this question, as it was voluntary, and</w:t>
      </w:r>
      <w:r w:rsidRPr="00237C61">
        <w:t xml:space="preserve"> this question was only asked to people aged 16 and over.</w:t>
      </w:r>
    </w:p>
    <w:p w14:paraId="270C6910" w14:textId="77777777" w:rsidR="00576DC6" w:rsidRDefault="00576DC6" w:rsidP="005B7332"/>
    <w:p w14:paraId="4CAF1C10" w14:textId="65AFDBE7" w:rsidR="00237C61" w:rsidRDefault="00237C61" w:rsidP="005B7332">
      <w:pPr>
        <w:rPr>
          <w:rFonts w:ascii="Helvetica" w:hAnsi="Helvetica" w:cs="Helvetica"/>
          <w:kern w:val="32"/>
        </w:rPr>
      </w:pPr>
      <w:r w:rsidRPr="00237C61">
        <w:rPr>
          <w:rFonts w:ascii="Helvetica" w:hAnsi="Helvetica" w:cs="Helvetica"/>
          <w:kern w:val="32"/>
        </w:rPr>
        <w:t xml:space="preserve">Around 19 in every 20 Medway residents responded that the gender they identify with is the same as </w:t>
      </w:r>
      <w:r>
        <w:rPr>
          <w:rFonts w:ascii="Helvetica" w:hAnsi="Helvetica" w:cs="Helvetica"/>
          <w:kern w:val="32"/>
        </w:rPr>
        <w:t>their</w:t>
      </w:r>
      <w:r w:rsidRPr="00237C61">
        <w:rPr>
          <w:rFonts w:ascii="Helvetica" w:hAnsi="Helvetica" w:cs="Helvetica"/>
          <w:kern w:val="32"/>
        </w:rPr>
        <w:t xml:space="preserve"> sex registered at birth, and 5.3% chose not to answer the question.</w:t>
      </w:r>
      <w:r w:rsidR="00F33327">
        <w:rPr>
          <w:rFonts w:ascii="Helvetica" w:hAnsi="Helvetica" w:cs="Helvetica"/>
          <w:kern w:val="32"/>
        </w:rPr>
        <w:t xml:space="preserve"> </w:t>
      </w:r>
      <w:r w:rsidRPr="00237C61">
        <w:rPr>
          <w:rFonts w:ascii="Helvetica" w:hAnsi="Helvetica" w:cs="Helvetica"/>
          <w:kern w:val="32"/>
        </w:rPr>
        <w:t xml:space="preserve"> Nearly 1,100 Medway residents have a gender identity different from their registered sex at birth; about 0.5% of the population.</w:t>
      </w:r>
    </w:p>
    <w:p w14:paraId="59119FD4" w14:textId="77777777" w:rsidR="00576DC6" w:rsidRPr="00237C61" w:rsidRDefault="00576DC6" w:rsidP="005B7332">
      <w:pPr>
        <w:rPr>
          <w:rFonts w:ascii="Helvetica" w:hAnsi="Helvetica" w:cs="Helvetica"/>
          <w:kern w:val="32"/>
        </w:rPr>
      </w:pPr>
    </w:p>
    <w:p w14:paraId="3F86474E" w14:textId="6079669D" w:rsidR="00576DC6" w:rsidRDefault="00237C61" w:rsidP="005B7332">
      <w:pPr>
        <w:rPr>
          <w:rFonts w:ascii="Helvetica" w:hAnsi="Helvetica" w:cs="Helvetica"/>
          <w:kern w:val="32"/>
        </w:rPr>
      </w:pPr>
      <w:r w:rsidRPr="00237C61">
        <w:rPr>
          <w:rFonts w:ascii="Helvetica" w:hAnsi="Helvetica" w:cs="Helvetica"/>
          <w:kern w:val="32"/>
        </w:rPr>
        <w:t>About half of these individuals (511) chose not to disclose a specific identity, though 225 individuals identified as trans women, and 214 identified as trans men. 145 individuals identified as a different gender identity from the aforementioned.</w:t>
      </w:r>
    </w:p>
    <w:p w14:paraId="74D46102" w14:textId="2C628D85" w:rsidR="00237C61" w:rsidRPr="00237C61" w:rsidRDefault="00237C61" w:rsidP="005B7332">
      <w:pPr>
        <w:rPr>
          <w:rFonts w:ascii="Helvetica" w:hAnsi="Helvetica" w:cs="Helvetica"/>
          <w:kern w:val="32"/>
        </w:rPr>
      </w:pPr>
    </w:p>
    <w:p w14:paraId="691B0F20" w14:textId="1BEE35AE" w:rsidR="00576DC6" w:rsidRPr="004409F6" w:rsidRDefault="00237C61" w:rsidP="007479B5">
      <w:pPr>
        <w:pStyle w:val="Heading3"/>
      </w:pPr>
      <w:r w:rsidRPr="004409F6">
        <w:t>Gender reassignment</w:t>
      </w:r>
    </w:p>
    <w:p w14:paraId="695C7A43" w14:textId="230DF274" w:rsidR="00237C61" w:rsidRDefault="00237C61" w:rsidP="005B7332">
      <w:pPr>
        <w:rPr>
          <w:rFonts w:ascii="Helvetica" w:hAnsi="Helvetica" w:cs="Helvetica"/>
          <w:kern w:val="32"/>
        </w:rPr>
      </w:pPr>
      <w:r w:rsidRPr="00237C61">
        <w:rPr>
          <w:rFonts w:ascii="Helvetica" w:hAnsi="Helvetica" w:cs="Helvetica"/>
          <w:kern w:val="32"/>
        </w:rPr>
        <w:t xml:space="preserve">Information on the numbers of people who may have reassigned their gender is not collected to enable a profile for Medway to be included in this report. Press for Change (the UK’s leading experts in transgender law) and the Gender Trust (an organisation supporting all those affected by gender identity issues) have produced statistical estimates of 25 per 100,000 population based on research into the numbers of people who have undergone gender reassignment procedures. </w:t>
      </w:r>
    </w:p>
    <w:p w14:paraId="7A799D0C" w14:textId="77777777" w:rsidR="00576DC6" w:rsidRPr="00237C61" w:rsidRDefault="00576DC6" w:rsidP="005B7332">
      <w:pPr>
        <w:rPr>
          <w:rFonts w:ascii="Helvetica" w:hAnsi="Helvetica" w:cs="Helvetica"/>
          <w:kern w:val="32"/>
        </w:rPr>
      </w:pPr>
    </w:p>
    <w:p w14:paraId="1BCB5DAB" w14:textId="2694081C" w:rsidR="00237C61" w:rsidRDefault="00237C61" w:rsidP="005B7332">
      <w:pPr>
        <w:rPr>
          <w:rFonts w:ascii="Helvetica" w:hAnsi="Helvetica" w:cs="Helvetica"/>
          <w:kern w:val="32"/>
        </w:rPr>
      </w:pPr>
      <w:r w:rsidRPr="00237C61">
        <w:rPr>
          <w:rFonts w:ascii="Helvetica" w:hAnsi="Helvetica" w:cs="Helvetica"/>
          <w:kern w:val="32"/>
        </w:rPr>
        <w:t xml:space="preserve">Based on the above estimate, Medway would expect to have around 70 residents who would have reassigned their gender or be undergoing the process of having their gender reassigned. </w:t>
      </w:r>
      <w:r w:rsidR="00F33327">
        <w:rPr>
          <w:rFonts w:ascii="Helvetica" w:hAnsi="Helvetica" w:cs="Helvetica"/>
          <w:kern w:val="32"/>
        </w:rPr>
        <w:t xml:space="preserve"> </w:t>
      </w:r>
      <w:r w:rsidRPr="00237C61">
        <w:rPr>
          <w:rFonts w:ascii="Helvetica" w:hAnsi="Helvetica" w:cs="Helvetica"/>
          <w:kern w:val="32"/>
        </w:rPr>
        <w:t>Although this would be a very small section of the community it is important to remember that this section of the community can face significant obstacles in being accepted.</w:t>
      </w:r>
    </w:p>
    <w:p w14:paraId="2FDA2D62" w14:textId="77777777" w:rsidR="00576DC6" w:rsidRPr="00237C61" w:rsidRDefault="00576DC6" w:rsidP="005B7332">
      <w:pPr>
        <w:rPr>
          <w:rFonts w:ascii="Helvetica" w:hAnsi="Helvetica" w:cs="Helvetica"/>
          <w:kern w:val="32"/>
        </w:rPr>
      </w:pPr>
    </w:p>
    <w:p w14:paraId="7C8C4A91" w14:textId="5A45097E" w:rsidR="006D1342" w:rsidRPr="007479B5" w:rsidRDefault="00DE0A77" w:rsidP="00C26342">
      <w:pPr>
        <w:pStyle w:val="Heading2"/>
        <w:ind w:right="-142"/>
        <w:rPr>
          <w:sz w:val="28"/>
          <w:szCs w:val="28"/>
        </w:rPr>
      </w:pPr>
      <w:r w:rsidRPr="007479B5">
        <w:rPr>
          <w:sz w:val="28"/>
          <w:szCs w:val="28"/>
        </w:rPr>
        <w:t>Medway Community: Marriage and Civil Partnership</w:t>
      </w:r>
    </w:p>
    <w:p w14:paraId="3A790E12" w14:textId="1807CFD3" w:rsidR="00902D68" w:rsidRDefault="00A0496C" w:rsidP="005B7332">
      <w:pPr>
        <w:rPr>
          <w:rFonts w:ascii="Helvetica" w:hAnsi="Helvetica" w:cs="Helvetica"/>
          <w:kern w:val="32"/>
        </w:rPr>
      </w:pPr>
      <w:r>
        <w:rPr>
          <w:rFonts w:ascii="Helvetica" w:hAnsi="Helvetica" w:cs="Helvetica"/>
          <w:kern w:val="32"/>
        </w:rPr>
        <w:t xml:space="preserve">Table 4 </w:t>
      </w:r>
      <w:r w:rsidR="00B77218">
        <w:rPr>
          <w:rFonts w:ascii="Helvetica" w:hAnsi="Helvetica" w:cs="Helvetica"/>
          <w:kern w:val="32"/>
        </w:rPr>
        <w:t xml:space="preserve">below </w:t>
      </w:r>
      <w:r>
        <w:rPr>
          <w:rFonts w:ascii="Helvetica" w:hAnsi="Helvetica" w:cs="Helvetica"/>
          <w:kern w:val="32"/>
        </w:rPr>
        <w:t xml:space="preserve">shows </w:t>
      </w:r>
      <w:r w:rsidR="00902D68" w:rsidRPr="00902D68">
        <w:rPr>
          <w:rFonts w:ascii="Helvetica" w:hAnsi="Helvetica" w:cs="Helvetica"/>
          <w:kern w:val="32"/>
        </w:rPr>
        <w:t xml:space="preserve">Medway ranks quite low both nationally and regionally in terms of the proportion of people who are married. </w:t>
      </w:r>
      <w:r w:rsidR="00F33327">
        <w:rPr>
          <w:rFonts w:ascii="Helvetica" w:hAnsi="Helvetica" w:cs="Helvetica"/>
          <w:kern w:val="32"/>
        </w:rPr>
        <w:t xml:space="preserve"> </w:t>
      </w:r>
      <w:r w:rsidR="00902D68" w:rsidRPr="00902D68">
        <w:rPr>
          <w:rFonts w:ascii="Helvetica" w:hAnsi="Helvetica" w:cs="Helvetica"/>
          <w:kern w:val="32"/>
        </w:rPr>
        <w:t xml:space="preserve">Conversely, Medway ranks quite high for people whose marital status is divorced. In respect of single people who have never married, Medway’s proportion is the higher than both Kent and the South-East but is similar to England &amp; Wales. </w:t>
      </w:r>
    </w:p>
    <w:p w14:paraId="3CADCF04" w14:textId="77777777" w:rsidR="00576DC6" w:rsidRPr="00902D68" w:rsidRDefault="00576DC6" w:rsidP="005B7332">
      <w:pPr>
        <w:rPr>
          <w:rFonts w:ascii="Helvetica" w:hAnsi="Helvetica" w:cs="Helvetica"/>
          <w:kern w:val="32"/>
        </w:rPr>
      </w:pPr>
    </w:p>
    <w:p w14:paraId="511D92DE" w14:textId="219C910B" w:rsidR="00902D68" w:rsidRDefault="00902D68" w:rsidP="005B7332">
      <w:pPr>
        <w:rPr>
          <w:rFonts w:ascii="Helvetica" w:hAnsi="Helvetica" w:cs="Helvetica"/>
          <w:kern w:val="32"/>
        </w:rPr>
      </w:pPr>
      <w:r w:rsidRPr="00902D68">
        <w:rPr>
          <w:rFonts w:ascii="Helvetica" w:hAnsi="Helvetica" w:cs="Helvetica"/>
          <w:kern w:val="32"/>
        </w:rPr>
        <w:t xml:space="preserve">Despite the number of married people remaining virtually the same 97,510 (Census 2021) compared to 97,095 (Census 2011). </w:t>
      </w:r>
      <w:r w:rsidR="00F33327">
        <w:rPr>
          <w:rFonts w:ascii="Helvetica" w:hAnsi="Helvetica" w:cs="Helvetica"/>
          <w:kern w:val="32"/>
        </w:rPr>
        <w:t xml:space="preserve"> </w:t>
      </w:r>
      <w:r w:rsidRPr="00902D68">
        <w:rPr>
          <w:rFonts w:ascii="Helvetica" w:hAnsi="Helvetica" w:cs="Helvetica"/>
          <w:kern w:val="32"/>
        </w:rPr>
        <w:t xml:space="preserve">The proportion of the population who are married has fallen from 46.1% in 2011 to 43.8% in 2021. </w:t>
      </w:r>
      <w:r w:rsidR="00F33327">
        <w:rPr>
          <w:rFonts w:ascii="Helvetica" w:hAnsi="Helvetica" w:cs="Helvetica"/>
          <w:kern w:val="32"/>
        </w:rPr>
        <w:t xml:space="preserve"> </w:t>
      </w:r>
      <w:r w:rsidRPr="00902D68">
        <w:rPr>
          <w:rFonts w:ascii="Helvetica" w:hAnsi="Helvetica" w:cs="Helvetica"/>
          <w:kern w:val="32"/>
        </w:rPr>
        <w:t>Most marriages are for opposite sex couples (43.5% or 96,857), with 653 people (0.3%) in a same sex marriage.</w:t>
      </w:r>
    </w:p>
    <w:p w14:paraId="50A25E12" w14:textId="77777777" w:rsidR="00576DC6" w:rsidRPr="00902D68" w:rsidRDefault="00576DC6" w:rsidP="005B7332">
      <w:pPr>
        <w:rPr>
          <w:rFonts w:ascii="Helvetica" w:hAnsi="Helvetica" w:cs="Helvetica"/>
          <w:kern w:val="32"/>
        </w:rPr>
      </w:pPr>
    </w:p>
    <w:p w14:paraId="76982FAD" w14:textId="77777777" w:rsidR="00902D68" w:rsidRDefault="00902D68" w:rsidP="005B7332">
      <w:pPr>
        <w:rPr>
          <w:rFonts w:ascii="Helvetica" w:hAnsi="Helvetica" w:cs="Helvetica"/>
          <w:kern w:val="32"/>
        </w:rPr>
      </w:pPr>
      <w:r w:rsidRPr="00902D68">
        <w:rPr>
          <w:rFonts w:ascii="Helvetica" w:hAnsi="Helvetica" w:cs="Helvetica"/>
          <w:kern w:val="32"/>
        </w:rPr>
        <w:t>There are 365 people living in a registered civil partnership, there is an almost even split between same sex (180 people) and opposite sex (185 people) partnerships (Census 2021).</w:t>
      </w:r>
    </w:p>
    <w:p w14:paraId="0A344F17" w14:textId="77777777" w:rsidR="00576DC6" w:rsidRPr="00902D68" w:rsidRDefault="00576DC6" w:rsidP="005B7332">
      <w:pPr>
        <w:rPr>
          <w:rFonts w:ascii="Helvetica" w:hAnsi="Helvetica" w:cs="Helvetica"/>
          <w:kern w:val="32"/>
        </w:rPr>
      </w:pPr>
    </w:p>
    <w:p w14:paraId="476A08AB" w14:textId="77777777" w:rsidR="00902D68" w:rsidRDefault="00902D68" w:rsidP="005B7332">
      <w:pPr>
        <w:rPr>
          <w:rFonts w:ascii="Helvetica" w:hAnsi="Helvetica" w:cs="Helvetica"/>
          <w:kern w:val="32"/>
        </w:rPr>
      </w:pPr>
      <w:r w:rsidRPr="00902D68">
        <w:rPr>
          <w:rFonts w:ascii="Helvetica" w:hAnsi="Helvetica" w:cs="Helvetica"/>
          <w:kern w:val="32"/>
        </w:rPr>
        <w:t>Cohabiting couples account for 13% of Medway’s population compared with the England &amp; Wales level of 11.6%. (Census 2021)</w:t>
      </w:r>
    </w:p>
    <w:p w14:paraId="24C06B86" w14:textId="77777777" w:rsidR="00576DC6" w:rsidRPr="00902D68" w:rsidRDefault="00576DC6" w:rsidP="005B7332">
      <w:pPr>
        <w:rPr>
          <w:rFonts w:ascii="Helvetica" w:hAnsi="Helvetica" w:cs="Helvetica"/>
          <w:kern w:val="32"/>
        </w:rPr>
      </w:pPr>
    </w:p>
    <w:p w14:paraId="0A4384E6" w14:textId="0E7505E0" w:rsidR="00A96488" w:rsidRDefault="00902D68">
      <w:pPr>
        <w:rPr>
          <w:rFonts w:ascii="Helvetica" w:hAnsi="Helvetica" w:cs="Helvetica"/>
          <w:kern w:val="32"/>
        </w:rPr>
      </w:pPr>
      <w:r w:rsidRPr="00902D68">
        <w:rPr>
          <w:rFonts w:ascii="Helvetica" w:hAnsi="Helvetica" w:cs="Helvetica"/>
          <w:kern w:val="32"/>
        </w:rPr>
        <w:t xml:space="preserve">The number of people who are divorced or had their civil partnership dissolved increased between 2011 to 2021, but the proportion of the population remained static. </w:t>
      </w:r>
      <w:r w:rsidR="00F33327">
        <w:rPr>
          <w:rFonts w:ascii="Helvetica" w:hAnsi="Helvetica" w:cs="Helvetica"/>
          <w:kern w:val="32"/>
        </w:rPr>
        <w:t xml:space="preserve"> </w:t>
      </w:r>
      <w:r w:rsidRPr="00902D68">
        <w:rPr>
          <w:rFonts w:ascii="Helvetica" w:hAnsi="Helvetica" w:cs="Helvetica"/>
          <w:kern w:val="32"/>
        </w:rPr>
        <w:t>The number of people who are separated, but still married/civil partners or widowed/surviving partner from civil partnership both saw falls in the number of people and the proportion of the population who were in these categories</w:t>
      </w:r>
      <w:r>
        <w:rPr>
          <w:rFonts w:ascii="Helvetica" w:hAnsi="Helvetica" w:cs="Helvetica"/>
          <w:kern w:val="32"/>
        </w:rPr>
        <w:t>.</w:t>
      </w:r>
    </w:p>
    <w:p w14:paraId="156068BF" w14:textId="77777777" w:rsidR="00226392" w:rsidRDefault="00226392">
      <w:pPr>
        <w:rPr>
          <w:rFonts w:ascii="Helvetica" w:hAnsi="Helvetica" w:cs="Helvetica"/>
          <w:kern w:val="32"/>
        </w:rPr>
      </w:pPr>
    </w:p>
    <w:p w14:paraId="1B744A05" w14:textId="77777777" w:rsidR="00226392" w:rsidRDefault="00226392">
      <w:pPr>
        <w:rPr>
          <w:rFonts w:ascii="Helvetica" w:hAnsi="Helvetica" w:cs="Helvetica"/>
          <w:kern w:val="32"/>
        </w:rPr>
      </w:pPr>
    </w:p>
    <w:tbl>
      <w:tblPr>
        <w:tblStyle w:val="TableGrid"/>
        <w:tblpPr w:leftFromText="180" w:rightFromText="180" w:vertAnchor="text" w:horzAnchor="margin" w:tblpXSpec="center" w:tblpY="1400"/>
        <w:tblW w:w="0" w:type="auto"/>
        <w:tblLook w:val="04A0" w:firstRow="1" w:lastRow="0" w:firstColumn="1" w:lastColumn="0" w:noHBand="0" w:noVBand="1"/>
        <w:tblCaption w:val="Table 4 Legal partnership status comparing Medway, the South East of England and England and Wales Census 2021"/>
        <w:tblDescription w:val="Table 4  shows Medway ranks quite low both nationally and regionally in terms of the proportion of people who are married. "/>
      </w:tblPr>
      <w:tblGrid>
        <w:gridCol w:w="3429"/>
        <w:gridCol w:w="995"/>
        <w:gridCol w:w="995"/>
        <w:gridCol w:w="1061"/>
        <w:gridCol w:w="784"/>
        <w:gridCol w:w="1005"/>
      </w:tblGrid>
      <w:tr w:rsidR="00364AC7" w:rsidRPr="00AB1F5C" w14:paraId="0215CA07" w14:textId="77777777" w:rsidTr="00EC20D1">
        <w:trPr>
          <w:trHeight w:val="839"/>
        </w:trPr>
        <w:tc>
          <w:tcPr>
            <w:tcW w:w="3429" w:type="dxa"/>
            <w:tcBorders>
              <w:top w:val="single" w:sz="18" w:space="0" w:color="00205B"/>
              <w:left w:val="single" w:sz="18" w:space="0" w:color="00205B"/>
            </w:tcBorders>
            <w:shd w:val="clear" w:color="auto" w:fill="auto"/>
          </w:tcPr>
          <w:p w14:paraId="0488882C" w14:textId="77777777" w:rsidR="00364AC7" w:rsidRPr="00AB1F5C" w:rsidRDefault="00364AC7" w:rsidP="005C324F">
            <w:pPr>
              <w:keepNext/>
              <w:autoSpaceDE w:val="0"/>
              <w:autoSpaceDN w:val="0"/>
              <w:adjustRightInd w:val="0"/>
              <w:outlineLvl w:val="4"/>
              <w:rPr>
                <w:rFonts w:ascii="Helvetica" w:hAnsi="Helvetica" w:cs="Helvetica"/>
                <w:b/>
                <w:sz w:val="20"/>
                <w:szCs w:val="20"/>
              </w:rPr>
            </w:pPr>
          </w:p>
        </w:tc>
        <w:tc>
          <w:tcPr>
            <w:tcW w:w="995" w:type="dxa"/>
            <w:tcBorders>
              <w:top w:val="single" w:sz="18" w:space="0" w:color="00205B"/>
            </w:tcBorders>
            <w:shd w:val="clear" w:color="auto" w:fill="auto"/>
          </w:tcPr>
          <w:p w14:paraId="04DCB20A" w14:textId="77777777" w:rsidR="00364AC7" w:rsidRPr="00AB1F5C" w:rsidRDefault="00364AC7" w:rsidP="005C324F">
            <w:pPr>
              <w:keepNext/>
              <w:autoSpaceDE w:val="0"/>
              <w:autoSpaceDN w:val="0"/>
              <w:adjustRightInd w:val="0"/>
              <w:jc w:val="center"/>
              <w:outlineLvl w:val="4"/>
              <w:rPr>
                <w:b/>
                <w:sz w:val="20"/>
                <w:szCs w:val="20"/>
              </w:rPr>
            </w:pPr>
            <w:r w:rsidRPr="00AB1F5C">
              <w:rPr>
                <w:b/>
                <w:sz w:val="20"/>
                <w:szCs w:val="20"/>
              </w:rPr>
              <w:t>Medway 2011</w:t>
            </w:r>
          </w:p>
        </w:tc>
        <w:tc>
          <w:tcPr>
            <w:tcW w:w="995" w:type="dxa"/>
            <w:tcBorders>
              <w:top w:val="single" w:sz="18" w:space="0" w:color="00205B"/>
              <w:right w:val="single" w:sz="12" w:space="0" w:color="auto"/>
            </w:tcBorders>
            <w:shd w:val="clear" w:color="auto" w:fill="auto"/>
          </w:tcPr>
          <w:p w14:paraId="21A6EA00" w14:textId="77777777" w:rsidR="00364AC7" w:rsidRPr="00AB1F5C" w:rsidRDefault="00364AC7" w:rsidP="005C324F">
            <w:pPr>
              <w:jc w:val="center"/>
              <w:rPr>
                <w:b/>
                <w:sz w:val="20"/>
                <w:szCs w:val="20"/>
              </w:rPr>
            </w:pPr>
            <w:r w:rsidRPr="00AB1F5C">
              <w:rPr>
                <w:b/>
                <w:sz w:val="20"/>
                <w:szCs w:val="20"/>
              </w:rPr>
              <w:t>Medway 2021</w:t>
            </w:r>
          </w:p>
        </w:tc>
        <w:tc>
          <w:tcPr>
            <w:tcW w:w="1061" w:type="dxa"/>
            <w:tcBorders>
              <w:top w:val="single" w:sz="18" w:space="0" w:color="00205B"/>
              <w:left w:val="single" w:sz="12" w:space="0" w:color="auto"/>
            </w:tcBorders>
            <w:shd w:val="clear" w:color="auto" w:fill="auto"/>
          </w:tcPr>
          <w:p w14:paraId="1B6BB69A" w14:textId="77777777" w:rsidR="00364AC7" w:rsidRPr="00AB1F5C" w:rsidRDefault="00364AC7" w:rsidP="005C324F">
            <w:pPr>
              <w:jc w:val="center"/>
              <w:rPr>
                <w:b/>
                <w:sz w:val="20"/>
                <w:szCs w:val="20"/>
              </w:rPr>
            </w:pPr>
            <w:r w:rsidRPr="00AB1F5C">
              <w:rPr>
                <w:b/>
                <w:sz w:val="20"/>
                <w:szCs w:val="20"/>
              </w:rPr>
              <w:t>Kent (excl. Medway) 2021 %</w:t>
            </w:r>
          </w:p>
        </w:tc>
        <w:tc>
          <w:tcPr>
            <w:tcW w:w="784" w:type="dxa"/>
            <w:tcBorders>
              <w:top w:val="single" w:sz="18" w:space="0" w:color="00205B"/>
            </w:tcBorders>
            <w:shd w:val="clear" w:color="auto" w:fill="auto"/>
          </w:tcPr>
          <w:p w14:paraId="0E48F90E" w14:textId="77777777" w:rsidR="00364AC7" w:rsidRPr="00AB1F5C" w:rsidRDefault="00364AC7" w:rsidP="005C324F">
            <w:pPr>
              <w:jc w:val="center"/>
              <w:rPr>
                <w:b/>
                <w:sz w:val="20"/>
                <w:szCs w:val="20"/>
              </w:rPr>
            </w:pPr>
            <w:r w:rsidRPr="00AB1F5C">
              <w:rPr>
                <w:b/>
                <w:sz w:val="20"/>
                <w:szCs w:val="20"/>
              </w:rPr>
              <w:t>South East 2021 %</w:t>
            </w:r>
          </w:p>
        </w:tc>
        <w:tc>
          <w:tcPr>
            <w:tcW w:w="1005" w:type="dxa"/>
            <w:tcBorders>
              <w:top w:val="single" w:sz="18" w:space="0" w:color="00205B"/>
              <w:right w:val="single" w:sz="18" w:space="0" w:color="00205B"/>
            </w:tcBorders>
            <w:shd w:val="clear" w:color="auto" w:fill="auto"/>
          </w:tcPr>
          <w:p w14:paraId="20875006" w14:textId="77777777" w:rsidR="00364AC7" w:rsidRPr="00AB1F5C" w:rsidRDefault="00364AC7" w:rsidP="005C324F">
            <w:pPr>
              <w:jc w:val="center"/>
              <w:rPr>
                <w:b/>
                <w:sz w:val="20"/>
                <w:szCs w:val="20"/>
              </w:rPr>
            </w:pPr>
            <w:r w:rsidRPr="00AB1F5C">
              <w:rPr>
                <w:b/>
                <w:sz w:val="20"/>
                <w:szCs w:val="20"/>
              </w:rPr>
              <w:t>England &amp; Wales 2021 %</w:t>
            </w:r>
          </w:p>
        </w:tc>
      </w:tr>
      <w:tr w:rsidR="00364AC7" w:rsidRPr="00AB1F5C" w14:paraId="0E680541" w14:textId="77777777" w:rsidTr="005C324F">
        <w:trPr>
          <w:trHeight w:val="317"/>
        </w:trPr>
        <w:tc>
          <w:tcPr>
            <w:tcW w:w="3429" w:type="dxa"/>
            <w:tcBorders>
              <w:left w:val="single" w:sz="18" w:space="0" w:color="00205B"/>
            </w:tcBorders>
            <w:shd w:val="clear" w:color="auto" w:fill="auto"/>
          </w:tcPr>
          <w:p w14:paraId="18F42BD6" w14:textId="77777777" w:rsidR="00364AC7" w:rsidRPr="00AB1F5C" w:rsidRDefault="00364AC7" w:rsidP="005C324F">
            <w:pPr>
              <w:keepNext/>
              <w:autoSpaceDE w:val="0"/>
              <w:autoSpaceDN w:val="0"/>
              <w:adjustRightInd w:val="0"/>
              <w:spacing w:after="40"/>
              <w:jc w:val="center"/>
              <w:outlineLvl w:val="4"/>
              <w:rPr>
                <w:bCs/>
                <w:sz w:val="20"/>
                <w:szCs w:val="20"/>
              </w:rPr>
            </w:pPr>
            <w:r w:rsidRPr="00AB1F5C">
              <w:rPr>
                <w:bCs/>
                <w:sz w:val="20"/>
                <w:szCs w:val="20"/>
              </w:rPr>
              <w:t>Population aged 16 or over</w:t>
            </w:r>
          </w:p>
        </w:tc>
        <w:tc>
          <w:tcPr>
            <w:tcW w:w="995" w:type="dxa"/>
            <w:shd w:val="clear" w:color="auto" w:fill="FFFFFF" w:themeFill="background1"/>
          </w:tcPr>
          <w:p w14:paraId="6A427A8C" w14:textId="77777777" w:rsidR="00364AC7" w:rsidRPr="00AB1F5C" w:rsidRDefault="00364AC7" w:rsidP="005C324F">
            <w:pPr>
              <w:jc w:val="center"/>
              <w:rPr>
                <w:sz w:val="20"/>
                <w:szCs w:val="20"/>
              </w:rPr>
            </w:pPr>
            <w:r w:rsidRPr="00AB1F5C">
              <w:rPr>
                <w:sz w:val="20"/>
                <w:szCs w:val="20"/>
              </w:rPr>
              <w:t>210,511</w:t>
            </w:r>
          </w:p>
        </w:tc>
        <w:tc>
          <w:tcPr>
            <w:tcW w:w="995" w:type="dxa"/>
            <w:tcBorders>
              <w:right w:val="single" w:sz="12" w:space="0" w:color="auto"/>
            </w:tcBorders>
            <w:shd w:val="clear" w:color="auto" w:fill="FFFFFF" w:themeFill="background1"/>
          </w:tcPr>
          <w:p w14:paraId="13643A7C" w14:textId="77777777" w:rsidR="00364AC7" w:rsidRPr="00AB1F5C" w:rsidRDefault="00364AC7" w:rsidP="005C324F">
            <w:pPr>
              <w:jc w:val="center"/>
              <w:rPr>
                <w:sz w:val="20"/>
                <w:szCs w:val="20"/>
              </w:rPr>
            </w:pPr>
            <w:r w:rsidRPr="00AB1F5C">
              <w:rPr>
                <w:sz w:val="20"/>
                <w:szCs w:val="20"/>
              </w:rPr>
              <w:t>222,756</w:t>
            </w:r>
          </w:p>
        </w:tc>
        <w:tc>
          <w:tcPr>
            <w:tcW w:w="1061" w:type="dxa"/>
            <w:tcBorders>
              <w:left w:val="single" w:sz="12" w:space="0" w:color="auto"/>
            </w:tcBorders>
            <w:shd w:val="clear" w:color="auto" w:fill="FFFFFF" w:themeFill="background1"/>
          </w:tcPr>
          <w:p w14:paraId="07245090" w14:textId="77777777" w:rsidR="00364AC7" w:rsidRPr="00AB1F5C" w:rsidRDefault="00364AC7" w:rsidP="005C324F">
            <w:pPr>
              <w:jc w:val="center"/>
              <w:rPr>
                <w:sz w:val="20"/>
                <w:szCs w:val="20"/>
              </w:rPr>
            </w:pPr>
            <w:r w:rsidRPr="00AB1F5C">
              <w:rPr>
                <w:sz w:val="20"/>
                <w:szCs w:val="20"/>
              </w:rPr>
              <w:t>-</w:t>
            </w:r>
          </w:p>
        </w:tc>
        <w:tc>
          <w:tcPr>
            <w:tcW w:w="784" w:type="dxa"/>
            <w:shd w:val="clear" w:color="auto" w:fill="FFFFFF" w:themeFill="background1"/>
          </w:tcPr>
          <w:p w14:paraId="1733498E" w14:textId="77777777" w:rsidR="00364AC7" w:rsidRPr="00AB1F5C" w:rsidRDefault="00364AC7" w:rsidP="005C324F">
            <w:pPr>
              <w:jc w:val="center"/>
              <w:rPr>
                <w:sz w:val="20"/>
                <w:szCs w:val="20"/>
              </w:rPr>
            </w:pPr>
            <w:r w:rsidRPr="00AB1F5C">
              <w:rPr>
                <w:sz w:val="20"/>
                <w:szCs w:val="20"/>
              </w:rPr>
              <w:t>-</w:t>
            </w:r>
          </w:p>
        </w:tc>
        <w:tc>
          <w:tcPr>
            <w:tcW w:w="1005" w:type="dxa"/>
            <w:tcBorders>
              <w:right w:val="single" w:sz="18" w:space="0" w:color="00205B"/>
            </w:tcBorders>
            <w:shd w:val="clear" w:color="auto" w:fill="FFFFFF" w:themeFill="background1"/>
          </w:tcPr>
          <w:p w14:paraId="25998AA1" w14:textId="77777777" w:rsidR="00364AC7" w:rsidRPr="00AB1F5C" w:rsidRDefault="00364AC7" w:rsidP="005C324F">
            <w:pPr>
              <w:jc w:val="center"/>
              <w:rPr>
                <w:sz w:val="20"/>
                <w:szCs w:val="20"/>
              </w:rPr>
            </w:pPr>
            <w:r w:rsidRPr="00AB1F5C">
              <w:rPr>
                <w:sz w:val="20"/>
                <w:szCs w:val="20"/>
              </w:rPr>
              <w:t>-</w:t>
            </w:r>
          </w:p>
        </w:tc>
      </w:tr>
      <w:tr w:rsidR="00364AC7" w:rsidRPr="00AB1F5C" w14:paraId="785C5FFA" w14:textId="77777777" w:rsidTr="005C324F">
        <w:trPr>
          <w:trHeight w:val="576"/>
        </w:trPr>
        <w:tc>
          <w:tcPr>
            <w:tcW w:w="3429" w:type="dxa"/>
            <w:tcBorders>
              <w:left w:val="single" w:sz="18" w:space="0" w:color="00205B"/>
            </w:tcBorders>
            <w:shd w:val="clear" w:color="auto" w:fill="auto"/>
          </w:tcPr>
          <w:p w14:paraId="479E3C05"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Never married or registered as civil partners (single)</w:t>
            </w:r>
          </w:p>
        </w:tc>
        <w:tc>
          <w:tcPr>
            <w:tcW w:w="995" w:type="dxa"/>
            <w:shd w:val="clear" w:color="auto" w:fill="FFFFFF" w:themeFill="background1"/>
          </w:tcPr>
          <w:p w14:paraId="1C716881" w14:textId="77777777" w:rsidR="00364AC7" w:rsidRPr="00AB1F5C" w:rsidRDefault="00364AC7" w:rsidP="005C324F">
            <w:pPr>
              <w:jc w:val="center"/>
              <w:rPr>
                <w:sz w:val="20"/>
                <w:szCs w:val="20"/>
              </w:rPr>
            </w:pPr>
            <w:r w:rsidRPr="00AB1F5C">
              <w:rPr>
                <w:sz w:val="20"/>
                <w:szCs w:val="20"/>
              </w:rPr>
              <w:t>72,899 (34.6%)</w:t>
            </w:r>
          </w:p>
        </w:tc>
        <w:tc>
          <w:tcPr>
            <w:tcW w:w="995" w:type="dxa"/>
            <w:tcBorders>
              <w:right w:val="single" w:sz="12" w:space="0" w:color="auto"/>
            </w:tcBorders>
            <w:shd w:val="clear" w:color="auto" w:fill="FFFFFF" w:themeFill="background1"/>
          </w:tcPr>
          <w:p w14:paraId="45C2EACA" w14:textId="77777777" w:rsidR="00364AC7" w:rsidRPr="00AB1F5C" w:rsidRDefault="00364AC7" w:rsidP="005C324F">
            <w:pPr>
              <w:jc w:val="center"/>
              <w:rPr>
                <w:sz w:val="20"/>
                <w:szCs w:val="20"/>
              </w:rPr>
            </w:pPr>
            <w:r w:rsidRPr="00AB1F5C">
              <w:rPr>
                <w:sz w:val="20"/>
                <w:szCs w:val="20"/>
              </w:rPr>
              <w:t>84,139 (37.8%)</w:t>
            </w:r>
          </w:p>
        </w:tc>
        <w:tc>
          <w:tcPr>
            <w:tcW w:w="1061" w:type="dxa"/>
            <w:tcBorders>
              <w:left w:val="single" w:sz="12" w:space="0" w:color="auto"/>
            </w:tcBorders>
            <w:shd w:val="clear" w:color="auto" w:fill="FFFFFF" w:themeFill="background1"/>
          </w:tcPr>
          <w:p w14:paraId="61B61DA0" w14:textId="77777777" w:rsidR="00364AC7" w:rsidRPr="00AB1F5C" w:rsidRDefault="00364AC7" w:rsidP="005C324F">
            <w:pPr>
              <w:jc w:val="center"/>
              <w:rPr>
                <w:sz w:val="20"/>
                <w:szCs w:val="20"/>
              </w:rPr>
            </w:pPr>
            <w:r w:rsidRPr="00AB1F5C">
              <w:rPr>
                <w:sz w:val="20"/>
                <w:szCs w:val="20"/>
              </w:rPr>
              <w:t>34.6%</w:t>
            </w:r>
          </w:p>
        </w:tc>
        <w:tc>
          <w:tcPr>
            <w:tcW w:w="784" w:type="dxa"/>
            <w:shd w:val="clear" w:color="auto" w:fill="FFFFFF" w:themeFill="background1"/>
          </w:tcPr>
          <w:p w14:paraId="229B5F97" w14:textId="77777777" w:rsidR="00364AC7" w:rsidRPr="00AB1F5C" w:rsidRDefault="00364AC7" w:rsidP="005C324F">
            <w:pPr>
              <w:jc w:val="center"/>
              <w:rPr>
                <w:sz w:val="20"/>
                <w:szCs w:val="20"/>
              </w:rPr>
            </w:pPr>
            <w:r w:rsidRPr="00AB1F5C">
              <w:rPr>
                <w:sz w:val="20"/>
                <w:szCs w:val="20"/>
              </w:rPr>
              <w:t>34.8%</w:t>
            </w:r>
          </w:p>
        </w:tc>
        <w:tc>
          <w:tcPr>
            <w:tcW w:w="1005" w:type="dxa"/>
            <w:tcBorders>
              <w:right w:val="single" w:sz="18" w:space="0" w:color="00205B"/>
            </w:tcBorders>
            <w:shd w:val="clear" w:color="auto" w:fill="FFFFFF" w:themeFill="background1"/>
          </w:tcPr>
          <w:p w14:paraId="3DAEDCE0" w14:textId="77777777" w:rsidR="00364AC7" w:rsidRPr="00AB1F5C" w:rsidRDefault="00364AC7" w:rsidP="005C324F">
            <w:pPr>
              <w:jc w:val="center"/>
              <w:rPr>
                <w:sz w:val="20"/>
                <w:szCs w:val="20"/>
              </w:rPr>
            </w:pPr>
            <w:r w:rsidRPr="00AB1F5C">
              <w:rPr>
                <w:sz w:val="20"/>
                <w:szCs w:val="20"/>
              </w:rPr>
              <w:t>37.9%</w:t>
            </w:r>
          </w:p>
        </w:tc>
      </w:tr>
      <w:tr w:rsidR="00364AC7" w:rsidRPr="00AB1F5C" w14:paraId="397D98E7" w14:textId="77777777" w:rsidTr="005C324F">
        <w:trPr>
          <w:trHeight w:val="534"/>
        </w:trPr>
        <w:tc>
          <w:tcPr>
            <w:tcW w:w="3429" w:type="dxa"/>
            <w:tcBorders>
              <w:left w:val="single" w:sz="18" w:space="0" w:color="00205B"/>
            </w:tcBorders>
            <w:shd w:val="clear" w:color="auto" w:fill="auto"/>
          </w:tcPr>
          <w:p w14:paraId="0ADAFB86"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Married</w:t>
            </w:r>
          </w:p>
        </w:tc>
        <w:tc>
          <w:tcPr>
            <w:tcW w:w="995" w:type="dxa"/>
            <w:shd w:val="clear" w:color="auto" w:fill="FFFFFF" w:themeFill="background1"/>
          </w:tcPr>
          <w:p w14:paraId="0DF00758" w14:textId="77777777" w:rsidR="00364AC7" w:rsidRPr="00AB1F5C" w:rsidRDefault="00364AC7" w:rsidP="005C324F">
            <w:pPr>
              <w:jc w:val="center"/>
              <w:rPr>
                <w:sz w:val="20"/>
                <w:szCs w:val="20"/>
              </w:rPr>
            </w:pPr>
            <w:r w:rsidRPr="00AB1F5C">
              <w:rPr>
                <w:sz w:val="20"/>
                <w:szCs w:val="20"/>
              </w:rPr>
              <w:t>97,095 (46.1%)</w:t>
            </w:r>
          </w:p>
        </w:tc>
        <w:tc>
          <w:tcPr>
            <w:tcW w:w="995" w:type="dxa"/>
            <w:tcBorders>
              <w:right w:val="single" w:sz="12" w:space="0" w:color="auto"/>
            </w:tcBorders>
            <w:shd w:val="clear" w:color="auto" w:fill="FFFFFF" w:themeFill="background1"/>
          </w:tcPr>
          <w:p w14:paraId="4C566F45" w14:textId="77777777" w:rsidR="00364AC7" w:rsidRPr="00AB1F5C" w:rsidRDefault="00364AC7" w:rsidP="005C324F">
            <w:pPr>
              <w:jc w:val="center"/>
              <w:rPr>
                <w:sz w:val="20"/>
                <w:szCs w:val="20"/>
              </w:rPr>
            </w:pPr>
            <w:r w:rsidRPr="00AB1F5C">
              <w:rPr>
                <w:sz w:val="20"/>
                <w:szCs w:val="20"/>
              </w:rPr>
              <w:t>97,510 (43.8%)</w:t>
            </w:r>
          </w:p>
        </w:tc>
        <w:tc>
          <w:tcPr>
            <w:tcW w:w="1061" w:type="dxa"/>
            <w:tcBorders>
              <w:left w:val="single" w:sz="12" w:space="0" w:color="auto"/>
            </w:tcBorders>
            <w:shd w:val="clear" w:color="auto" w:fill="FFFFFF" w:themeFill="background1"/>
          </w:tcPr>
          <w:p w14:paraId="2AF77BAA" w14:textId="77777777" w:rsidR="00364AC7" w:rsidRPr="00AB1F5C" w:rsidRDefault="00364AC7" w:rsidP="005C324F">
            <w:pPr>
              <w:jc w:val="center"/>
              <w:rPr>
                <w:sz w:val="20"/>
                <w:szCs w:val="20"/>
              </w:rPr>
            </w:pPr>
            <w:r w:rsidRPr="00AB1F5C">
              <w:rPr>
                <w:sz w:val="20"/>
                <w:szCs w:val="20"/>
              </w:rPr>
              <w:t>46.6%</w:t>
            </w:r>
          </w:p>
        </w:tc>
        <w:tc>
          <w:tcPr>
            <w:tcW w:w="784" w:type="dxa"/>
            <w:shd w:val="clear" w:color="auto" w:fill="FFFFFF" w:themeFill="background1"/>
          </w:tcPr>
          <w:p w14:paraId="734FFB2D" w14:textId="77777777" w:rsidR="00364AC7" w:rsidRPr="00AB1F5C" w:rsidRDefault="00364AC7" w:rsidP="005C324F">
            <w:pPr>
              <w:jc w:val="center"/>
              <w:rPr>
                <w:sz w:val="20"/>
                <w:szCs w:val="20"/>
              </w:rPr>
            </w:pPr>
            <w:r w:rsidRPr="00AB1F5C">
              <w:rPr>
                <w:sz w:val="20"/>
                <w:szCs w:val="20"/>
              </w:rPr>
              <w:t>47.4%</w:t>
            </w:r>
          </w:p>
        </w:tc>
        <w:tc>
          <w:tcPr>
            <w:tcW w:w="1005" w:type="dxa"/>
            <w:tcBorders>
              <w:right w:val="single" w:sz="18" w:space="0" w:color="00205B"/>
            </w:tcBorders>
            <w:shd w:val="clear" w:color="auto" w:fill="FFFFFF" w:themeFill="background1"/>
          </w:tcPr>
          <w:p w14:paraId="5E63E60E" w14:textId="77777777" w:rsidR="00364AC7" w:rsidRPr="00AB1F5C" w:rsidRDefault="00364AC7" w:rsidP="005C324F">
            <w:pPr>
              <w:jc w:val="center"/>
              <w:rPr>
                <w:sz w:val="20"/>
                <w:szCs w:val="20"/>
              </w:rPr>
            </w:pPr>
            <w:r w:rsidRPr="00AB1F5C">
              <w:rPr>
                <w:sz w:val="20"/>
                <w:szCs w:val="20"/>
              </w:rPr>
              <w:t>44.4%</w:t>
            </w:r>
          </w:p>
        </w:tc>
      </w:tr>
      <w:tr w:rsidR="00364AC7" w:rsidRPr="00AB1F5C" w14:paraId="137D8F0A" w14:textId="77777777" w:rsidTr="005C324F">
        <w:trPr>
          <w:trHeight w:val="367"/>
        </w:trPr>
        <w:tc>
          <w:tcPr>
            <w:tcW w:w="3429" w:type="dxa"/>
            <w:tcBorders>
              <w:left w:val="single" w:sz="18" w:space="0" w:color="00205B"/>
            </w:tcBorders>
            <w:shd w:val="clear" w:color="auto" w:fill="auto"/>
          </w:tcPr>
          <w:p w14:paraId="225FAC63"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Registered civil partnership</w:t>
            </w:r>
          </w:p>
        </w:tc>
        <w:tc>
          <w:tcPr>
            <w:tcW w:w="995" w:type="dxa"/>
            <w:shd w:val="clear" w:color="auto" w:fill="FFFFFF" w:themeFill="background1"/>
          </w:tcPr>
          <w:p w14:paraId="4B651CF8" w14:textId="77777777" w:rsidR="00364AC7" w:rsidRPr="00AB1F5C" w:rsidRDefault="00364AC7" w:rsidP="005C324F">
            <w:pPr>
              <w:jc w:val="center"/>
              <w:rPr>
                <w:sz w:val="20"/>
                <w:szCs w:val="20"/>
              </w:rPr>
            </w:pPr>
            <w:r w:rsidRPr="00AB1F5C">
              <w:rPr>
                <w:sz w:val="20"/>
                <w:szCs w:val="20"/>
              </w:rPr>
              <w:t>359 (0.2%)</w:t>
            </w:r>
          </w:p>
        </w:tc>
        <w:tc>
          <w:tcPr>
            <w:tcW w:w="995" w:type="dxa"/>
            <w:tcBorders>
              <w:right w:val="single" w:sz="12" w:space="0" w:color="auto"/>
            </w:tcBorders>
            <w:shd w:val="clear" w:color="auto" w:fill="FFFFFF" w:themeFill="background1"/>
          </w:tcPr>
          <w:p w14:paraId="0115291E" w14:textId="77777777" w:rsidR="00364AC7" w:rsidRPr="00AB1F5C" w:rsidRDefault="00364AC7" w:rsidP="005C324F">
            <w:pPr>
              <w:jc w:val="center"/>
              <w:rPr>
                <w:sz w:val="20"/>
                <w:szCs w:val="20"/>
              </w:rPr>
            </w:pPr>
            <w:r w:rsidRPr="00AB1F5C">
              <w:rPr>
                <w:sz w:val="20"/>
                <w:szCs w:val="20"/>
              </w:rPr>
              <w:t>365</w:t>
            </w:r>
          </w:p>
          <w:p w14:paraId="23D72144" w14:textId="77777777" w:rsidR="00364AC7" w:rsidRPr="00AB1F5C" w:rsidRDefault="00364AC7" w:rsidP="005C324F">
            <w:pPr>
              <w:jc w:val="center"/>
              <w:rPr>
                <w:sz w:val="20"/>
                <w:szCs w:val="20"/>
              </w:rPr>
            </w:pPr>
            <w:r w:rsidRPr="00AB1F5C">
              <w:rPr>
                <w:sz w:val="20"/>
                <w:szCs w:val="20"/>
              </w:rPr>
              <w:t>(0.2%)</w:t>
            </w:r>
          </w:p>
        </w:tc>
        <w:tc>
          <w:tcPr>
            <w:tcW w:w="1061" w:type="dxa"/>
            <w:tcBorders>
              <w:left w:val="single" w:sz="12" w:space="0" w:color="auto"/>
            </w:tcBorders>
            <w:shd w:val="clear" w:color="auto" w:fill="FFFFFF" w:themeFill="background1"/>
          </w:tcPr>
          <w:p w14:paraId="0F23FE7B" w14:textId="77777777" w:rsidR="00364AC7" w:rsidRPr="00AB1F5C" w:rsidRDefault="00364AC7" w:rsidP="005C324F">
            <w:pPr>
              <w:jc w:val="center"/>
              <w:rPr>
                <w:sz w:val="20"/>
                <w:szCs w:val="20"/>
              </w:rPr>
            </w:pPr>
            <w:r w:rsidRPr="00AB1F5C">
              <w:rPr>
                <w:sz w:val="20"/>
                <w:szCs w:val="20"/>
              </w:rPr>
              <w:t>0.2%</w:t>
            </w:r>
          </w:p>
        </w:tc>
        <w:tc>
          <w:tcPr>
            <w:tcW w:w="784" w:type="dxa"/>
            <w:shd w:val="clear" w:color="auto" w:fill="FFFFFF" w:themeFill="background1"/>
          </w:tcPr>
          <w:p w14:paraId="72E66C51" w14:textId="77777777" w:rsidR="00364AC7" w:rsidRPr="00AB1F5C" w:rsidRDefault="00364AC7" w:rsidP="005C324F">
            <w:pPr>
              <w:jc w:val="center"/>
              <w:rPr>
                <w:sz w:val="20"/>
                <w:szCs w:val="20"/>
              </w:rPr>
            </w:pPr>
            <w:r w:rsidRPr="00AB1F5C">
              <w:rPr>
                <w:sz w:val="20"/>
                <w:szCs w:val="20"/>
              </w:rPr>
              <w:t>0.2%</w:t>
            </w:r>
          </w:p>
        </w:tc>
        <w:tc>
          <w:tcPr>
            <w:tcW w:w="1005" w:type="dxa"/>
            <w:tcBorders>
              <w:right w:val="single" w:sz="18" w:space="0" w:color="00205B"/>
            </w:tcBorders>
            <w:shd w:val="clear" w:color="auto" w:fill="FFFFFF" w:themeFill="background1"/>
          </w:tcPr>
          <w:p w14:paraId="0CD64764" w14:textId="77777777" w:rsidR="00364AC7" w:rsidRPr="00AB1F5C" w:rsidRDefault="00364AC7" w:rsidP="005C324F">
            <w:pPr>
              <w:jc w:val="center"/>
              <w:rPr>
                <w:sz w:val="20"/>
                <w:szCs w:val="20"/>
              </w:rPr>
            </w:pPr>
            <w:r w:rsidRPr="00AB1F5C">
              <w:rPr>
                <w:sz w:val="20"/>
                <w:szCs w:val="20"/>
              </w:rPr>
              <w:t>0.2%</w:t>
            </w:r>
          </w:p>
        </w:tc>
      </w:tr>
      <w:tr w:rsidR="00364AC7" w:rsidRPr="00AB1F5C" w14:paraId="652B2D64" w14:textId="77777777" w:rsidTr="005C324F">
        <w:trPr>
          <w:trHeight w:val="367"/>
        </w:trPr>
        <w:tc>
          <w:tcPr>
            <w:tcW w:w="3429" w:type="dxa"/>
            <w:tcBorders>
              <w:left w:val="single" w:sz="18" w:space="0" w:color="00205B"/>
            </w:tcBorders>
            <w:shd w:val="clear" w:color="auto" w:fill="auto"/>
          </w:tcPr>
          <w:p w14:paraId="52E51F97"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Separated, but still married/civil partners</w:t>
            </w:r>
          </w:p>
        </w:tc>
        <w:tc>
          <w:tcPr>
            <w:tcW w:w="995" w:type="dxa"/>
            <w:shd w:val="clear" w:color="auto" w:fill="FFFFFF" w:themeFill="background1"/>
          </w:tcPr>
          <w:p w14:paraId="3AF9BD18" w14:textId="77777777" w:rsidR="00364AC7" w:rsidRPr="00AB1F5C" w:rsidRDefault="00364AC7" w:rsidP="005C324F">
            <w:pPr>
              <w:jc w:val="center"/>
              <w:rPr>
                <w:sz w:val="20"/>
                <w:szCs w:val="20"/>
              </w:rPr>
            </w:pPr>
            <w:r w:rsidRPr="00AB1F5C">
              <w:rPr>
                <w:sz w:val="20"/>
                <w:szCs w:val="20"/>
              </w:rPr>
              <w:t>6,608 (3.1%)</w:t>
            </w:r>
          </w:p>
        </w:tc>
        <w:tc>
          <w:tcPr>
            <w:tcW w:w="995" w:type="dxa"/>
            <w:tcBorders>
              <w:right w:val="single" w:sz="12" w:space="0" w:color="auto"/>
            </w:tcBorders>
            <w:shd w:val="clear" w:color="auto" w:fill="FFFFFF" w:themeFill="background1"/>
          </w:tcPr>
          <w:p w14:paraId="19D82860" w14:textId="77777777" w:rsidR="00364AC7" w:rsidRPr="00AB1F5C" w:rsidRDefault="00364AC7" w:rsidP="005C324F">
            <w:pPr>
              <w:jc w:val="center"/>
              <w:rPr>
                <w:sz w:val="20"/>
                <w:szCs w:val="20"/>
              </w:rPr>
            </w:pPr>
            <w:r w:rsidRPr="00AB1F5C">
              <w:rPr>
                <w:sz w:val="20"/>
                <w:szCs w:val="20"/>
              </w:rPr>
              <w:t>5,949</w:t>
            </w:r>
          </w:p>
          <w:p w14:paraId="14919882" w14:textId="77777777" w:rsidR="00364AC7" w:rsidRPr="00AB1F5C" w:rsidRDefault="00364AC7" w:rsidP="005C324F">
            <w:pPr>
              <w:jc w:val="center"/>
              <w:rPr>
                <w:sz w:val="20"/>
                <w:szCs w:val="20"/>
              </w:rPr>
            </w:pPr>
            <w:r w:rsidRPr="00AB1F5C">
              <w:rPr>
                <w:sz w:val="20"/>
                <w:szCs w:val="20"/>
              </w:rPr>
              <w:t>(2.1%)</w:t>
            </w:r>
          </w:p>
        </w:tc>
        <w:tc>
          <w:tcPr>
            <w:tcW w:w="1061" w:type="dxa"/>
            <w:tcBorders>
              <w:left w:val="single" w:sz="12" w:space="0" w:color="auto"/>
            </w:tcBorders>
            <w:shd w:val="clear" w:color="auto" w:fill="FFFFFF" w:themeFill="background1"/>
          </w:tcPr>
          <w:p w14:paraId="30947E75" w14:textId="77777777" w:rsidR="00364AC7" w:rsidRPr="00AB1F5C" w:rsidRDefault="00364AC7" w:rsidP="005C324F">
            <w:pPr>
              <w:jc w:val="center"/>
              <w:rPr>
                <w:sz w:val="20"/>
                <w:szCs w:val="20"/>
              </w:rPr>
            </w:pPr>
            <w:r w:rsidRPr="00AB1F5C">
              <w:rPr>
                <w:sz w:val="20"/>
                <w:szCs w:val="20"/>
              </w:rPr>
              <w:t>2.3%</w:t>
            </w:r>
          </w:p>
        </w:tc>
        <w:tc>
          <w:tcPr>
            <w:tcW w:w="784" w:type="dxa"/>
            <w:shd w:val="clear" w:color="auto" w:fill="FFFFFF" w:themeFill="background1"/>
          </w:tcPr>
          <w:p w14:paraId="4BC41011" w14:textId="77777777" w:rsidR="00364AC7" w:rsidRPr="00AB1F5C" w:rsidRDefault="00364AC7" w:rsidP="005C324F">
            <w:pPr>
              <w:jc w:val="center"/>
              <w:rPr>
                <w:sz w:val="20"/>
                <w:szCs w:val="20"/>
              </w:rPr>
            </w:pPr>
            <w:r w:rsidRPr="00AB1F5C">
              <w:rPr>
                <w:sz w:val="20"/>
                <w:szCs w:val="20"/>
              </w:rPr>
              <w:t>2.1%</w:t>
            </w:r>
          </w:p>
        </w:tc>
        <w:tc>
          <w:tcPr>
            <w:tcW w:w="1005" w:type="dxa"/>
            <w:tcBorders>
              <w:right w:val="single" w:sz="18" w:space="0" w:color="00205B"/>
            </w:tcBorders>
            <w:shd w:val="clear" w:color="auto" w:fill="FFFFFF" w:themeFill="background1"/>
          </w:tcPr>
          <w:p w14:paraId="3BA9338B" w14:textId="77777777" w:rsidR="00364AC7" w:rsidRPr="00AB1F5C" w:rsidRDefault="00364AC7" w:rsidP="005C324F">
            <w:pPr>
              <w:jc w:val="center"/>
              <w:rPr>
                <w:sz w:val="20"/>
                <w:szCs w:val="20"/>
              </w:rPr>
            </w:pPr>
            <w:r w:rsidRPr="00AB1F5C">
              <w:rPr>
                <w:sz w:val="20"/>
                <w:szCs w:val="20"/>
              </w:rPr>
              <w:t>2.2%</w:t>
            </w:r>
          </w:p>
        </w:tc>
      </w:tr>
      <w:tr w:rsidR="00364AC7" w:rsidRPr="00AB1F5C" w14:paraId="5F0C1E04" w14:textId="77777777" w:rsidTr="005C324F">
        <w:trPr>
          <w:trHeight w:val="423"/>
        </w:trPr>
        <w:tc>
          <w:tcPr>
            <w:tcW w:w="3429" w:type="dxa"/>
            <w:tcBorders>
              <w:left w:val="single" w:sz="18" w:space="0" w:color="00205B"/>
            </w:tcBorders>
            <w:shd w:val="clear" w:color="auto" w:fill="auto"/>
          </w:tcPr>
          <w:p w14:paraId="4479439F"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Divorced, civil partnership dissolved</w:t>
            </w:r>
          </w:p>
        </w:tc>
        <w:tc>
          <w:tcPr>
            <w:tcW w:w="995" w:type="dxa"/>
            <w:shd w:val="clear" w:color="auto" w:fill="FFFFFF" w:themeFill="background1"/>
          </w:tcPr>
          <w:p w14:paraId="7B2412FC" w14:textId="77777777" w:rsidR="00364AC7" w:rsidRPr="00AB1F5C" w:rsidRDefault="00364AC7" w:rsidP="005C324F">
            <w:pPr>
              <w:jc w:val="center"/>
              <w:rPr>
                <w:sz w:val="20"/>
                <w:szCs w:val="20"/>
              </w:rPr>
            </w:pPr>
            <w:r w:rsidRPr="00AB1F5C">
              <w:rPr>
                <w:sz w:val="20"/>
                <w:szCs w:val="20"/>
              </w:rPr>
              <w:t>20,142 (9.6%)</w:t>
            </w:r>
          </w:p>
        </w:tc>
        <w:tc>
          <w:tcPr>
            <w:tcW w:w="995" w:type="dxa"/>
            <w:tcBorders>
              <w:right w:val="single" w:sz="12" w:space="0" w:color="auto"/>
            </w:tcBorders>
            <w:shd w:val="clear" w:color="auto" w:fill="FFFFFF" w:themeFill="background1"/>
          </w:tcPr>
          <w:p w14:paraId="31F940CA" w14:textId="77777777" w:rsidR="00364AC7" w:rsidRPr="00AB1F5C" w:rsidRDefault="00364AC7" w:rsidP="005C324F">
            <w:pPr>
              <w:jc w:val="center"/>
              <w:rPr>
                <w:sz w:val="20"/>
                <w:szCs w:val="20"/>
              </w:rPr>
            </w:pPr>
            <w:r w:rsidRPr="00AB1F5C">
              <w:rPr>
                <w:sz w:val="20"/>
                <w:szCs w:val="20"/>
              </w:rPr>
              <w:t>21,715 (9.7%)</w:t>
            </w:r>
          </w:p>
        </w:tc>
        <w:tc>
          <w:tcPr>
            <w:tcW w:w="1061" w:type="dxa"/>
            <w:tcBorders>
              <w:left w:val="single" w:sz="12" w:space="0" w:color="auto"/>
            </w:tcBorders>
            <w:shd w:val="clear" w:color="auto" w:fill="FFFFFF" w:themeFill="background1"/>
          </w:tcPr>
          <w:p w14:paraId="423746F2" w14:textId="77777777" w:rsidR="00364AC7" w:rsidRPr="00AB1F5C" w:rsidRDefault="00364AC7" w:rsidP="005C324F">
            <w:pPr>
              <w:jc w:val="center"/>
              <w:rPr>
                <w:sz w:val="20"/>
                <w:szCs w:val="20"/>
              </w:rPr>
            </w:pPr>
            <w:r w:rsidRPr="00AB1F5C">
              <w:rPr>
                <w:sz w:val="20"/>
                <w:szCs w:val="20"/>
              </w:rPr>
              <w:t>9.7%</w:t>
            </w:r>
          </w:p>
        </w:tc>
        <w:tc>
          <w:tcPr>
            <w:tcW w:w="784" w:type="dxa"/>
            <w:shd w:val="clear" w:color="auto" w:fill="FFFFFF" w:themeFill="background1"/>
          </w:tcPr>
          <w:p w14:paraId="5DA98947" w14:textId="77777777" w:rsidR="00364AC7" w:rsidRPr="00AB1F5C" w:rsidRDefault="00364AC7" w:rsidP="005C324F">
            <w:pPr>
              <w:jc w:val="center"/>
              <w:rPr>
                <w:sz w:val="20"/>
                <w:szCs w:val="20"/>
              </w:rPr>
            </w:pPr>
            <w:r w:rsidRPr="00AB1F5C">
              <w:rPr>
                <w:sz w:val="20"/>
                <w:szCs w:val="20"/>
              </w:rPr>
              <w:t>9.3%</w:t>
            </w:r>
          </w:p>
        </w:tc>
        <w:tc>
          <w:tcPr>
            <w:tcW w:w="1005" w:type="dxa"/>
            <w:tcBorders>
              <w:right w:val="single" w:sz="18" w:space="0" w:color="00205B"/>
            </w:tcBorders>
            <w:shd w:val="clear" w:color="auto" w:fill="FFFFFF" w:themeFill="background1"/>
          </w:tcPr>
          <w:p w14:paraId="4C04610D" w14:textId="77777777" w:rsidR="00364AC7" w:rsidRPr="00AB1F5C" w:rsidRDefault="00364AC7" w:rsidP="005C324F">
            <w:pPr>
              <w:jc w:val="center"/>
              <w:rPr>
                <w:sz w:val="20"/>
                <w:szCs w:val="20"/>
              </w:rPr>
            </w:pPr>
            <w:r w:rsidRPr="00AB1F5C">
              <w:rPr>
                <w:sz w:val="20"/>
                <w:szCs w:val="20"/>
              </w:rPr>
              <w:t>9.1%</w:t>
            </w:r>
          </w:p>
        </w:tc>
      </w:tr>
      <w:tr w:rsidR="00364AC7" w:rsidRPr="00AB1F5C" w14:paraId="4DD97CF7" w14:textId="77777777" w:rsidTr="005C324F">
        <w:trPr>
          <w:trHeight w:val="321"/>
        </w:trPr>
        <w:tc>
          <w:tcPr>
            <w:tcW w:w="3429" w:type="dxa"/>
            <w:tcBorders>
              <w:left w:val="single" w:sz="18" w:space="0" w:color="00205B"/>
              <w:bottom w:val="single" w:sz="18" w:space="0" w:color="00205B"/>
            </w:tcBorders>
            <w:shd w:val="clear" w:color="auto" w:fill="auto"/>
          </w:tcPr>
          <w:p w14:paraId="6EE867AD" w14:textId="77777777" w:rsidR="00364AC7" w:rsidRPr="00AB1F5C" w:rsidRDefault="00364AC7" w:rsidP="005C324F">
            <w:pPr>
              <w:keepNext/>
              <w:autoSpaceDE w:val="0"/>
              <w:autoSpaceDN w:val="0"/>
              <w:adjustRightInd w:val="0"/>
              <w:jc w:val="center"/>
              <w:outlineLvl w:val="4"/>
              <w:rPr>
                <w:bCs/>
                <w:sz w:val="20"/>
                <w:szCs w:val="20"/>
              </w:rPr>
            </w:pPr>
            <w:r w:rsidRPr="00AB1F5C">
              <w:rPr>
                <w:bCs/>
                <w:sz w:val="20"/>
                <w:szCs w:val="20"/>
              </w:rPr>
              <w:t>Widowed/surviving partner from civil partnership</w:t>
            </w:r>
          </w:p>
        </w:tc>
        <w:tc>
          <w:tcPr>
            <w:tcW w:w="995" w:type="dxa"/>
            <w:tcBorders>
              <w:bottom w:val="single" w:sz="18" w:space="0" w:color="00205B"/>
            </w:tcBorders>
            <w:shd w:val="clear" w:color="auto" w:fill="FFFFFF" w:themeFill="background1"/>
          </w:tcPr>
          <w:p w14:paraId="64DE4B16" w14:textId="77777777" w:rsidR="00364AC7" w:rsidRPr="00AB1F5C" w:rsidRDefault="00364AC7" w:rsidP="005C324F">
            <w:pPr>
              <w:jc w:val="center"/>
              <w:rPr>
                <w:sz w:val="20"/>
                <w:szCs w:val="20"/>
              </w:rPr>
            </w:pPr>
            <w:r w:rsidRPr="00AB1F5C">
              <w:rPr>
                <w:sz w:val="20"/>
                <w:szCs w:val="20"/>
              </w:rPr>
              <w:t>13,408 (6.4%)</w:t>
            </w:r>
          </w:p>
        </w:tc>
        <w:tc>
          <w:tcPr>
            <w:tcW w:w="995" w:type="dxa"/>
            <w:tcBorders>
              <w:bottom w:val="single" w:sz="18" w:space="0" w:color="00205B"/>
              <w:right w:val="single" w:sz="12" w:space="0" w:color="auto"/>
            </w:tcBorders>
            <w:shd w:val="clear" w:color="auto" w:fill="FFFFFF" w:themeFill="background1"/>
          </w:tcPr>
          <w:p w14:paraId="3EF372EB" w14:textId="77777777" w:rsidR="00364AC7" w:rsidRPr="00AB1F5C" w:rsidRDefault="00364AC7" w:rsidP="005C324F">
            <w:pPr>
              <w:jc w:val="center"/>
              <w:rPr>
                <w:sz w:val="20"/>
                <w:szCs w:val="20"/>
              </w:rPr>
            </w:pPr>
            <w:r w:rsidRPr="00AB1F5C">
              <w:rPr>
                <w:sz w:val="20"/>
                <w:szCs w:val="20"/>
              </w:rPr>
              <w:t>13,081 (5.9%)</w:t>
            </w:r>
          </w:p>
        </w:tc>
        <w:tc>
          <w:tcPr>
            <w:tcW w:w="1061" w:type="dxa"/>
            <w:tcBorders>
              <w:left w:val="single" w:sz="12" w:space="0" w:color="auto"/>
              <w:bottom w:val="single" w:sz="18" w:space="0" w:color="00205B"/>
            </w:tcBorders>
            <w:shd w:val="clear" w:color="auto" w:fill="FFFFFF" w:themeFill="background1"/>
          </w:tcPr>
          <w:p w14:paraId="1C8C78BD" w14:textId="77777777" w:rsidR="00364AC7" w:rsidRPr="00AB1F5C" w:rsidRDefault="00364AC7" w:rsidP="005C324F">
            <w:pPr>
              <w:jc w:val="center"/>
              <w:rPr>
                <w:sz w:val="20"/>
                <w:szCs w:val="20"/>
              </w:rPr>
            </w:pPr>
            <w:r w:rsidRPr="00AB1F5C">
              <w:rPr>
                <w:sz w:val="20"/>
                <w:szCs w:val="20"/>
              </w:rPr>
              <w:t>6.5%</w:t>
            </w:r>
          </w:p>
        </w:tc>
        <w:tc>
          <w:tcPr>
            <w:tcW w:w="784" w:type="dxa"/>
            <w:tcBorders>
              <w:bottom w:val="single" w:sz="18" w:space="0" w:color="00205B"/>
            </w:tcBorders>
            <w:shd w:val="clear" w:color="auto" w:fill="FFFFFF" w:themeFill="background1"/>
          </w:tcPr>
          <w:p w14:paraId="5400BC8E" w14:textId="77777777" w:rsidR="00364AC7" w:rsidRPr="00AB1F5C" w:rsidRDefault="00364AC7" w:rsidP="005C324F">
            <w:pPr>
              <w:jc w:val="center"/>
              <w:rPr>
                <w:sz w:val="20"/>
                <w:szCs w:val="20"/>
              </w:rPr>
            </w:pPr>
            <w:r w:rsidRPr="00AB1F5C">
              <w:rPr>
                <w:sz w:val="20"/>
                <w:szCs w:val="20"/>
              </w:rPr>
              <w:t>6.1%</w:t>
            </w:r>
          </w:p>
        </w:tc>
        <w:tc>
          <w:tcPr>
            <w:tcW w:w="1005" w:type="dxa"/>
            <w:tcBorders>
              <w:bottom w:val="single" w:sz="18" w:space="0" w:color="00205B"/>
              <w:right w:val="single" w:sz="18" w:space="0" w:color="00205B"/>
            </w:tcBorders>
            <w:shd w:val="clear" w:color="auto" w:fill="FFFFFF" w:themeFill="background1"/>
          </w:tcPr>
          <w:p w14:paraId="3B4E81E2" w14:textId="77777777" w:rsidR="00364AC7" w:rsidRPr="00AB1F5C" w:rsidRDefault="00364AC7" w:rsidP="005C324F">
            <w:pPr>
              <w:jc w:val="center"/>
              <w:rPr>
                <w:sz w:val="20"/>
                <w:szCs w:val="20"/>
              </w:rPr>
            </w:pPr>
            <w:r w:rsidRPr="00AB1F5C">
              <w:rPr>
                <w:sz w:val="20"/>
                <w:szCs w:val="20"/>
              </w:rPr>
              <w:t>6.1%</w:t>
            </w:r>
          </w:p>
        </w:tc>
      </w:tr>
    </w:tbl>
    <w:p w14:paraId="3AF7831F" w14:textId="77777777" w:rsidR="00CA45D2" w:rsidRPr="00AB1F5C" w:rsidRDefault="00CA45D2" w:rsidP="000925DB">
      <w:pPr>
        <w:rPr>
          <w:rFonts w:ascii="Helvetica" w:hAnsi="Helvetica" w:cs="Helvetica"/>
          <w:kern w:val="32"/>
        </w:rPr>
      </w:pPr>
    </w:p>
    <w:p w14:paraId="3E57B272" w14:textId="77777777" w:rsidR="00B77218" w:rsidRDefault="00B77218" w:rsidP="005B7332">
      <w:pPr>
        <w:jc w:val="center"/>
        <w:rPr>
          <w:rFonts w:ascii="Helvetica" w:hAnsi="Helvetica" w:cs="Helvetica"/>
          <w:bCs/>
          <w:sz w:val="18"/>
          <w:szCs w:val="18"/>
        </w:rPr>
      </w:pPr>
    </w:p>
    <w:p w14:paraId="2EDAB576" w14:textId="7A213A14" w:rsidR="00596582" w:rsidRPr="00596582" w:rsidRDefault="00364AC7" w:rsidP="009E33F7">
      <w:pPr>
        <w:jc w:val="center"/>
        <w:rPr>
          <w:lang w:val="en-US" w:eastAsia="en-US"/>
        </w:rPr>
      </w:pPr>
      <w:r w:rsidRPr="00AB1F5C">
        <w:rPr>
          <w:rFonts w:ascii="Helvetica" w:hAnsi="Helvetica" w:cs="Helvetica"/>
          <w:bCs/>
          <w:sz w:val="18"/>
          <w:szCs w:val="18"/>
        </w:rPr>
        <w:t>Table 4 Legal partnership status</w:t>
      </w:r>
      <w:r w:rsidR="00B77218">
        <w:rPr>
          <w:rFonts w:ascii="Helvetica" w:hAnsi="Helvetica" w:cs="Helvetica"/>
          <w:bCs/>
          <w:sz w:val="18"/>
          <w:szCs w:val="18"/>
        </w:rPr>
        <w:t xml:space="preserve"> comparing Medway</w:t>
      </w:r>
      <w:r w:rsidRPr="00AB1F5C">
        <w:rPr>
          <w:rFonts w:ascii="Helvetica" w:hAnsi="Helvetica" w:cs="Helvetica"/>
          <w:bCs/>
          <w:sz w:val="18"/>
          <w:szCs w:val="18"/>
        </w:rPr>
        <w:t>,</w:t>
      </w:r>
      <w:r w:rsidR="00B77218">
        <w:rPr>
          <w:rFonts w:ascii="Helvetica" w:hAnsi="Helvetica" w:cs="Helvetica"/>
          <w:bCs/>
          <w:sz w:val="18"/>
          <w:szCs w:val="18"/>
        </w:rPr>
        <w:t xml:space="preserve"> the South East of England and England and Wales</w:t>
      </w:r>
      <w:r w:rsidRPr="00AB1F5C">
        <w:rPr>
          <w:rFonts w:ascii="Helvetica" w:hAnsi="Helvetica" w:cs="Helvetica"/>
          <w:bCs/>
          <w:sz w:val="18"/>
          <w:szCs w:val="18"/>
        </w:rPr>
        <w:t xml:space="preserve"> Census 2021</w:t>
      </w:r>
    </w:p>
    <w:p w14:paraId="4AD3FE31" w14:textId="7539C068" w:rsidR="00596582" w:rsidRPr="00596582" w:rsidRDefault="00596582" w:rsidP="00EE4059">
      <w:pPr>
        <w:tabs>
          <w:tab w:val="left" w:pos="3465"/>
        </w:tabs>
        <w:rPr>
          <w:lang w:val="en-US" w:eastAsia="en-US"/>
        </w:rPr>
      </w:pPr>
    </w:p>
    <w:p w14:paraId="75BC51D2" w14:textId="77777777" w:rsidR="00E13D1D" w:rsidRDefault="00E13D1D" w:rsidP="009D5CA2">
      <w:pPr>
        <w:pStyle w:val="Heading3"/>
      </w:pPr>
    </w:p>
    <w:p w14:paraId="7C949AF2" w14:textId="77777777" w:rsidR="00E13D1D" w:rsidRDefault="00E13D1D" w:rsidP="009D5CA2">
      <w:pPr>
        <w:pStyle w:val="Heading3"/>
      </w:pPr>
    </w:p>
    <w:p w14:paraId="197AEE27" w14:textId="77777777" w:rsidR="00E13D1D" w:rsidRPr="00E13D1D" w:rsidRDefault="00E13D1D" w:rsidP="00E13D1D">
      <w:pPr>
        <w:pStyle w:val="Heading2"/>
        <w:ind w:right="-142"/>
        <w:rPr>
          <w:sz w:val="28"/>
          <w:szCs w:val="28"/>
        </w:rPr>
      </w:pPr>
      <w:r w:rsidRPr="00E13D1D">
        <w:rPr>
          <w:sz w:val="28"/>
          <w:szCs w:val="28"/>
        </w:rPr>
        <w:t>Medway Community: Disability</w:t>
      </w:r>
    </w:p>
    <w:p w14:paraId="39B2BFF5" w14:textId="77777777" w:rsidR="00E13D1D" w:rsidRDefault="00E13D1D" w:rsidP="009D5CA2">
      <w:pPr>
        <w:pStyle w:val="Heading3"/>
      </w:pPr>
    </w:p>
    <w:p w14:paraId="1C9B4E17" w14:textId="6C093E95" w:rsidR="000061BB" w:rsidRPr="00314379" w:rsidRDefault="000061BB" w:rsidP="009D5CA2">
      <w:pPr>
        <w:pStyle w:val="Heading3"/>
      </w:pPr>
      <w:r w:rsidRPr="00314379">
        <w:t>Health</w:t>
      </w:r>
    </w:p>
    <w:p w14:paraId="793BDC0A" w14:textId="293E2425" w:rsidR="00A96488" w:rsidRDefault="00A96488" w:rsidP="00B77DA3">
      <w:pPr>
        <w:rPr>
          <w:rFonts w:ascii="Helvetica" w:hAnsi="Helvetica" w:cs="Helvetica"/>
          <w:kern w:val="32"/>
        </w:rPr>
      </w:pPr>
      <w:r w:rsidRPr="00050FD1">
        <w:rPr>
          <w:rFonts w:ascii="Helvetica" w:hAnsi="Helvetica" w:cs="Helvetica"/>
          <w:kern w:val="32"/>
        </w:rPr>
        <w:t>Census 2021 asked respondents how they considered their health, for Medway residents:</w:t>
      </w:r>
    </w:p>
    <w:p w14:paraId="4A9EF3CA" w14:textId="03ECEE04" w:rsidR="00E94394" w:rsidRDefault="00E94394" w:rsidP="003214D1">
      <w:pPr>
        <w:pStyle w:val="ListParagraph"/>
        <w:numPr>
          <w:ilvl w:val="0"/>
          <w:numId w:val="2"/>
        </w:numPr>
        <w:rPr>
          <w:rFonts w:ascii="Helvetica" w:hAnsi="Helvetica" w:cs="Helvetica"/>
          <w:kern w:val="32"/>
        </w:rPr>
      </w:pPr>
      <w:r>
        <w:rPr>
          <w:rFonts w:ascii="Helvetica" w:hAnsi="Helvetica" w:cs="Helvetica"/>
          <w:kern w:val="32"/>
        </w:rPr>
        <w:t>82.1% described themselves as being in good or very good health.</w:t>
      </w:r>
    </w:p>
    <w:p w14:paraId="0DC958C0" w14:textId="4FE61ADC" w:rsidR="00E94394" w:rsidRDefault="00E94394" w:rsidP="003214D1">
      <w:pPr>
        <w:pStyle w:val="ListParagraph"/>
        <w:numPr>
          <w:ilvl w:val="0"/>
          <w:numId w:val="2"/>
        </w:numPr>
        <w:rPr>
          <w:rFonts w:ascii="Helvetica" w:hAnsi="Helvetica" w:cs="Helvetica"/>
          <w:kern w:val="32"/>
        </w:rPr>
      </w:pPr>
      <w:r>
        <w:rPr>
          <w:rFonts w:ascii="Helvetica" w:hAnsi="Helvetica" w:cs="Helvetica"/>
          <w:kern w:val="32"/>
        </w:rPr>
        <w:t>12.8% described themselves as in fair health.</w:t>
      </w:r>
    </w:p>
    <w:p w14:paraId="04AD7CBB" w14:textId="39C20EC4" w:rsidR="00B77DA3" w:rsidRPr="004409F6" w:rsidRDefault="00E94394" w:rsidP="005B7332">
      <w:pPr>
        <w:pStyle w:val="ListParagraph"/>
        <w:numPr>
          <w:ilvl w:val="0"/>
          <w:numId w:val="2"/>
        </w:numPr>
        <w:rPr>
          <w:rFonts w:ascii="Helvetica" w:hAnsi="Helvetica" w:cs="Helvetica"/>
          <w:kern w:val="32"/>
        </w:rPr>
      </w:pPr>
      <w:r>
        <w:rPr>
          <w:rFonts w:ascii="Helvetica" w:hAnsi="Helvetica" w:cs="Helvetica"/>
          <w:kern w:val="32"/>
        </w:rPr>
        <w:t>5.1% described themselves as being in bad or very bad health.</w:t>
      </w:r>
    </w:p>
    <w:p w14:paraId="07898BE9" w14:textId="767F174B" w:rsidR="00A96488" w:rsidRDefault="00A96488" w:rsidP="005B7332">
      <w:pPr>
        <w:rPr>
          <w:rFonts w:ascii="Helvetica" w:hAnsi="Helvetica" w:cs="Helvetica"/>
          <w:kern w:val="32"/>
        </w:rPr>
      </w:pPr>
      <w:r w:rsidRPr="00050FD1">
        <w:rPr>
          <w:rFonts w:ascii="Helvetica" w:hAnsi="Helvetica" w:cs="Helvetica"/>
          <w:kern w:val="32"/>
        </w:rPr>
        <w:t>Compared to England and Wales, Medway had slightly more people reporting good and very good health (+0.4 percentage points) and fewer in fair health (-0.3 percentage points) and bad or very bad health (-0.6 percentage points).</w:t>
      </w:r>
    </w:p>
    <w:p w14:paraId="49FB494D" w14:textId="77777777" w:rsidR="00B77DA3" w:rsidRPr="00050FD1" w:rsidRDefault="00B77DA3" w:rsidP="005B7332">
      <w:pPr>
        <w:rPr>
          <w:rFonts w:ascii="Helvetica" w:hAnsi="Helvetica" w:cs="Helvetica"/>
          <w:kern w:val="32"/>
        </w:rPr>
      </w:pPr>
    </w:p>
    <w:p w14:paraId="42C91DCB" w14:textId="77777777" w:rsidR="00A96488" w:rsidRPr="00314379" w:rsidRDefault="00A96488" w:rsidP="009D5CA2">
      <w:pPr>
        <w:pStyle w:val="Heading3"/>
      </w:pPr>
      <w:r w:rsidRPr="00314379">
        <w:t>Carers</w:t>
      </w:r>
    </w:p>
    <w:p w14:paraId="79070FED" w14:textId="77777777" w:rsidR="009D5CA2" w:rsidRDefault="00A96488" w:rsidP="005B7332">
      <w:pPr>
        <w:rPr>
          <w:rFonts w:ascii="Helvetica" w:hAnsi="Helvetica" w:cs="Helvetica"/>
          <w:kern w:val="32"/>
        </w:rPr>
      </w:pPr>
      <w:r w:rsidRPr="00050FD1">
        <w:rPr>
          <w:rFonts w:ascii="Helvetica" w:hAnsi="Helvetica" w:cs="Helvetica"/>
          <w:kern w:val="32"/>
        </w:rPr>
        <w:t xml:space="preserve">8.6% of residents provided unpaid care for someone with an illness or disability, a decrease of 0.9 percentage points compared to the 9.5% of residents in 2011. </w:t>
      </w:r>
    </w:p>
    <w:p w14:paraId="198FBD85" w14:textId="64BD4F0A" w:rsidR="009D5CA2" w:rsidRPr="00050FD1" w:rsidRDefault="00A96488" w:rsidP="005B7332">
      <w:pPr>
        <w:rPr>
          <w:rFonts w:ascii="Helvetica" w:hAnsi="Helvetica" w:cs="Helvetica"/>
          <w:kern w:val="32"/>
        </w:rPr>
      </w:pPr>
      <w:r w:rsidRPr="00050FD1">
        <w:rPr>
          <w:rFonts w:ascii="Helvetica" w:hAnsi="Helvetica" w:cs="Helvetica"/>
          <w:kern w:val="32"/>
        </w:rPr>
        <w:t>Similar changes were seen in England and Wales with the number of carers decreasing.</w:t>
      </w:r>
    </w:p>
    <w:p w14:paraId="75D7063A" w14:textId="77777777" w:rsidR="00A96488" w:rsidRDefault="00A96488" w:rsidP="005B7332">
      <w:pPr>
        <w:rPr>
          <w:rFonts w:ascii="Helvetica" w:hAnsi="Helvetica" w:cs="Helvetica"/>
          <w:kern w:val="32"/>
        </w:rPr>
      </w:pPr>
      <w:r w:rsidRPr="00050FD1">
        <w:rPr>
          <w:rFonts w:ascii="Helvetica" w:hAnsi="Helvetica" w:cs="Helvetica"/>
          <w:kern w:val="32"/>
        </w:rPr>
        <w:t>Potential reasons for this include coronavirus restrictions, fewer individuals sharing caring responsibilities with another person, higher deaths leading to reduced caring demand, and changes to wording between the 2011 and 2021 censuses.</w:t>
      </w:r>
    </w:p>
    <w:p w14:paraId="5514C601" w14:textId="77777777" w:rsidR="00B77DA3" w:rsidRPr="00050FD1" w:rsidRDefault="00B77DA3" w:rsidP="005B7332">
      <w:pPr>
        <w:rPr>
          <w:rFonts w:ascii="Helvetica" w:hAnsi="Helvetica" w:cs="Helvetica"/>
          <w:kern w:val="32"/>
        </w:rPr>
      </w:pPr>
    </w:p>
    <w:p w14:paraId="5516D708" w14:textId="77777777" w:rsidR="00A96488" w:rsidRPr="00314379" w:rsidRDefault="00A96488" w:rsidP="009D5CA2">
      <w:pPr>
        <w:pStyle w:val="Heading3"/>
      </w:pPr>
      <w:r w:rsidRPr="00314379">
        <w:t>Disability</w:t>
      </w:r>
    </w:p>
    <w:p w14:paraId="63F29EB9" w14:textId="6207BB82" w:rsidR="009D5CA2" w:rsidRPr="000C3373" w:rsidRDefault="00A96488" w:rsidP="005B7332">
      <w:pPr>
        <w:rPr>
          <w:rFonts w:ascii="Helvetica" w:hAnsi="Helvetica" w:cs="Helvetica"/>
          <w:kern w:val="32"/>
        </w:rPr>
      </w:pPr>
      <w:r w:rsidRPr="000C3373">
        <w:rPr>
          <w:rFonts w:ascii="Helvetica" w:hAnsi="Helvetica" w:cs="Helvetica"/>
          <w:kern w:val="32"/>
        </w:rPr>
        <w:t xml:space="preserve">Census 2021 asked people to assess whether their day-to-day activities were limited by long-term physical or mental health conditions or illnesses, those who felt their activities were limited are considered disabled. </w:t>
      </w:r>
      <w:r w:rsidR="004409F6">
        <w:rPr>
          <w:rFonts w:ascii="Helvetica" w:hAnsi="Helvetica" w:cs="Helvetica"/>
          <w:kern w:val="32"/>
        </w:rPr>
        <w:t xml:space="preserve"> </w:t>
      </w:r>
      <w:r w:rsidRPr="000C3373">
        <w:rPr>
          <w:rFonts w:ascii="Helvetica" w:hAnsi="Helvetica" w:cs="Helvetica"/>
          <w:kern w:val="32"/>
        </w:rPr>
        <w:t>In 2021, 17.4%</w:t>
      </w:r>
      <w:r w:rsidR="00835C0D">
        <w:rPr>
          <w:rFonts w:ascii="Helvetica" w:hAnsi="Helvetica" w:cs="Helvetica"/>
          <w:kern w:val="32"/>
        </w:rPr>
        <w:t xml:space="preserve"> (48,572)</w:t>
      </w:r>
      <w:r w:rsidRPr="000C3373">
        <w:rPr>
          <w:rFonts w:ascii="Helvetica" w:hAnsi="Helvetica" w:cs="Helvetica"/>
          <w:kern w:val="32"/>
        </w:rPr>
        <w:t xml:space="preserve"> of Medway residents were considered as disabled; up 1 percentage point (or around 5,000 people) from the 2011 Census.</w:t>
      </w:r>
    </w:p>
    <w:p w14:paraId="340C3539" w14:textId="02A16119" w:rsidR="006333CE" w:rsidRDefault="00A96488" w:rsidP="00835C0D">
      <w:pPr>
        <w:rPr>
          <w:rFonts w:ascii="Helvetica" w:hAnsi="Helvetica" w:cs="Helvetica"/>
          <w:kern w:val="32"/>
          <w:sz w:val="18"/>
          <w:szCs w:val="18"/>
        </w:rPr>
      </w:pPr>
      <w:r w:rsidRPr="000C3373">
        <w:rPr>
          <w:rFonts w:ascii="Helvetica" w:hAnsi="Helvetica" w:cs="Helvetica"/>
          <w:kern w:val="32"/>
        </w:rPr>
        <w:t>Medway’s proportion of residents with a disability is similar to England and Wales (17.7%).</w:t>
      </w:r>
      <w:r w:rsidR="00835C0D">
        <w:rPr>
          <w:rFonts w:ascii="Helvetica" w:hAnsi="Helvetica" w:cs="Helvetica"/>
          <w:kern w:val="32"/>
        </w:rPr>
        <w:t xml:space="preserve"> </w:t>
      </w:r>
    </w:p>
    <w:p w14:paraId="04C4AE82" w14:textId="77777777" w:rsidR="00B77DA3" w:rsidRPr="005B7332" w:rsidRDefault="00B77DA3" w:rsidP="00D16A8F">
      <w:pPr>
        <w:pStyle w:val="Heading2"/>
      </w:pPr>
    </w:p>
    <w:p w14:paraId="4EE281B5" w14:textId="641DC17D" w:rsidR="00025BDF" w:rsidRPr="00E13D1D" w:rsidRDefault="00DE0A77" w:rsidP="00D16A8F">
      <w:pPr>
        <w:pStyle w:val="Heading2"/>
        <w:rPr>
          <w:sz w:val="28"/>
          <w:szCs w:val="28"/>
        </w:rPr>
      </w:pPr>
      <w:r w:rsidRPr="00E13D1D">
        <w:rPr>
          <w:sz w:val="28"/>
          <w:szCs w:val="28"/>
        </w:rPr>
        <w:t>Medway Community: Ethnicity and National Identity</w:t>
      </w:r>
      <w:bookmarkStart w:id="5" w:name="_Ref436236648"/>
    </w:p>
    <w:p w14:paraId="2A01AF9C" w14:textId="67BE0793" w:rsidR="00596582" w:rsidRPr="000C3373" w:rsidRDefault="00A96488" w:rsidP="005B7332">
      <w:pPr>
        <w:rPr>
          <w:rFonts w:ascii="Helvetica" w:hAnsi="Helvetica" w:cs="Helvetica"/>
          <w:kern w:val="32"/>
        </w:rPr>
      </w:pPr>
      <w:r w:rsidRPr="000C3373">
        <w:rPr>
          <w:rFonts w:ascii="Helvetica" w:hAnsi="Helvetica" w:cs="Helvetica"/>
          <w:kern w:val="32"/>
        </w:rPr>
        <w:t xml:space="preserve">Medway has become more ethnically diverse since 2001. </w:t>
      </w:r>
      <w:r w:rsidR="00D16A8F">
        <w:rPr>
          <w:rFonts w:ascii="Helvetica" w:hAnsi="Helvetica" w:cs="Helvetica"/>
          <w:kern w:val="32"/>
        </w:rPr>
        <w:t xml:space="preserve"> </w:t>
      </w:r>
      <w:r w:rsidRPr="000C3373">
        <w:rPr>
          <w:rFonts w:ascii="Helvetica" w:hAnsi="Helvetica" w:cs="Helvetica"/>
          <w:kern w:val="32"/>
        </w:rPr>
        <w:t xml:space="preserve">In 2011 ethnic minority communities made up 10.4% of Medway’s population, up from 5.4% of the population in 2001. </w:t>
      </w:r>
      <w:r w:rsidR="00D16A8F">
        <w:rPr>
          <w:rFonts w:ascii="Helvetica" w:hAnsi="Helvetica" w:cs="Helvetica"/>
          <w:kern w:val="32"/>
        </w:rPr>
        <w:t xml:space="preserve"> </w:t>
      </w:r>
      <w:r w:rsidRPr="000C3373">
        <w:rPr>
          <w:rFonts w:ascii="Helvetica" w:hAnsi="Helvetica" w:cs="Helvetica"/>
          <w:kern w:val="32"/>
        </w:rPr>
        <w:t xml:space="preserve">White communities (White British, White Irish, White Gypsy and Irish Traveller, White Roma and White Other) made up 84.3% of the population in 2011, down from 89.6% in 2011. </w:t>
      </w:r>
      <w:r w:rsidR="00D16A8F">
        <w:rPr>
          <w:rFonts w:ascii="Helvetica" w:hAnsi="Helvetica" w:cs="Helvetica"/>
          <w:kern w:val="32"/>
        </w:rPr>
        <w:t xml:space="preserve"> </w:t>
      </w:r>
      <w:r w:rsidRPr="000C3373">
        <w:rPr>
          <w:rFonts w:ascii="Helvetica" w:hAnsi="Helvetica" w:cs="Helvetica"/>
          <w:kern w:val="32"/>
        </w:rPr>
        <w:t xml:space="preserve">Table </w:t>
      </w:r>
      <w:r w:rsidR="00835C0D">
        <w:rPr>
          <w:rFonts w:ascii="Helvetica" w:hAnsi="Helvetica" w:cs="Helvetica"/>
          <w:kern w:val="32"/>
        </w:rPr>
        <w:t>5</w:t>
      </w:r>
      <w:r w:rsidRPr="000C3373">
        <w:rPr>
          <w:rFonts w:ascii="Helvetica" w:hAnsi="Helvetica" w:cs="Helvetica"/>
          <w:kern w:val="32"/>
        </w:rPr>
        <w:t xml:space="preserve"> below shows the breakdown of Medway’s population by their ethnic group and how this has changed between 2011 and 2021.</w:t>
      </w:r>
    </w:p>
    <w:p w14:paraId="2F3C5757" w14:textId="720E6FD6" w:rsidR="006333CE" w:rsidRPr="000C3373" w:rsidRDefault="006333CE" w:rsidP="005B7332">
      <w:pPr>
        <w:ind w:left="720"/>
        <w:jc w:val="center"/>
        <w:rPr>
          <w:rFonts w:ascii="Helvetica" w:hAnsi="Helvetica" w:cs="Helvetica"/>
          <w:bCs/>
          <w:sz w:val="18"/>
          <w:szCs w:val="18"/>
        </w:rPr>
      </w:pPr>
      <w:r w:rsidRPr="000C3373">
        <w:rPr>
          <w:rFonts w:ascii="Helvetica" w:hAnsi="Helvetica" w:cs="Helvetica"/>
          <w:bCs/>
          <w:sz w:val="18"/>
          <w:szCs w:val="18"/>
        </w:rPr>
        <w:t xml:space="preserve">Table </w:t>
      </w:r>
      <w:bookmarkEnd w:id="5"/>
      <w:r w:rsidR="00835C0D">
        <w:rPr>
          <w:rFonts w:ascii="Helvetica" w:hAnsi="Helvetica" w:cs="Helvetica"/>
          <w:bCs/>
          <w:sz w:val="18"/>
          <w:szCs w:val="18"/>
        </w:rPr>
        <w:t xml:space="preserve">5 </w:t>
      </w:r>
      <w:r w:rsidRPr="000C3373">
        <w:rPr>
          <w:rFonts w:ascii="Helvetica" w:hAnsi="Helvetica" w:cs="Helvetica"/>
          <w:bCs/>
          <w:sz w:val="18"/>
          <w:szCs w:val="18"/>
        </w:rPr>
        <w:t xml:space="preserve"> Medway’s population by their ethnic group</w:t>
      </w:r>
    </w:p>
    <w:tbl>
      <w:tblPr>
        <w:tblStyle w:val="TableGrid"/>
        <w:tblW w:w="5193" w:type="pct"/>
        <w:tblLook w:val="0020" w:firstRow="1" w:lastRow="0" w:firstColumn="0" w:lastColumn="0" w:noHBand="0" w:noVBand="0"/>
        <w:tblCaption w:val="Table 5  Medway’s population by their ethnic group"/>
        <w:tblDescription w:val="Table 5 shows the breakdown of Medway’s population by their ethnic group and how this has changed between 2011 and 2021."/>
      </w:tblPr>
      <w:tblGrid>
        <w:gridCol w:w="2353"/>
        <w:gridCol w:w="2353"/>
        <w:gridCol w:w="2353"/>
        <w:gridCol w:w="2353"/>
      </w:tblGrid>
      <w:tr w:rsidR="006333CE" w:rsidRPr="00540D92" w14:paraId="09455F8C" w14:textId="77777777" w:rsidTr="009E33F7">
        <w:trPr>
          <w:trHeight w:val="372"/>
        </w:trPr>
        <w:tc>
          <w:tcPr>
            <w:tcW w:w="1250" w:type="pct"/>
            <w:noWrap/>
          </w:tcPr>
          <w:p w14:paraId="38EF7C92" w14:textId="77777777" w:rsidR="006333CE" w:rsidRPr="00EE4059" w:rsidRDefault="006333CE" w:rsidP="00A54C12">
            <w:pPr>
              <w:spacing w:before="40" w:after="40"/>
              <w:jc w:val="center"/>
              <w:rPr>
                <w:sz w:val="22"/>
                <w:szCs w:val="16"/>
                <w:lang w:val="en-US"/>
              </w:rPr>
            </w:pPr>
            <w:r w:rsidRPr="00EE4059">
              <w:rPr>
                <w:rFonts w:eastAsia="Arial Unicode MS"/>
                <w:sz w:val="22"/>
              </w:rPr>
              <w:t>Ethnic Group</w:t>
            </w:r>
          </w:p>
        </w:tc>
        <w:tc>
          <w:tcPr>
            <w:tcW w:w="1250" w:type="pct"/>
          </w:tcPr>
          <w:p w14:paraId="568AD051" w14:textId="17E0F3FD" w:rsidR="006333CE" w:rsidRPr="00EE4059" w:rsidRDefault="006333CE" w:rsidP="00A54C12">
            <w:pPr>
              <w:spacing w:before="40" w:after="40"/>
              <w:jc w:val="center"/>
              <w:rPr>
                <w:rFonts w:eastAsia="Arial Unicode MS"/>
                <w:sz w:val="22"/>
              </w:rPr>
            </w:pPr>
            <w:r w:rsidRPr="00EE4059">
              <w:rPr>
                <w:rFonts w:eastAsia="Arial Unicode MS"/>
                <w:sz w:val="22"/>
              </w:rPr>
              <w:t>20</w:t>
            </w:r>
            <w:r w:rsidR="00A96488" w:rsidRPr="00EE4059">
              <w:rPr>
                <w:rFonts w:eastAsia="Arial Unicode MS"/>
                <w:sz w:val="22"/>
              </w:rPr>
              <w:t>1</w:t>
            </w:r>
            <w:r w:rsidRPr="00EE4059">
              <w:rPr>
                <w:rFonts w:eastAsia="Arial Unicode MS"/>
                <w:sz w:val="22"/>
              </w:rPr>
              <w:t>1 Census %</w:t>
            </w:r>
          </w:p>
        </w:tc>
        <w:tc>
          <w:tcPr>
            <w:tcW w:w="1250" w:type="pct"/>
          </w:tcPr>
          <w:p w14:paraId="2666A71E" w14:textId="273F3BF6" w:rsidR="006333CE" w:rsidRPr="00EE4059" w:rsidRDefault="006333CE" w:rsidP="00A54C12">
            <w:pPr>
              <w:spacing w:before="40" w:after="40"/>
              <w:jc w:val="center"/>
              <w:rPr>
                <w:rFonts w:eastAsia="Arial Unicode MS"/>
                <w:sz w:val="22"/>
              </w:rPr>
            </w:pPr>
            <w:r w:rsidRPr="00EE4059">
              <w:rPr>
                <w:rFonts w:eastAsia="Arial Unicode MS"/>
                <w:sz w:val="22"/>
              </w:rPr>
              <w:t>20</w:t>
            </w:r>
            <w:r w:rsidR="00A96488" w:rsidRPr="00EE4059">
              <w:rPr>
                <w:rFonts w:eastAsia="Arial Unicode MS"/>
                <w:sz w:val="22"/>
              </w:rPr>
              <w:t>2</w:t>
            </w:r>
            <w:r w:rsidRPr="00EE4059">
              <w:rPr>
                <w:rFonts w:eastAsia="Arial Unicode MS"/>
                <w:sz w:val="22"/>
              </w:rPr>
              <w:t>1 Census %</w:t>
            </w:r>
          </w:p>
        </w:tc>
        <w:tc>
          <w:tcPr>
            <w:tcW w:w="1250" w:type="pct"/>
          </w:tcPr>
          <w:p w14:paraId="4B25EEC2" w14:textId="26360215" w:rsidR="006333CE" w:rsidRPr="006B647F" w:rsidRDefault="006333CE" w:rsidP="00A54C12">
            <w:pPr>
              <w:spacing w:before="40" w:after="40"/>
              <w:jc w:val="center"/>
              <w:rPr>
                <w:rFonts w:eastAsia="Arial Unicode MS"/>
                <w:sz w:val="22"/>
                <w:highlight w:val="yellow"/>
              </w:rPr>
            </w:pPr>
            <w:r w:rsidRPr="006B647F">
              <w:rPr>
                <w:sz w:val="22"/>
                <w:highlight w:val="yellow"/>
              </w:rPr>
              <w:t>20</w:t>
            </w:r>
            <w:r w:rsidR="002B4A12" w:rsidRPr="006B647F">
              <w:rPr>
                <w:sz w:val="22"/>
                <w:highlight w:val="yellow"/>
              </w:rPr>
              <w:t>2</w:t>
            </w:r>
            <w:r w:rsidRPr="006B647F">
              <w:rPr>
                <w:sz w:val="22"/>
                <w:highlight w:val="yellow"/>
              </w:rPr>
              <w:t xml:space="preserve">1 </w:t>
            </w:r>
            <w:r w:rsidR="002B4A12" w:rsidRPr="006B647F">
              <w:rPr>
                <w:sz w:val="22"/>
                <w:highlight w:val="yellow"/>
              </w:rPr>
              <w:t>number</w:t>
            </w:r>
          </w:p>
        </w:tc>
      </w:tr>
      <w:tr w:rsidR="006333CE" w:rsidRPr="00540D92" w14:paraId="5411CA74" w14:textId="77777777" w:rsidTr="009E33F7">
        <w:trPr>
          <w:trHeight w:val="372"/>
        </w:trPr>
        <w:tc>
          <w:tcPr>
            <w:tcW w:w="1250" w:type="pct"/>
            <w:noWrap/>
          </w:tcPr>
          <w:p w14:paraId="456F33E2" w14:textId="77777777" w:rsidR="006333CE" w:rsidRPr="00EE4059" w:rsidRDefault="006333CE" w:rsidP="00A54C12">
            <w:pPr>
              <w:spacing w:before="40" w:after="40"/>
              <w:rPr>
                <w:sz w:val="22"/>
                <w:szCs w:val="20"/>
              </w:rPr>
            </w:pPr>
            <w:r w:rsidRPr="00EE4059">
              <w:rPr>
                <w:sz w:val="22"/>
                <w:szCs w:val="20"/>
              </w:rPr>
              <w:t>White</w:t>
            </w:r>
          </w:p>
        </w:tc>
        <w:tc>
          <w:tcPr>
            <w:tcW w:w="1250" w:type="pct"/>
          </w:tcPr>
          <w:p w14:paraId="56263D84" w14:textId="16500A93" w:rsidR="006333CE" w:rsidRPr="00EE4059" w:rsidRDefault="00A96488" w:rsidP="00A54C12">
            <w:pPr>
              <w:spacing w:before="40" w:after="40"/>
              <w:jc w:val="center"/>
              <w:rPr>
                <w:sz w:val="22"/>
                <w:szCs w:val="20"/>
              </w:rPr>
            </w:pPr>
            <w:r w:rsidRPr="00EE4059">
              <w:rPr>
                <w:sz w:val="22"/>
                <w:szCs w:val="20"/>
              </w:rPr>
              <w:t>89</w:t>
            </w:r>
            <w:r w:rsidR="006333CE" w:rsidRPr="00EE4059">
              <w:rPr>
                <w:sz w:val="22"/>
                <w:szCs w:val="20"/>
              </w:rPr>
              <w:t>.6</w:t>
            </w:r>
          </w:p>
        </w:tc>
        <w:tc>
          <w:tcPr>
            <w:tcW w:w="1250" w:type="pct"/>
          </w:tcPr>
          <w:p w14:paraId="1412D7AF" w14:textId="5C04E841" w:rsidR="006333CE" w:rsidRPr="00EE4059" w:rsidRDefault="006333CE" w:rsidP="00A54C12">
            <w:pPr>
              <w:spacing w:before="40" w:after="40"/>
              <w:jc w:val="center"/>
              <w:rPr>
                <w:sz w:val="22"/>
                <w:szCs w:val="20"/>
              </w:rPr>
            </w:pPr>
            <w:r w:rsidRPr="00EE4059">
              <w:rPr>
                <w:sz w:val="22"/>
                <w:szCs w:val="20"/>
              </w:rPr>
              <w:t>8</w:t>
            </w:r>
            <w:r w:rsidR="00A96488" w:rsidRPr="00EE4059">
              <w:rPr>
                <w:sz w:val="22"/>
                <w:szCs w:val="20"/>
              </w:rPr>
              <w:t>4</w:t>
            </w:r>
            <w:r w:rsidRPr="00EE4059">
              <w:rPr>
                <w:sz w:val="22"/>
                <w:szCs w:val="20"/>
              </w:rPr>
              <w:t>.</w:t>
            </w:r>
            <w:r w:rsidR="00A96488" w:rsidRPr="00EE4059">
              <w:rPr>
                <w:sz w:val="22"/>
                <w:szCs w:val="20"/>
              </w:rPr>
              <w:t>3</w:t>
            </w:r>
          </w:p>
        </w:tc>
        <w:tc>
          <w:tcPr>
            <w:tcW w:w="1250" w:type="pct"/>
          </w:tcPr>
          <w:p w14:paraId="31E9092D" w14:textId="4648626F" w:rsidR="006333CE" w:rsidRPr="006B647F" w:rsidRDefault="006333CE" w:rsidP="00A54C12">
            <w:pPr>
              <w:spacing w:before="40" w:after="40"/>
              <w:jc w:val="right"/>
              <w:rPr>
                <w:sz w:val="22"/>
                <w:szCs w:val="20"/>
                <w:highlight w:val="yellow"/>
              </w:rPr>
            </w:pPr>
            <w:r w:rsidRPr="006B647F">
              <w:rPr>
                <w:sz w:val="22"/>
                <w:szCs w:val="20"/>
                <w:highlight w:val="yellow"/>
              </w:rPr>
              <w:t>23</w:t>
            </w:r>
            <w:r w:rsidR="00A96488" w:rsidRPr="006B647F">
              <w:rPr>
                <w:sz w:val="22"/>
                <w:szCs w:val="20"/>
                <w:highlight w:val="yellow"/>
              </w:rPr>
              <w:t>5</w:t>
            </w:r>
            <w:r w:rsidRPr="006B647F">
              <w:rPr>
                <w:sz w:val="22"/>
                <w:szCs w:val="20"/>
                <w:highlight w:val="yellow"/>
              </w:rPr>
              <w:t>,</w:t>
            </w:r>
            <w:r w:rsidR="00A96488" w:rsidRPr="006B647F">
              <w:rPr>
                <w:sz w:val="22"/>
                <w:szCs w:val="20"/>
                <w:highlight w:val="yellow"/>
              </w:rPr>
              <w:t>747</w:t>
            </w:r>
          </w:p>
        </w:tc>
      </w:tr>
      <w:tr w:rsidR="006333CE" w:rsidRPr="00540D92" w14:paraId="2317A3D6" w14:textId="77777777" w:rsidTr="009E33F7">
        <w:trPr>
          <w:trHeight w:val="372"/>
        </w:trPr>
        <w:tc>
          <w:tcPr>
            <w:tcW w:w="1250" w:type="pct"/>
            <w:noWrap/>
          </w:tcPr>
          <w:p w14:paraId="4990AC71" w14:textId="77777777" w:rsidR="006333CE" w:rsidRPr="00EE4059" w:rsidRDefault="006333CE" w:rsidP="00A54C12">
            <w:pPr>
              <w:spacing w:before="40" w:after="40"/>
              <w:rPr>
                <w:sz w:val="22"/>
                <w:szCs w:val="20"/>
              </w:rPr>
            </w:pPr>
            <w:r w:rsidRPr="00EE4059">
              <w:rPr>
                <w:sz w:val="22"/>
                <w:szCs w:val="20"/>
              </w:rPr>
              <w:t>Mixed</w:t>
            </w:r>
          </w:p>
        </w:tc>
        <w:tc>
          <w:tcPr>
            <w:tcW w:w="1250" w:type="pct"/>
          </w:tcPr>
          <w:p w14:paraId="4E343EE5" w14:textId="0FDF3940" w:rsidR="006333CE" w:rsidRPr="00EE4059" w:rsidRDefault="00A96488" w:rsidP="00A54C12">
            <w:pPr>
              <w:spacing w:before="40" w:after="40"/>
              <w:jc w:val="center"/>
              <w:rPr>
                <w:sz w:val="22"/>
                <w:szCs w:val="20"/>
              </w:rPr>
            </w:pPr>
            <w:r w:rsidRPr="00EE4059">
              <w:rPr>
                <w:sz w:val="22"/>
                <w:szCs w:val="20"/>
              </w:rPr>
              <w:t>2</w:t>
            </w:r>
            <w:r w:rsidR="006333CE" w:rsidRPr="00EE4059">
              <w:rPr>
                <w:sz w:val="22"/>
                <w:szCs w:val="20"/>
              </w:rPr>
              <w:t>.</w:t>
            </w:r>
            <w:r w:rsidRPr="00EE4059">
              <w:rPr>
                <w:sz w:val="22"/>
                <w:szCs w:val="20"/>
              </w:rPr>
              <w:t>0</w:t>
            </w:r>
          </w:p>
        </w:tc>
        <w:tc>
          <w:tcPr>
            <w:tcW w:w="1250" w:type="pct"/>
          </w:tcPr>
          <w:p w14:paraId="455DBAD9" w14:textId="4893A0A0" w:rsidR="006333CE" w:rsidRPr="00EE4059" w:rsidRDefault="006333CE" w:rsidP="00A54C12">
            <w:pPr>
              <w:spacing w:before="40" w:after="40"/>
              <w:jc w:val="center"/>
              <w:rPr>
                <w:sz w:val="22"/>
                <w:szCs w:val="20"/>
              </w:rPr>
            </w:pPr>
            <w:r w:rsidRPr="00EE4059">
              <w:rPr>
                <w:sz w:val="22"/>
                <w:szCs w:val="20"/>
              </w:rPr>
              <w:t>2.</w:t>
            </w:r>
            <w:r w:rsidR="00A96488" w:rsidRPr="00EE4059">
              <w:rPr>
                <w:sz w:val="22"/>
                <w:szCs w:val="20"/>
              </w:rPr>
              <w:t>8</w:t>
            </w:r>
          </w:p>
        </w:tc>
        <w:tc>
          <w:tcPr>
            <w:tcW w:w="1250" w:type="pct"/>
          </w:tcPr>
          <w:p w14:paraId="37D5E0A3" w14:textId="7AC5CE74" w:rsidR="006333CE" w:rsidRPr="006B647F" w:rsidRDefault="00A96488" w:rsidP="00A54C12">
            <w:pPr>
              <w:spacing w:before="40" w:after="40"/>
              <w:jc w:val="right"/>
              <w:rPr>
                <w:sz w:val="22"/>
                <w:szCs w:val="20"/>
                <w:highlight w:val="yellow"/>
              </w:rPr>
            </w:pPr>
            <w:r w:rsidRPr="006B647F">
              <w:rPr>
                <w:sz w:val="22"/>
                <w:szCs w:val="20"/>
                <w:highlight w:val="yellow"/>
              </w:rPr>
              <w:t>7</w:t>
            </w:r>
            <w:r w:rsidR="006333CE" w:rsidRPr="006B647F">
              <w:rPr>
                <w:sz w:val="22"/>
                <w:szCs w:val="20"/>
                <w:highlight w:val="yellow"/>
              </w:rPr>
              <w:t>,</w:t>
            </w:r>
            <w:r w:rsidRPr="006B647F">
              <w:rPr>
                <w:sz w:val="22"/>
                <w:szCs w:val="20"/>
                <w:highlight w:val="yellow"/>
              </w:rPr>
              <w:t>589</w:t>
            </w:r>
          </w:p>
        </w:tc>
      </w:tr>
      <w:tr w:rsidR="006333CE" w:rsidRPr="00540D92" w14:paraId="2946A7FE" w14:textId="77777777" w:rsidTr="009E33F7">
        <w:trPr>
          <w:trHeight w:val="372"/>
        </w:trPr>
        <w:tc>
          <w:tcPr>
            <w:tcW w:w="1250" w:type="pct"/>
            <w:noWrap/>
          </w:tcPr>
          <w:p w14:paraId="5CF4FB51" w14:textId="77777777" w:rsidR="006333CE" w:rsidRPr="00EE4059" w:rsidRDefault="006333CE" w:rsidP="00A54C12">
            <w:pPr>
              <w:spacing w:before="40" w:after="40"/>
              <w:rPr>
                <w:sz w:val="22"/>
                <w:szCs w:val="20"/>
              </w:rPr>
            </w:pPr>
            <w:r w:rsidRPr="00EE4059">
              <w:rPr>
                <w:sz w:val="22"/>
                <w:szCs w:val="20"/>
              </w:rPr>
              <w:t>Asian</w:t>
            </w:r>
          </w:p>
        </w:tc>
        <w:tc>
          <w:tcPr>
            <w:tcW w:w="1250" w:type="pct"/>
          </w:tcPr>
          <w:p w14:paraId="3D5A4391" w14:textId="48C8C9A4" w:rsidR="006333CE" w:rsidRPr="00EE4059" w:rsidRDefault="00A96488" w:rsidP="00A54C12">
            <w:pPr>
              <w:spacing w:before="40" w:after="40"/>
              <w:jc w:val="center"/>
              <w:rPr>
                <w:sz w:val="22"/>
                <w:szCs w:val="20"/>
              </w:rPr>
            </w:pPr>
            <w:r w:rsidRPr="00EE4059">
              <w:rPr>
                <w:sz w:val="22"/>
                <w:szCs w:val="20"/>
              </w:rPr>
              <w:t>5</w:t>
            </w:r>
            <w:r w:rsidR="006333CE" w:rsidRPr="00EE4059">
              <w:rPr>
                <w:sz w:val="22"/>
                <w:szCs w:val="20"/>
              </w:rPr>
              <w:t>.</w:t>
            </w:r>
            <w:r w:rsidRPr="00EE4059">
              <w:rPr>
                <w:sz w:val="22"/>
                <w:szCs w:val="20"/>
              </w:rPr>
              <w:t>2</w:t>
            </w:r>
          </w:p>
        </w:tc>
        <w:tc>
          <w:tcPr>
            <w:tcW w:w="1250" w:type="pct"/>
          </w:tcPr>
          <w:p w14:paraId="4ADEF627" w14:textId="47CD7DD3" w:rsidR="006333CE" w:rsidRPr="00EE4059" w:rsidRDefault="006333CE" w:rsidP="00A54C12">
            <w:pPr>
              <w:spacing w:before="40" w:after="40"/>
              <w:jc w:val="center"/>
              <w:rPr>
                <w:sz w:val="22"/>
                <w:szCs w:val="20"/>
              </w:rPr>
            </w:pPr>
            <w:r w:rsidRPr="00EE4059">
              <w:rPr>
                <w:sz w:val="22"/>
                <w:szCs w:val="20"/>
              </w:rPr>
              <w:t>5.</w:t>
            </w:r>
            <w:r w:rsidR="00A96488" w:rsidRPr="00EE4059">
              <w:rPr>
                <w:sz w:val="22"/>
                <w:szCs w:val="20"/>
              </w:rPr>
              <w:t>9</w:t>
            </w:r>
          </w:p>
        </w:tc>
        <w:tc>
          <w:tcPr>
            <w:tcW w:w="1250" w:type="pct"/>
          </w:tcPr>
          <w:p w14:paraId="66962642" w14:textId="302007AA" w:rsidR="006333CE" w:rsidRPr="006B647F" w:rsidRDefault="006333CE" w:rsidP="00A54C12">
            <w:pPr>
              <w:spacing w:before="40" w:after="40"/>
              <w:jc w:val="right"/>
              <w:rPr>
                <w:sz w:val="22"/>
                <w:szCs w:val="20"/>
                <w:highlight w:val="yellow"/>
              </w:rPr>
            </w:pPr>
            <w:r w:rsidRPr="006B647F">
              <w:rPr>
                <w:sz w:val="22"/>
                <w:szCs w:val="20"/>
                <w:highlight w:val="yellow"/>
              </w:rPr>
              <w:t>1</w:t>
            </w:r>
            <w:r w:rsidR="00A96488" w:rsidRPr="006B647F">
              <w:rPr>
                <w:sz w:val="22"/>
                <w:szCs w:val="20"/>
                <w:highlight w:val="yellow"/>
              </w:rPr>
              <w:t>6</w:t>
            </w:r>
            <w:r w:rsidRPr="006B647F">
              <w:rPr>
                <w:sz w:val="22"/>
                <w:szCs w:val="20"/>
                <w:highlight w:val="yellow"/>
              </w:rPr>
              <w:t>,</w:t>
            </w:r>
            <w:r w:rsidR="00A96488" w:rsidRPr="006B647F">
              <w:rPr>
                <w:sz w:val="22"/>
                <w:szCs w:val="20"/>
                <w:highlight w:val="yellow"/>
              </w:rPr>
              <w:t>484</w:t>
            </w:r>
          </w:p>
        </w:tc>
      </w:tr>
      <w:tr w:rsidR="006333CE" w:rsidRPr="00540D92" w14:paraId="51992650" w14:textId="77777777" w:rsidTr="009E33F7">
        <w:trPr>
          <w:trHeight w:val="372"/>
        </w:trPr>
        <w:tc>
          <w:tcPr>
            <w:tcW w:w="1250" w:type="pct"/>
            <w:noWrap/>
          </w:tcPr>
          <w:p w14:paraId="16A771F9" w14:textId="77777777" w:rsidR="006333CE" w:rsidRPr="00EE4059" w:rsidRDefault="006333CE" w:rsidP="00A54C12">
            <w:pPr>
              <w:spacing w:before="40" w:after="40"/>
              <w:rPr>
                <w:sz w:val="22"/>
                <w:szCs w:val="20"/>
              </w:rPr>
            </w:pPr>
            <w:r w:rsidRPr="00EE4059">
              <w:rPr>
                <w:sz w:val="22"/>
                <w:szCs w:val="20"/>
              </w:rPr>
              <w:t>Black</w:t>
            </w:r>
          </w:p>
        </w:tc>
        <w:tc>
          <w:tcPr>
            <w:tcW w:w="1250" w:type="pct"/>
          </w:tcPr>
          <w:p w14:paraId="30CC27DD" w14:textId="06C67505" w:rsidR="006333CE" w:rsidRPr="00EE4059" w:rsidRDefault="00A96488" w:rsidP="00A54C12">
            <w:pPr>
              <w:spacing w:before="40" w:after="40"/>
              <w:jc w:val="center"/>
              <w:rPr>
                <w:sz w:val="22"/>
                <w:szCs w:val="20"/>
              </w:rPr>
            </w:pPr>
            <w:r w:rsidRPr="00EE4059">
              <w:rPr>
                <w:sz w:val="22"/>
                <w:szCs w:val="20"/>
              </w:rPr>
              <w:t>2</w:t>
            </w:r>
            <w:r w:rsidR="006333CE" w:rsidRPr="00EE4059">
              <w:rPr>
                <w:sz w:val="22"/>
                <w:szCs w:val="20"/>
              </w:rPr>
              <w:t>.</w:t>
            </w:r>
            <w:r w:rsidRPr="00EE4059">
              <w:rPr>
                <w:sz w:val="22"/>
                <w:szCs w:val="20"/>
              </w:rPr>
              <w:t>5</w:t>
            </w:r>
          </w:p>
        </w:tc>
        <w:tc>
          <w:tcPr>
            <w:tcW w:w="1250" w:type="pct"/>
          </w:tcPr>
          <w:p w14:paraId="23220AED" w14:textId="5F0554B3" w:rsidR="006333CE" w:rsidRPr="00EE4059" w:rsidRDefault="00A96488" w:rsidP="00A54C12">
            <w:pPr>
              <w:spacing w:before="40" w:after="40"/>
              <w:jc w:val="center"/>
              <w:rPr>
                <w:sz w:val="22"/>
                <w:szCs w:val="20"/>
              </w:rPr>
            </w:pPr>
            <w:r w:rsidRPr="00EE4059">
              <w:rPr>
                <w:sz w:val="22"/>
                <w:szCs w:val="20"/>
              </w:rPr>
              <w:t>5</w:t>
            </w:r>
            <w:r w:rsidR="006333CE" w:rsidRPr="00EE4059">
              <w:rPr>
                <w:sz w:val="22"/>
                <w:szCs w:val="20"/>
              </w:rPr>
              <w:t>.</w:t>
            </w:r>
            <w:r w:rsidRPr="00EE4059">
              <w:rPr>
                <w:sz w:val="22"/>
                <w:szCs w:val="20"/>
              </w:rPr>
              <w:t>6</w:t>
            </w:r>
          </w:p>
        </w:tc>
        <w:tc>
          <w:tcPr>
            <w:tcW w:w="1250" w:type="pct"/>
          </w:tcPr>
          <w:p w14:paraId="6C09DE11" w14:textId="3CA42B2A" w:rsidR="006333CE" w:rsidRPr="006B647F" w:rsidRDefault="00A96488" w:rsidP="00A54C12">
            <w:pPr>
              <w:spacing w:before="40" w:after="40"/>
              <w:jc w:val="right"/>
              <w:rPr>
                <w:sz w:val="22"/>
                <w:szCs w:val="20"/>
                <w:highlight w:val="yellow"/>
              </w:rPr>
            </w:pPr>
            <w:r w:rsidRPr="006B647F">
              <w:rPr>
                <w:sz w:val="22"/>
                <w:szCs w:val="20"/>
                <w:highlight w:val="yellow"/>
              </w:rPr>
              <w:t>15</w:t>
            </w:r>
            <w:r w:rsidR="006333CE" w:rsidRPr="006B647F">
              <w:rPr>
                <w:sz w:val="22"/>
                <w:szCs w:val="20"/>
                <w:highlight w:val="yellow"/>
              </w:rPr>
              <w:t>,</w:t>
            </w:r>
            <w:r w:rsidRPr="006B647F">
              <w:rPr>
                <w:sz w:val="22"/>
                <w:szCs w:val="20"/>
                <w:highlight w:val="yellow"/>
              </w:rPr>
              <w:t>723</w:t>
            </w:r>
          </w:p>
        </w:tc>
      </w:tr>
      <w:tr w:rsidR="006333CE" w:rsidRPr="00540D92" w14:paraId="299B438A" w14:textId="77777777" w:rsidTr="009E33F7">
        <w:trPr>
          <w:trHeight w:val="372"/>
        </w:trPr>
        <w:tc>
          <w:tcPr>
            <w:tcW w:w="1250" w:type="pct"/>
            <w:noWrap/>
          </w:tcPr>
          <w:p w14:paraId="7B5FB9E1" w14:textId="77777777" w:rsidR="006333CE" w:rsidRPr="00EE4059" w:rsidRDefault="006333CE" w:rsidP="00A54C12">
            <w:pPr>
              <w:spacing w:before="40" w:after="40"/>
              <w:rPr>
                <w:sz w:val="22"/>
                <w:szCs w:val="20"/>
              </w:rPr>
            </w:pPr>
            <w:r w:rsidRPr="00EE4059">
              <w:rPr>
                <w:sz w:val="22"/>
                <w:szCs w:val="20"/>
              </w:rPr>
              <w:t>Other</w:t>
            </w:r>
          </w:p>
        </w:tc>
        <w:tc>
          <w:tcPr>
            <w:tcW w:w="1250" w:type="pct"/>
          </w:tcPr>
          <w:p w14:paraId="226ADF61" w14:textId="12113276" w:rsidR="006333CE" w:rsidRPr="00EE4059" w:rsidRDefault="006333CE" w:rsidP="00A54C12">
            <w:pPr>
              <w:spacing w:before="40" w:after="40"/>
              <w:jc w:val="center"/>
              <w:rPr>
                <w:sz w:val="22"/>
                <w:szCs w:val="20"/>
              </w:rPr>
            </w:pPr>
            <w:r w:rsidRPr="00EE4059">
              <w:rPr>
                <w:sz w:val="22"/>
                <w:szCs w:val="20"/>
              </w:rPr>
              <w:t>0.</w:t>
            </w:r>
            <w:r w:rsidR="00A96488" w:rsidRPr="00EE4059">
              <w:rPr>
                <w:sz w:val="22"/>
                <w:szCs w:val="20"/>
              </w:rPr>
              <w:t>7</w:t>
            </w:r>
          </w:p>
        </w:tc>
        <w:tc>
          <w:tcPr>
            <w:tcW w:w="1250" w:type="pct"/>
          </w:tcPr>
          <w:p w14:paraId="790862C7" w14:textId="3BCC530D" w:rsidR="006333CE" w:rsidRPr="00EE4059" w:rsidRDefault="00A96488" w:rsidP="00A54C12">
            <w:pPr>
              <w:spacing w:before="40" w:after="40"/>
              <w:jc w:val="center"/>
              <w:rPr>
                <w:sz w:val="22"/>
                <w:szCs w:val="20"/>
              </w:rPr>
            </w:pPr>
            <w:r w:rsidRPr="00EE4059">
              <w:rPr>
                <w:sz w:val="22"/>
                <w:szCs w:val="20"/>
              </w:rPr>
              <w:t>1</w:t>
            </w:r>
            <w:r w:rsidR="006333CE" w:rsidRPr="00EE4059">
              <w:rPr>
                <w:sz w:val="22"/>
                <w:szCs w:val="20"/>
              </w:rPr>
              <w:t>.</w:t>
            </w:r>
            <w:r w:rsidRPr="00EE4059">
              <w:rPr>
                <w:sz w:val="22"/>
                <w:szCs w:val="20"/>
              </w:rPr>
              <w:t>4</w:t>
            </w:r>
          </w:p>
        </w:tc>
        <w:tc>
          <w:tcPr>
            <w:tcW w:w="1250" w:type="pct"/>
          </w:tcPr>
          <w:p w14:paraId="51C264A1" w14:textId="2D5AB622" w:rsidR="006333CE" w:rsidRPr="006B647F" w:rsidRDefault="00A96488" w:rsidP="00A54C12">
            <w:pPr>
              <w:spacing w:before="40" w:after="40"/>
              <w:jc w:val="right"/>
              <w:rPr>
                <w:sz w:val="22"/>
                <w:szCs w:val="20"/>
                <w:highlight w:val="yellow"/>
              </w:rPr>
            </w:pPr>
            <w:r w:rsidRPr="006B647F">
              <w:rPr>
                <w:sz w:val="22"/>
                <w:szCs w:val="20"/>
                <w:highlight w:val="yellow"/>
              </w:rPr>
              <w:t>3</w:t>
            </w:r>
            <w:r w:rsidR="006333CE" w:rsidRPr="006B647F">
              <w:rPr>
                <w:sz w:val="22"/>
                <w:szCs w:val="20"/>
                <w:highlight w:val="yellow"/>
              </w:rPr>
              <w:t>,</w:t>
            </w:r>
            <w:r w:rsidRPr="006B647F">
              <w:rPr>
                <w:sz w:val="22"/>
                <w:szCs w:val="20"/>
                <w:highlight w:val="yellow"/>
              </w:rPr>
              <w:t>960</w:t>
            </w:r>
          </w:p>
        </w:tc>
      </w:tr>
      <w:tr w:rsidR="006333CE" w:rsidRPr="00540D92" w14:paraId="473B863E" w14:textId="77777777" w:rsidTr="009E33F7">
        <w:trPr>
          <w:trHeight w:val="372"/>
        </w:trPr>
        <w:tc>
          <w:tcPr>
            <w:tcW w:w="1250" w:type="pct"/>
            <w:noWrap/>
          </w:tcPr>
          <w:p w14:paraId="447AD0CF" w14:textId="77777777" w:rsidR="006333CE" w:rsidRPr="00EE4059" w:rsidRDefault="006333CE" w:rsidP="00A54C12">
            <w:pPr>
              <w:spacing w:before="40" w:after="40"/>
              <w:rPr>
                <w:rFonts w:eastAsia="Arial Unicode MS"/>
                <w:sz w:val="22"/>
              </w:rPr>
            </w:pPr>
            <w:r w:rsidRPr="00EE4059">
              <w:rPr>
                <w:sz w:val="22"/>
              </w:rPr>
              <w:t>All Groups</w:t>
            </w:r>
          </w:p>
        </w:tc>
        <w:tc>
          <w:tcPr>
            <w:tcW w:w="1250" w:type="pct"/>
          </w:tcPr>
          <w:p w14:paraId="36A98093" w14:textId="77777777" w:rsidR="006333CE" w:rsidRPr="00EE4059" w:rsidRDefault="006333CE" w:rsidP="00A54C12">
            <w:pPr>
              <w:spacing w:before="40" w:after="40"/>
              <w:jc w:val="center"/>
              <w:rPr>
                <w:rFonts w:eastAsia="Arial Unicode MS"/>
                <w:sz w:val="22"/>
              </w:rPr>
            </w:pPr>
            <w:r w:rsidRPr="00EE4059">
              <w:rPr>
                <w:sz w:val="22"/>
              </w:rPr>
              <w:t>100</w:t>
            </w:r>
          </w:p>
        </w:tc>
        <w:tc>
          <w:tcPr>
            <w:tcW w:w="1250" w:type="pct"/>
          </w:tcPr>
          <w:p w14:paraId="1FB6460B" w14:textId="77777777" w:rsidR="006333CE" w:rsidRPr="00EE4059" w:rsidRDefault="006333CE" w:rsidP="00A54C12">
            <w:pPr>
              <w:spacing w:before="40" w:after="40"/>
              <w:jc w:val="center"/>
              <w:rPr>
                <w:rFonts w:eastAsia="Arial Unicode MS"/>
                <w:sz w:val="22"/>
              </w:rPr>
            </w:pPr>
            <w:r w:rsidRPr="00EE4059">
              <w:rPr>
                <w:rFonts w:eastAsia="Arial Unicode MS"/>
                <w:sz w:val="22"/>
              </w:rPr>
              <w:t>100</w:t>
            </w:r>
          </w:p>
        </w:tc>
        <w:tc>
          <w:tcPr>
            <w:tcW w:w="1250" w:type="pct"/>
          </w:tcPr>
          <w:p w14:paraId="2EA9E824" w14:textId="1A469712" w:rsidR="006333CE" w:rsidRPr="006B647F" w:rsidRDefault="006333CE" w:rsidP="00A54C12">
            <w:pPr>
              <w:spacing w:before="40" w:after="40"/>
              <w:jc w:val="right"/>
              <w:rPr>
                <w:rFonts w:eastAsia="Arial Unicode MS"/>
                <w:sz w:val="22"/>
                <w:highlight w:val="yellow"/>
              </w:rPr>
            </w:pPr>
            <w:r w:rsidRPr="006B647F">
              <w:rPr>
                <w:rFonts w:eastAsia="Arial Unicode MS"/>
                <w:sz w:val="22"/>
                <w:highlight w:val="yellow"/>
              </w:rPr>
              <w:t>2</w:t>
            </w:r>
            <w:r w:rsidR="00A96488" w:rsidRPr="006B647F">
              <w:rPr>
                <w:rFonts w:eastAsia="Arial Unicode MS"/>
                <w:sz w:val="22"/>
                <w:highlight w:val="yellow"/>
              </w:rPr>
              <w:t>79</w:t>
            </w:r>
            <w:r w:rsidRPr="006B647F">
              <w:rPr>
                <w:rFonts w:eastAsia="Arial Unicode MS"/>
                <w:sz w:val="22"/>
                <w:highlight w:val="yellow"/>
              </w:rPr>
              <w:t>,</w:t>
            </w:r>
            <w:r w:rsidR="00A96488" w:rsidRPr="006B647F">
              <w:rPr>
                <w:rFonts w:eastAsia="Arial Unicode MS"/>
                <w:sz w:val="22"/>
                <w:highlight w:val="yellow"/>
              </w:rPr>
              <w:t>773</w:t>
            </w:r>
          </w:p>
        </w:tc>
      </w:tr>
    </w:tbl>
    <w:p w14:paraId="5199D835" w14:textId="072451AF" w:rsidR="006333CE" w:rsidRPr="000C3373" w:rsidRDefault="006333CE" w:rsidP="005B7332">
      <w:pPr>
        <w:jc w:val="center"/>
        <w:rPr>
          <w:rFonts w:ascii="Helvetica" w:hAnsi="Helvetica" w:cs="Helvetica"/>
          <w:kern w:val="32"/>
          <w:sz w:val="18"/>
          <w:szCs w:val="18"/>
        </w:rPr>
      </w:pPr>
      <w:r w:rsidRPr="000C3373">
        <w:rPr>
          <w:rFonts w:ascii="Helvetica" w:hAnsi="Helvetica" w:cs="Helvetica"/>
          <w:kern w:val="32"/>
          <w:sz w:val="18"/>
          <w:szCs w:val="18"/>
        </w:rPr>
        <w:t>Source: Census 2011 and 20</w:t>
      </w:r>
      <w:r w:rsidR="00494945" w:rsidRPr="000C3373">
        <w:rPr>
          <w:rFonts w:ascii="Helvetica" w:hAnsi="Helvetica" w:cs="Helvetica"/>
          <w:kern w:val="32"/>
          <w:sz w:val="18"/>
          <w:szCs w:val="18"/>
        </w:rPr>
        <w:t>2</w:t>
      </w:r>
      <w:r w:rsidRPr="000C3373">
        <w:rPr>
          <w:rFonts w:ascii="Helvetica" w:hAnsi="Helvetica" w:cs="Helvetica"/>
          <w:kern w:val="32"/>
          <w:sz w:val="18"/>
          <w:szCs w:val="18"/>
        </w:rPr>
        <w:t>1</w:t>
      </w:r>
    </w:p>
    <w:p w14:paraId="24F569BB" w14:textId="77777777" w:rsidR="003015DB" w:rsidRDefault="003015DB" w:rsidP="005B7332">
      <w:pPr>
        <w:rPr>
          <w:rFonts w:ascii="Helvetica" w:hAnsi="Helvetica" w:cs="Helvetica"/>
          <w:kern w:val="32"/>
        </w:rPr>
      </w:pPr>
    </w:p>
    <w:p w14:paraId="49DEE57A" w14:textId="178BDD41" w:rsidR="003015DB" w:rsidRDefault="00494945" w:rsidP="005B7332">
      <w:pPr>
        <w:rPr>
          <w:rFonts w:ascii="Helvetica" w:hAnsi="Helvetica" w:cs="Helvetica"/>
          <w:kern w:val="32"/>
        </w:rPr>
      </w:pPr>
      <w:r w:rsidRPr="000C3373">
        <w:rPr>
          <w:rFonts w:ascii="Helvetica" w:hAnsi="Helvetica" w:cs="Helvetica"/>
          <w:kern w:val="32"/>
        </w:rPr>
        <w:t xml:space="preserve">When breaking down the ethnic groups further, the 2011 Census shows that White British represented the majority of the community (78.3%) with White Other being the second highest (6%), followed by Asian (5.9%). </w:t>
      </w:r>
    </w:p>
    <w:p w14:paraId="3A9A0E79" w14:textId="77777777" w:rsidR="009D5CA2" w:rsidRPr="000C3373" w:rsidRDefault="009D5CA2" w:rsidP="005B7332">
      <w:pPr>
        <w:rPr>
          <w:rFonts w:ascii="Helvetica" w:hAnsi="Helvetica" w:cs="Helvetica"/>
          <w:kern w:val="32"/>
        </w:rPr>
      </w:pPr>
    </w:p>
    <w:p w14:paraId="4568B745" w14:textId="42038158" w:rsidR="003015DB" w:rsidRDefault="00494945" w:rsidP="005B7332">
      <w:pPr>
        <w:rPr>
          <w:rFonts w:ascii="Helvetica" w:hAnsi="Helvetica" w:cs="Helvetica"/>
          <w:kern w:val="32"/>
        </w:rPr>
      </w:pPr>
      <w:r w:rsidRPr="000C3373">
        <w:rPr>
          <w:rFonts w:ascii="Helvetica" w:hAnsi="Helvetica" w:cs="Helvetica"/>
          <w:kern w:val="32"/>
        </w:rPr>
        <w:t xml:space="preserve">Between 2011 and 2021 the White population has remained static in terms of numbers, however, there have been some significant changes within the groups that make up this population. </w:t>
      </w:r>
      <w:r w:rsidR="00D16A8F">
        <w:rPr>
          <w:rFonts w:ascii="Helvetica" w:hAnsi="Helvetica" w:cs="Helvetica"/>
          <w:kern w:val="32"/>
        </w:rPr>
        <w:t xml:space="preserve"> </w:t>
      </w:r>
      <w:r w:rsidRPr="000C3373">
        <w:rPr>
          <w:rFonts w:ascii="Helvetica" w:hAnsi="Helvetica" w:cs="Helvetica"/>
          <w:kern w:val="32"/>
        </w:rPr>
        <w:t>White Other increasing from 3.4% of the population in 2011 to 6% in 2021, whilst White British fell from 85.5% to 78.3%.</w:t>
      </w:r>
    </w:p>
    <w:p w14:paraId="551594FF" w14:textId="77777777" w:rsidR="009D5CA2" w:rsidRPr="000C3373" w:rsidRDefault="009D5CA2" w:rsidP="005B7332">
      <w:pPr>
        <w:rPr>
          <w:rFonts w:ascii="Helvetica" w:hAnsi="Helvetica" w:cs="Helvetica"/>
          <w:kern w:val="32"/>
        </w:rPr>
      </w:pPr>
    </w:p>
    <w:p w14:paraId="709FD603" w14:textId="7C95321E" w:rsidR="00494945" w:rsidRDefault="00494945" w:rsidP="005B7332">
      <w:pPr>
        <w:rPr>
          <w:rFonts w:ascii="Helvetica" w:hAnsi="Helvetica" w:cs="Helvetica"/>
          <w:kern w:val="32"/>
        </w:rPr>
      </w:pPr>
      <w:r w:rsidRPr="000C3373">
        <w:rPr>
          <w:rFonts w:ascii="Helvetica" w:hAnsi="Helvetica" w:cs="Helvetica"/>
          <w:kern w:val="32"/>
        </w:rPr>
        <w:t xml:space="preserve">The Asian, Mixed and other ethnic groups all saw increases in the number of people and as the proportion of the population living, all having seen a 0.7 percentage points from 2011 to 2021. </w:t>
      </w:r>
      <w:r w:rsidR="00D16A8F">
        <w:rPr>
          <w:rFonts w:ascii="Helvetica" w:hAnsi="Helvetica" w:cs="Helvetica"/>
          <w:kern w:val="32"/>
        </w:rPr>
        <w:t xml:space="preserve"> </w:t>
      </w:r>
      <w:r w:rsidRPr="000C3373">
        <w:rPr>
          <w:rFonts w:ascii="Helvetica" w:hAnsi="Helvetica" w:cs="Helvetica"/>
          <w:kern w:val="32"/>
        </w:rPr>
        <w:t xml:space="preserve">Black communities saw a significant rise in the proportion of the population, increasing from 2.5% of the population in 2011 to 5.6% in 2021. </w:t>
      </w:r>
      <w:r w:rsidR="00D16A8F">
        <w:rPr>
          <w:rFonts w:ascii="Helvetica" w:hAnsi="Helvetica" w:cs="Helvetica"/>
          <w:kern w:val="32"/>
        </w:rPr>
        <w:t xml:space="preserve"> </w:t>
      </w:r>
      <w:r w:rsidRPr="000C3373">
        <w:rPr>
          <w:rFonts w:ascii="Helvetica" w:hAnsi="Helvetica" w:cs="Helvetica"/>
          <w:kern w:val="32"/>
        </w:rPr>
        <w:t xml:space="preserve">Most of this change was driven by the Black African population increasing from 1.8% to 4%. </w:t>
      </w:r>
    </w:p>
    <w:p w14:paraId="36AFFA2C" w14:textId="77777777" w:rsidR="003015DB" w:rsidRPr="000C3373" w:rsidRDefault="003015DB" w:rsidP="005B7332">
      <w:pPr>
        <w:rPr>
          <w:rFonts w:ascii="Helvetica" w:hAnsi="Helvetica" w:cs="Helvetica"/>
          <w:kern w:val="32"/>
        </w:rPr>
      </w:pPr>
    </w:p>
    <w:p w14:paraId="681795E3" w14:textId="68473862" w:rsidR="003B0739" w:rsidRDefault="000C3373" w:rsidP="001F0C30">
      <w:pPr>
        <w:rPr>
          <w:rFonts w:ascii="Helvetica" w:hAnsi="Helvetica" w:cs="Helvetica"/>
          <w:kern w:val="32"/>
        </w:rPr>
      </w:pPr>
      <w:r w:rsidRPr="007A5ED1">
        <w:rPr>
          <w:rFonts w:ascii="Helvetica" w:hAnsi="Helvetica" w:cs="Helvetica"/>
          <w:kern w:val="32"/>
        </w:rPr>
        <w:t>Table</w:t>
      </w:r>
      <w:r w:rsidR="00494945" w:rsidRPr="007A5ED1">
        <w:rPr>
          <w:rFonts w:ascii="Helvetica" w:hAnsi="Helvetica" w:cs="Helvetica"/>
          <w:kern w:val="32"/>
        </w:rPr>
        <w:t xml:space="preserve"> </w:t>
      </w:r>
      <w:r w:rsidR="001F0C30">
        <w:rPr>
          <w:rFonts w:ascii="Helvetica" w:hAnsi="Helvetica" w:cs="Helvetica"/>
          <w:kern w:val="32"/>
        </w:rPr>
        <w:t>6</w:t>
      </w:r>
      <w:r w:rsidR="00494945" w:rsidRPr="007A5ED1">
        <w:rPr>
          <w:rFonts w:ascii="Helvetica" w:hAnsi="Helvetica" w:cs="Helvetica"/>
          <w:kern w:val="32"/>
        </w:rPr>
        <w:t xml:space="preserve"> </w:t>
      </w:r>
      <w:r w:rsidR="00CC5E91">
        <w:rPr>
          <w:rFonts w:ascii="Helvetica" w:hAnsi="Helvetica" w:cs="Helvetica"/>
          <w:kern w:val="32"/>
        </w:rPr>
        <w:t xml:space="preserve">below </w:t>
      </w:r>
      <w:r w:rsidR="00494945" w:rsidRPr="007A5ED1">
        <w:rPr>
          <w:rFonts w:ascii="Helvetica" w:hAnsi="Helvetica" w:cs="Helvetica"/>
          <w:kern w:val="32"/>
        </w:rPr>
        <w:t>shows that the ethnic minority population in Medway in 2011 and 2021 was greater than the South East, but smaller than England &amp; Wales as a whole.</w:t>
      </w:r>
    </w:p>
    <w:p w14:paraId="2308CE18" w14:textId="77777777" w:rsidR="001F0C30" w:rsidRDefault="001F0C30" w:rsidP="001F0C30">
      <w:pPr>
        <w:rPr>
          <w:rFonts w:ascii="Helvetica" w:hAnsi="Helvetica" w:cs="Helvetica"/>
          <w:kern w:val="32"/>
        </w:rPr>
      </w:pPr>
    </w:p>
    <w:p w14:paraId="085F4B85" w14:textId="77777777" w:rsidR="000D66FE" w:rsidRDefault="000D66FE" w:rsidP="001F0C30">
      <w:pPr>
        <w:rPr>
          <w:rFonts w:ascii="Helvetica" w:hAnsi="Helvetica" w:cs="Helvetica"/>
          <w:kern w:val="32"/>
        </w:rPr>
      </w:pPr>
    </w:p>
    <w:p w14:paraId="46E486EF" w14:textId="77777777" w:rsidR="00E13D1D" w:rsidRPr="001F0C30" w:rsidRDefault="00E13D1D" w:rsidP="001F0C30">
      <w:pPr>
        <w:rPr>
          <w:rFonts w:ascii="Helvetica" w:hAnsi="Helvetica" w:cs="Helvetica"/>
          <w:kern w:val="32"/>
        </w:rPr>
      </w:pPr>
    </w:p>
    <w:p w14:paraId="5D55E282" w14:textId="70A1290C" w:rsidR="003B0739" w:rsidRPr="002B4A12" w:rsidRDefault="003B0739" w:rsidP="001F0C30">
      <w:pPr>
        <w:jc w:val="center"/>
        <w:rPr>
          <w:kern w:val="32"/>
          <w:sz w:val="18"/>
          <w:szCs w:val="18"/>
        </w:rPr>
      </w:pPr>
      <w:r w:rsidRPr="002B4A12">
        <w:rPr>
          <w:kern w:val="32"/>
          <w:sz w:val="18"/>
          <w:szCs w:val="18"/>
        </w:rPr>
        <w:t xml:space="preserve">Table </w:t>
      </w:r>
      <w:r w:rsidR="001F0C30" w:rsidRPr="002B4A12">
        <w:rPr>
          <w:kern w:val="32"/>
          <w:sz w:val="18"/>
          <w:szCs w:val="18"/>
        </w:rPr>
        <w:t>6</w:t>
      </w:r>
      <w:r w:rsidRPr="002B4A12">
        <w:rPr>
          <w:kern w:val="32"/>
          <w:sz w:val="18"/>
          <w:szCs w:val="18"/>
        </w:rPr>
        <w:t xml:space="preserve"> Non-white ethnic minority population in Medway, South East and England</w:t>
      </w:r>
    </w:p>
    <w:tbl>
      <w:tblPr>
        <w:tblStyle w:val="TableGrid"/>
        <w:tblW w:w="5217" w:type="dxa"/>
        <w:jc w:val="center"/>
        <w:tblLook w:val="0020" w:firstRow="1" w:lastRow="0" w:firstColumn="0" w:lastColumn="0" w:noHBand="0" w:noVBand="0"/>
        <w:tblCaption w:val="Table 6 Non-white ethnic minority population in Medway, South East and England"/>
        <w:tblDescription w:val="Table 6  shows that the ethnic minority population in Medway in 2011 and 2021 was greater than the South East, but smaller than England &amp; Wales as a whole."/>
      </w:tblPr>
      <w:tblGrid>
        <w:gridCol w:w="1751"/>
        <w:gridCol w:w="1380"/>
        <w:gridCol w:w="2086"/>
      </w:tblGrid>
      <w:tr w:rsidR="00494945" w:rsidRPr="002B4A12" w14:paraId="67533674" w14:textId="77777777" w:rsidTr="00EC20D1">
        <w:trPr>
          <w:trHeight w:val="340"/>
          <w:jc w:val="center"/>
        </w:trPr>
        <w:tc>
          <w:tcPr>
            <w:tcW w:w="1603" w:type="pct"/>
            <w:shd w:val="clear" w:color="auto" w:fill="auto"/>
            <w:noWrap/>
          </w:tcPr>
          <w:p w14:paraId="5FD7CECA" w14:textId="77777777" w:rsidR="00494945" w:rsidRPr="002B4A12" w:rsidRDefault="00494945" w:rsidP="00A54C12">
            <w:pPr>
              <w:spacing w:before="40" w:after="40"/>
              <w:jc w:val="center"/>
              <w:rPr>
                <w:sz w:val="20"/>
                <w:szCs w:val="20"/>
              </w:rPr>
            </w:pPr>
            <w:r w:rsidRPr="002B4A12">
              <w:rPr>
                <w:sz w:val="20"/>
                <w:szCs w:val="20"/>
              </w:rPr>
              <w:t xml:space="preserve">Ethnic Minority </w:t>
            </w:r>
          </w:p>
          <w:p w14:paraId="75250268" w14:textId="77777777" w:rsidR="00494945" w:rsidRPr="002B4A12" w:rsidRDefault="00494945" w:rsidP="00A54C12">
            <w:pPr>
              <w:spacing w:before="40" w:after="40"/>
              <w:jc w:val="center"/>
              <w:rPr>
                <w:rFonts w:eastAsia="Arial Unicode MS"/>
                <w:sz w:val="20"/>
                <w:szCs w:val="20"/>
              </w:rPr>
            </w:pPr>
            <w:r w:rsidRPr="002B4A12">
              <w:rPr>
                <w:sz w:val="20"/>
                <w:szCs w:val="20"/>
              </w:rPr>
              <w:t>Population</w:t>
            </w:r>
          </w:p>
        </w:tc>
        <w:tc>
          <w:tcPr>
            <w:tcW w:w="1360" w:type="pct"/>
            <w:shd w:val="clear" w:color="auto" w:fill="auto"/>
          </w:tcPr>
          <w:p w14:paraId="27DA469F" w14:textId="77777777" w:rsidR="00494945" w:rsidRPr="002B4A12" w:rsidRDefault="00494945" w:rsidP="00A54C12">
            <w:pPr>
              <w:spacing w:before="40" w:after="40"/>
              <w:jc w:val="center"/>
              <w:rPr>
                <w:sz w:val="20"/>
                <w:szCs w:val="20"/>
              </w:rPr>
            </w:pPr>
            <w:r w:rsidRPr="002B4A12">
              <w:rPr>
                <w:sz w:val="20"/>
                <w:szCs w:val="20"/>
              </w:rPr>
              <w:t>2011 Census</w:t>
            </w:r>
          </w:p>
          <w:p w14:paraId="7BD3F888" w14:textId="77777777" w:rsidR="00494945" w:rsidRPr="002B4A12" w:rsidRDefault="00494945" w:rsidP="00A54C12">
            <w:pPr>
              <w:spacing w:before="40" w:after="40"/>
              <w:jc w:val="center"/>
              <w:rPr>
                <w:sz w:val="20"/>
                <w:szCs w:val="20"/>
              </w:rPr>
            </w:pPr>
            <w:r w:rsidRPr="002B4A12">
              <w:rPr>
                <w:sz w:val="20"/>
                <w:szCs w:val="20"/>
              </w:rPr>
              <w:t>%</w:t>
            </w:r>
          </w:p>
        </w:tc>
        <w:tc>
          <w:tcPr>
            <w:tcW w:w="2037" w:type="pct"/>
            <w:shd w:val="clear" w:color="auto" w:fill="auto"/>
          </w:tcPr>
          <w:p w14:paraId="0DF27125" w14:textId="77777777" w:rsidR="00494945" w:rsidRPr="002B4A12" w:rsidRDefault="00494945" w:rsidP="00A54C12">
            <w:pPr>
              <w:spacing w:before="40" w:after="40"/>
              <w:jc w:val="center"/>
              <w:rPr>
                <w:sz w:val="20"/>
                <w:szCs w:val="20"/>
              </w:rPr>
            </w:pPr>
            <w:r w:rsidRPr="002B4A12">
              <w:rPr>
                <w:sz w:val="20"/>
                <w:szCs w:val="20"/>
              </w:rPr>
              <w:t>2021 Census</w:t>
            </w:r>
          </w:p>
          <w:p w14:paraId="28EB561C" w14:textId="77777777" w:rsidR="00494945" w:rsidRPr="002B4A12" w:rsidRDefault="00494945" w:rsidP="00A54C12">
            <w:pPr>
              <w:spacing w:before="40" w:after="40"/>
              <w:jc w:val="center"/>
              <w:rPr>
                <w:sz w:val="20"/>
                <w:szCs w:val="20"/>
              </w:rPr>
            </w:pPr>
            <w:r w:rsidRPr="002B4A12">
              <w:rPr>
                <w:sz w:val="20"/>
                <w:szCs w:val="20"/>
              </w:rPr>
              <w:t>%</w:t>
            </w:r>
          </w:p>
        </w:tc>
      </w:tr>
      <w:tr w:rsidR="00494945" w:rsidRPr="002B4A12" w14:paraId="45FF5CD7" w14:textId="77777777" w:rsidTr="00A54C12">
        <w:trPr>
          <w:trHeight w:val="340"/>
          <w:jc w:val="center"/>
        </w:trPr>
        <w:tc>
          <w:tcPr>
            <w:tcW w:w="1603" w:type="pct"/>
            <w:noWrap/>
          </w:tcPr>
          <w:p w14:paraId="7E5CE883" w14:textId="77777777" w:rsidR="00494945" w:rsidRPr="002B4A12" w:rsidRDefault="00494945" w:rsidP="00A54C12">
            <w:pPr>
              <w:spacing w:before="40" w:after="40"/>
              <w:jc w:val="center"/>
              <w:rPr>
                <w:rFonts w:eastAsia="Arial Unicode MS"/>
                <w:sz w:val="20"/>
                <w:szCs w:val="20"/>
              </w:rPr>
            </w:pPr>
            <w:r w:rsidRPr="002B4A12">
              <w:rPr>
                <w:sz w:val="20"/>
                <w:szCs w:val="20"/>
              </w:rPr>
              <w:t>England &amp; Wales</w:t>
            </w:r>
          </w:p>
        </w:tc>
        <w:tc>
          <w:tcPr>
            <w:tcW w:w="1360" w:type="pct"/>
          </w:tcPr>
          <w:p w14:paraId="4D50EAC4" w14:textId="77777777" w:rsidR="00494945" w:rsidRPr="002B4A12" w:rsidRDefault="00494945" w:rsidP="00A54C12">
            <w:pPr>
              <w:spacing w:before="40" w:after="40"/>
              <w:jc w:val="center"/>
              <w:rPr>
                <w:rFonts w:eastAsia="Arial Unicode MS"/>
                <w:sz w:val="20"/>
                <w:szCs w:val="20"/>
              </w:rPr>
            </w:pPr>
            <w:r w:rsidRPr="002B4A12">
              <w:rPr>
                <w:sz w:val="20"/>
                <w:szCs w:val="20"/>
              </w:rPr>
              <w:t>14</w:t>
            </w:r>
          </w:p>
        </w:tc>
        <w:tc>
          <w:tcPr>
            <w:tcW w:w="2037" w:type="pct"/>
          </w:tcPr>
          <w:p w14:paraId="344B40BD" w14:textId="77777777" w:rsidR="00494945" w:rsidRPr="002B4A12" w:rsidRDefault="00494945" w:rsidP="00A54C12">
            <w:pPr>
              <w:spacing w:before="40" w:after="40"/>
              <w:jc w:val="center"/>
              <w:rPr>
                <w:rFonts w:eastAsia="Arial Unicode MS"/>
                <w:sz w:val="20"/>
                <w:szCs w:val="20"/>
              </w:rPr>
            </w:pPr>
            <w:r w:rsidRPr="002B4A12">
              <w:rPr>
                <w:sz w:val="20"/>
                <w:szCs w:val="20"/>
              </w:rPr>
              <w:t>18.3</w:t>
            </w:r>
          </w:p>
        </w:tc>
      </w:tr>
      <w:tr w:rsidR="00494945" w:rsidRPr="002B4A12" w14:paraId="71338F13" w14:textId="77777777" w:rsidTr="00A54C12">
        <w:trPr>
          <w:trHeight w:val="340"/>
          <w:jc w:val="center"/>
        </w:trPr>
        <w:tc>
          <w:tcPr>
            <w:tcW w:w="1603" w:type="pct"/>
            <w:noWrap/>
          </w:tcPr>
          <w:p w14:paraId="70997733" w14:textId="77777777" w:rsidR="00494945" w:rsidRPr="002B4A12" w:rsidRDefault="00494945" w:rsidP="00A54C12">
            <w:pPr>
              <w:spacing w:before="40" w:after="40"/>
              <w:jc w:val="center"/>
              <w:rPr>
                <w:rFonts w:eastAsia="Arial Unicode MS"/>
                <w:b/>
                <w:bCs/>
                <w:sz w:val="20"/>
                <w:szCs w:val="20"/>
              </w:rPr>
            </w:pPr>
            <w:r w:rsidRPr="002B4A12">
              <w:rPr>
                <w:sz w:val="20"/>
                <w:szCs w:val="20"/>
              </w:rPr>
              <w:t>South East</w:t>
            </w:r>
          </w:p>
        </w:tc>
        <w:tc>
          <w:tcPr>
            <w:tcW w:w="1360" w:type="pct"/>
          </w:tcPr>
          <w:p w14:paraId="4A7ECA3A" w14:textId="77777777" w:rsidR="00494945" w:rsidRPr="002B4A12" w:rsidRDefault="00494945" w:rsidP="00A54C12">
            <w:pPr>
              <w:spacing w:before="40" w:after="40"/>
              <w:jc w:val="center"/>
              <w:rPr>
                <w:rFonts w:eastAsia="Arial Unicode MS"/>
                <w:b/>
                <w:bCs/>
                <w:sz w:val="20"/>
                <w:szCs w:val="20"/>
              </w:rPr>
            </w:pPr>
            <w:r w:rsidRPr="002B4A12">
              <w:rPr>
                <w:sz w:val="20"/>
                <w:szCs w:val="20"/>
              </w:rPr>
              <w:t>9.4</w:t>
            </w:r>
          </w:p>
        </w:tc>
        <w:tc>
          <w:tcPr>
            <w:tcW w:w="2037" w:type="pct"/>
          </w:tcPr>
          <w:p w14:paraId="7D20DFB8" w14:textId="77777777" w:rsidR="00494945" w:rsidRPr="002B4A12" w:rsidRDefault="00494945" w:rsidP="00A54C12">
            <w:pPr>
              <w:spacing w:before="40" w:after="40"/>
              <w:jc w:val="center"/>
              <w:rPr>
                <w:rFonts w:eastAsia="Arial Unicode MS"/>
                <w:b/>
                <w:bCs/>
                <w:sz w:val="20"/>
                <w:szCs w:val="20"/>
              </w:rPr>
            </w:pPr>
            <w:r w:rsidRPr="002B4A12">
              <w:rPr>
                <w:sz w:val="20"/>
                <w:szCs w:val="20"/>
              </w:rPr>
              <w:t>13.7</w:t>
            </w:r>
          </w:p>
        </w:tc>
      </w:tr>
      <w:tr w:rsidR="00494945" w:rsidRPr="002B4A12" w14:paraId="40C16FA0" w14:textId="77777777" w:rsidTr="00A54C12">
        <w:trPr>
          <w:trHeight w:val="340"/>
          <w:jc w:val="center"/>
        </w:trPr>
        <w:tc>
          <w:tcPr>
            <w:tcW w:w="1603" w:type="pct"/>
            <w:noWrap/>
          </w:tcPr>
          <w:p w14:paraId="6204C835" w14:textId="77777777" w:rsidR="00494945" w:rsidRPr="002B4A12" w:rsidRDefault="00494945" w:rsidP="00A54C12">
            <w:pPr>
              <w:spacing w:before="40" w:after="40"/>
              <w:jc w:val="center"/>
              <w:rPr>
                <w:rFonts w:eastAsia="Arial Unicode MS"/>
                <w:sz w:val="20"/>
                <w:szCs w:val="20"/>
              </w:rPr>
            </w:pPr>
            <w:r w:rsidRPr="002B4A12">
              <w:rPr>
                <w:b/>
                <w:bCs/>
                <w:sz w:val="20"/>
                <w:szCs w:val="20"/>
              </w:rPr>
              <w:t>Medway</w:t>
            </w:r>
          </w:p>
        </w:tc>
        <w:tc>
          <w:tcPr>
            <w:tcW w:w="1360" w:type="pct"/>
          </w:tcPr>
          <w:p w14:paraId="6C818047" w14:textId="77777777" w:rsidR="00494945" w:rsidRPr="002B4A12" w:rsidRDefault="00494945" w:rsidP="00A54C12">
            <w:pPr>
              <w:spacing w:before="40" w:after="40"/>
              <w:jc w:val="center"/>
              <w:rPr>
                <w:rFonts w:eastAsia="Arial Unicode MS"/>
                <w:sz w:val="20"/>
                <w:szCs w:val="20"/>
              </w:rPr>
            </w:pPr>
            <w:r w:rsidRPr="002B4A12">
              <w:rPr>
                <w:b/>
                <w:bCs/>
                <w:sz w:val="20"/>
                <w:szCs w:val="20"/>
              </w:rPr>
              <w:t>10.4</w:t>
            </w:r>
          </w:p>
        </w:tc>
        <w:tc>
          <w:tcPr>
            <w:tcW w:w="2037" w:type="pct"/>
          </w:tcPr>
          <w:p w14:paraId="3F231AA1" w14:textId="77777777" w:rsidR="00494945" w:rsidRPr="002B4A12" w:rsidRDefault="00494945" w:rsidP="00A54C12">
            <w:pPr>
              <w:spacing w:before="40" w:after="40"/>
              <w:jc w:val="center"/>
              <w:rPr>
                <w:rFonts w:eastAsia="Arial Unicode MS"/>
                <w:sz w:val="20"/>
                <w:szCs w:val="20"/>
              </w:rPr>
            </w:pPr>
            <w:r w:rsidRPr="002B4A12">
              <w:rPr>
                <w:b/>
                <w:bCs/>
                <w:sz w:val="20"/>
                <w:szCs w:val="20"/>
              </w:rPr>
              <w:t>15.7</w:t>
            </w:r>
          </w:p>
        </w:tc>
      </w:tr>
    </w:tbl>
    <w:p w14:paraId="45D5F376" w14:textId="4AE0F3D3" w:rsidR="000D66FE" w:rsidRPr="002B4A12" w:rsidRDefault="00494945" w:rsidP="000D66FE">
      <w:pPr>
        <w:jc w:val="center"/>
        <w:rPr>
          <w:kern w:val="32"/>
          <w:sz w:val="18"/>
          <w:szCs w:val="18"/>
        </w:rPr>
      </w:pPr>
      <w:r w:rsidRPr="002B4A12">
        <w:rPr>
          <w:kern w:val="32"/>
          <w:sz w:val="18"/>
          <w:szCs w:val="18"/>
        </w:rPr>
        <w:t>Source: Census 2011 and Census 2021</w:t>
      </w:r>
    </w:p>
    <w:p w14:paraId="11A9D840" w14:textId="77777777" w:rsidR="000D66FE" w:rsidRDefault="000D66FE" w:rsidP="005B7332">
      <w:pPr>
        <w:rPr>
          <w:rFonts w:ascii="Helvetica" w:hAnsi="Helvetica" w:cs="Helvetica"/>
          <w:kern w:val="32"/>
        </w:rPr>
      </w:pPr>
    </w:p>
    <w:p w14:paraId="2196F295" w14:textId="3CEAAADE" w:rsidR="003015DB" w:rsidRPr="007A5ED1" w:rsidRDefault="00097F18" w:rsidP="005B7332">
      <w:pPr>
        <w:rPr>
          <w:rFonts w:ascii="Helvetica" w:hAnsi="Helvetica" w:cs="Helvetica"/>
          <w:kern w:val="32"/>
        </w:rPr>
      </w:pPr>
      <w:r w:rsidRPr="007A5ED1">
        <w:rPr>
          <w:rFonts w:ascii="Helvetica" w:hAnsi="Helvetica" w:cs="Helvetica"/>
          <w:kern w:val="32"/>
        </w:rPr>
        <w:t xml:space="preserve">Between 2011 and 2021 there was an increase in Medway’s population born in the UK, however, the population born outside the UK has increased at a faster rate meaning the proportion of Medway’s population born in the UK fell. In 2021, 38,654 people living in Medway were born outside of the UK, up from 10.4% (27,336) of residents were born outside the UK in 2011. In terms of arrival in the UK, 35.8% of all those born outside the UK arrived, between 2011 and 2021, a further 31.9% between 2010 and 2001, and 32.2% arriving before 2001. The greatest increases were from populations from Africa, Europe and the Americas and Caribbean. </w:t>
      </w:r>
    </w:p>
    <w:p w14:paraId="699C4298" w14:textId="1DBAC50C" w:rsidR="00CC5E91" w:rsidRDefault="00097F18" w:rsidP="005B7332">
      <w:pPr>
        <w:rPr>
          <w:rFonts w:ascii="Helvetica" w:hAnsi="Helvetica" w:cs="Helvetica"/>
          <w:kern w:val="32"/>
        </w:rPr>
      </w:pPr>
      <w:r w:rsidRPr="007A5ED1">
        <w:rPr>
          <w:rFonts w:ascii="Helvetica" w:hAnsi="Helvetica" w:cs="Helvetica"/>
          <w:kern w:val="32"/>
        </w:rPr>
        <w:t>The most common languages, other than English, spoken in the Medway community are shown in</w:t>
      </w:r>
      <w:r w:rsidR="001F0C30">
        <w:rPr>
          <w:rFonts w:ascii="Helvetica" w:hAnsi="Helvetica" w:cs="Helvetica"/>
          <w:kern w:val="32"/>
        </w:rPr>
        <w:t xml:space="preserve"> t</w:t>
      </w:r>
      <w:r w:rsidR="001F0C30" w:rsidRPr="007A5ED1">
        <w:rPr>
          <w:rFonts w:ascii="Helvetica" w:hAnsi="Helvetica" w:cs="Helvetica"/>
          <w:kern w:val="32"/>
        </w:rPr>
        <w:t xml:space="preserve">able </w:t>
      </w:r>
      <w:r w:rsidR="001F0C30">
        <w:rPr>
          <w:rFonts w:ascii="Helvetica" w:hAnsi="Helvetica" w:cs="Helvetica"/>
          <w:kern w:val="32"/>
        </w:rPr>
        <w:t>7</w:t>
      </w:r>
      <w:r w:rsidRPr="007A5ED1">
        <w:rPr>
          <w:rFonts w:ascii="Helvetica" w:hAnsi="Helvetica" w:cs="Helvetica"/>
          <w:kern w:val="32"/>
        </w:rPr>
        <w:t xml:space="preserve"> </w:t>
      </w:r>
      <w:r w:rsidR="001F0C30">
        <w:rPr>
          <w:rFonts w:ascii="Helvetica" w:hAnsi="Helvetica" w:cs="Helvetica"/>
          <w:kern w:val="32"/>
        </w:rPr>
        <w:t>below</w:t>
      </w:r>
      <w:r w:rsidR="00380139">
        <w:rPr>
          <w:rFonts w:ascii="Helvetica" w:hAnsi="Helvetica" w:cs="Helvetica"/>
          <w:kern w:val="32"/>
        </w:rPr>
        <w:t>.</w:t>
      </w:r>
      <w:r w:rsidRPr="007A5ED1">
        <w:rPr>
          <w:rFonts w:ascii="Helvetica" w:hAnsi="Helvetica" w:cs="Helvetica"/>
          <w:kern w:val="32"/>
        </w:rPr>
        <w:t xml:space="preserve"> </w:t>
      </w:r>
      <w:bookmarkStart w:id="6" w:name="_Hlk94089466"/>
    </w:p>
    <w:p w14:paraId="7E6FCC83" w14:textId="77777777" w:rsidR="00D16A8F" w:rsidRPr="001F0C30" w:rsidRDefault="00D16A8F" w:rsidP="005B7332">
      <w:pPr>
        <w:rPr>
          <w:rFonts w:ascii="Helvetica" w:hAnsi="Helvetica" w:cs="Helvetica"/>
          <w:kern w:val="32"/>
        </w:rPr>
      </w:pPr>
    </w:p>
    <w:p w14:paraId="14A5D9E0" w14:textId="0FAD3C52" w:rsidR="0002494B" w:rsidRPr="002B4A12" w:rsidRDefault="006B647F" w:rsidP="006B647F">
      <w:pPr>
        <w:rPr>
          <w:kern w:val="32"/>
        </w:rPr>
      </w:pPr>
      <w:r>
        <w:rPr>
          <w:kern w:val="32"/>
          <w:sz w:val="16"/>
          <w:szCs w:val="16"/>
        </w:rPr>
        <w:t xml:space="preserve">                            </w:t>
      </w:r>
      <w:r w:rsidR="00097F18" w:rsidRPr="002B4A12">
        <w:rPr>
          <w:kern w:val="32"/>
          <w:sz w:val="16"/>
          <w:szCs w:val="16"/>
        </w:rPr>
        <w:t xml:space="preserve">Table </w:t>
      </w:r>
      <w:r w:rsidR="001F0C30" w:rsidRPr="002B4A12">
        <w:rPr>
          <w:kern w:val="32"/>
          <w:sz w:val="16"/>
          <w:szCs w:val="16"/>
        </w:rPr>
        <w:t>7</w:t>
      </w:r>
      <w:r w:rsidR="00097F18" w:rsidRPr="002B4A12">
        <w:rPr>
          <w:kern w:val="32"/>
          <w:sz w:val="16"/>
          <w:szCs w:val="16"/>
        </w:rPr>
        <w:t xml:space="preserve"> Languages – other than English – most spoken in Medway (Census</w:t>
      </w:r>
      <w:r w:rsidR="00097F18" w:rsidRPr="002B4A12">
        <w:rPr>
          <w:kern w:val="32"/>
        </w:rPr>
        <w:t xml:space="preserve"> </w:t>
      </w:r>
      <w:r w:rsidR="00097F18" w:rsidRPr="002B4A12">
        <w:rPr>
          <w:kern w:val="32"/>
          <w:sz w:val="16"/>
          <w:szCs w:val="16"/>
        </w:rPr>
        <w:t>2021)</w:t>
      </w:r>
    </w:p>
    <w:tbl>
      <w:tblPr>
        <w:tblStyle w:val="TableGrid"/>
        <w:tblpPr w:leftFromText="180" w:rightFromText="180" w:vertAnchor="text" w:horzAnchor="page" w:tblpXSpec="center" w:tblpY="6"/>
        <w:tblW w:w="5432" w:type="dxa"/>
        <w:tblLayout w:type="fixed"/>
        <w:tblLook w:val="0020" w:firstRow="1" w:lastRow="0" w:firstColumn="0" w:lastColumn="0" w:noHBand="0" w:noVBand="0"/>
        <w:tblCaption w:val="Table 7 Languages – other than English – most spoken in Medway (Census 2021)"/>
        <w:tblDescription w:val="Table 7 shows the most common languages, other than English, spoken in the Medway community. "/>
      </w:tblPr>
      <w:tblGrid>
        <w:gridCol w:w="2716"/>
        <w:gridCol w:w="2716"/>
      </w:tblGrid>
      <w:tr w:rsidR="0060115C" w:rsidRPr="002B4A12" w14:paraId="023B0ED0" w14:textId="77777777" w:rsidTr="00EC20D1">
        <w:trPr>
          <w:trHeight w:val="349"/>
        </w:trPr>
        <w:tc>
          <w:tcPr>
            <w:tcW w:w="2716" w:type="dxa"/>
            <w:shd w:val="clear" w:color="auto" w:fill="auto"/>
          </w:tcPr>
          <w:p w14:paraId="42FECBF6" w14:textId="123D2143" w:rsidR="0060115C" w:rsidRPr="002B4A12" w:rsidRDefault="0060115C" w:rsidP="0060115C">
            <w:pPr>
              <w:ind w:left="-2530" w:firstLine="2530"/>
              <w:jc w:val="center"/>
              <w:rPr>
                <w:color w:val="000000"/>
                <w:sz w:val="22"/>
                <w:szCs w:val="22"/>
              </w:rPr>
            </w:pPr>
            <w:bookmarkStart w:id="7" w:name="_Hlk161738902"/>
            <w:r w:rsidRPr="002B4A12">
              <w:rPr>
                <w:color w:val="000000"/>
                <w:sz w:val="22"/>
                <w:szCs w:val="22"/>
              </w:rPr>
              <w:t>Main Language Spoken</w:t>
            </w:r>
          </w:p>
        </w:tc>
        <w:tc>
          <w:tcPr>
            <w:tcW w:w="2716" w:type="dxa"/>
            <w:shd w:val="clear" w:color="auto" w:fill="auto"/>
          </w:tcPr>
          <w:p w14:paraId="43E37EC0" w14:textId="4E31C23C" w:rsidR="0060115C" w:rsidRPr="002B4A12" w:rsidRDefault="0060115C" w:rsidP="0060115C">
            <w:pPr>
              <w:ind w:left="-2530" w:firstLine="2530"/>
              <w:jc w:val="center"/>
              <w:rPr>
                <w:color w:val="000000"/>
                <w:sz w:val="22"/>
                <w:szCs w:val="22"/>
              </w:rPr>
            </w:pPr>
            <w:r w:rsidRPr="002B4A12">
              <w:rPr>
                <w:color w:val="000000"/>
                <w:sz w:val="22"/>
                <w:szCs w:val="22"/>
              </w:rPr>
              <w:t>Number of speakers</w:t>
            </w:r>
          </w:p>
        </w:tc>
      </w:tr>
      <w:tr w:rsidR="0060115C" w:rsidRPr="002B4A12" w14:paraId="0F0F9CCE" w14:textId="77777777" w:rsidTr="0060115C">
        <w:trPr>
          <w:trHeight w:val="349"/>
        </w:trPr>
        <w:tc>
          <w:tcPr>
            <w:tcW w:w="2716" w:type="dxa"/>
          </w:tcPr>
          <w:p w14:paraId="6797A505" w14:textId="65F548CB"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Romanian</w:t>
            </w:r>
          </w:p>
        </w:tc>
        <w:tc>
          <w:tcPr>
            <w:tcW w:w="2716" w:type="dxa"/>
          </w:tcPr>
          <w:p w14:paraId="3FA2A9C0" w14:textId="0DF67B27"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2064</w:t>
            </w:r>
          </w:p>
        </w:tc>
      </w:tr>
      <w:tr w:rsidR="0060115C" w:rsidRPr="002B4A12" w14:paraId="30B38F79" w14:textId="77777777" w:rsidTr="0060115C">
        <w:trPr>
          <w:trHeight w:val="349"/>
        </w:trPr>
        <w:tc>
          <w:tcPr>
            <w:tcW w:w="2716" w:type="dxa"/>
          </w:tcPr>
          <w:p w14:paraId="4C4F1B68" w14:textId="43DF2DC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Polish</w:t>
            </w:r>
          </w:p>
        </w:tc>
        <w:tc>
          <w:tcPr>
            <w:tcW w:w="2716" w:type="dxa"/>
          </w:tcPr>
          <w:p w14:paraId="11DB3508" w14:textId="63EB33DB"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1802</w:t>
            </w:r>
          </w:p>
        </w:tc>
      </w:tr>
      <w:tr w:rsidR="0060115C" w:rsidRPr="002B4A12" w14:paraId="3A80EA44" w14:textId="77777777" w:rsidTr="0060115C">
        <w:trPr>
          <w:trHeight w:val="349"/>
        </w:trPr>
        <w:tc>
          <w:tcPr>
            <w:tcW w:w="2716" w:type="dxa"/>
          </w:tcPr>
          <w:p w14:paraId="68A028B5" w14:textId="5131443B"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Panjabi</w:t>
            </w:r>
          </w:p>
        </w:tc>
        <w:tc>
          <w:tcPr>
            <w:tcW w:w="2716" w:type="dxa"/>
          </w:tcPr>
          <w:p w14:paraId="634692C0" w14:textId="6A1365F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1623</w:t>
            </w:r>
          </w:p>
        </w:tc>
      </w:tr>
      <w:tr w:rsidR="0060115C" w:rsidRPr="002B4A12" w14:paraId="26FCCADA" w14:textId="77777777" w:rsidTr="0060115C">
        <w:trPr>
          <w:trHeight w:val="349"/>
        </w:trPr>
        <w:tc>
          <w:tcPr>
            <w:tcW w:w="2716" w:type="dxa"/>
          </w:tcPr>
          <w:p w14:paraId="23423E2E" w14:textId="053ADEF1"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Bulgarian</w:t>
            </w:r>
          </w:p>
        </w:tc>
        <w:tc>
          <w:tcPr>
            <w:tcW w:w="2716" w:type="dxa"/>
          </w:tcPr>
          <w:p w14:paraId="3F584201" w14:textId="3E8777DA"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1325</w:t>
            </w:r>
          </w:p>
        </w:tc>
      </w:tr>
      <w:tr w:rsidR="0060115C" w:rsidRPr="002B4A12" w14:paraId="65AC201B" w14:textId="77777777" w:rsidTr="0060115C">
        <w:trPr>
          <w:trHeight w:val="349"/>
        </w:trPr>
        <w:tc>
          <w:tcPr>
            <w:tcW w:w="2716" w:type="dxa"/>
          </w:tcPr>
          <w:p w14:paraId="7D97684B" w14:textId="6E0DB7CA"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Lithuanian</w:t>
            </w:r>
          </w:p>
        </w:tc>
        <w:tc>
          <w:tcPr>
            <w:tcW w:w="2716" w:type="dxa"/>
          </w:tcPr>
          <w:p w14:paraId="34891376" w14:textId="1F50B92B"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856</w:t>
            </w:r>
          </w:p>
        </w:tc>
      </w:tr>
      <w:tr w:rsidR="0060115C" w:rsidRPr="002B4A12" w14:paraId="00FA260B" w14:textId="77777777" w:rsidTr="0060115C">
        <w:trPr>
          <w:trHeight w:val="349"/>
        </w:trPr>
        <w:tc>
          <w:tcPr>
            <w:tcW w:w="2716" w:type="dxa"/>
          </w:tcPr>
          <w:p w14:paraId="1BB1D477" w14:textId="76DC78F7"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Russian</w:t>
            </w:r>
          </w:p>
        </w:tc>
        <w:tc>
          <w:tcPr>
            <w:tcW w:w="2716" w:type="dxa"/>
          </w:tcPr>
          <w:p w14:paraId="1030988C" w14:textId="03198D7A"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657</w:t>
            </w:r>
          </w:p>
        </w:tc>
      </w:tr>
      <w:tr w:rsidR="0060115C" w:rsidRPr="002B4A12" w14:paraId="3AAB3963" w14:textId="77777777" w:rsidTr="0060115C">
        <w:trPr>
          <w:trHeight w:val="349"/>
        </w:trPr>
        <w:tc>
          <w:tcPr>
            <w:tcW w:w="2716" w:type="dxa"/>
          </w:tcPr>
          <w:p w14:paraId="775502B5" w14:textId="06552A9C"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Bengali</w:t>
            </w:r>
          </w:p>
        </w:tc>
        <w:tc>
          <w:tcPr>
            <w:tcW w:w="2716" w:type="dxa"/>
          </w:tcPr>
          <w:p w14:paraId="1355E32D" w14:textId="0C505960"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570</w:t>
            </w:r>
          </w:p>
        </w:tc>
      </w:tr>
      <w:tr w:rsidR="0060115C" w:rsidRPr="002B4A12" w14:paraId="53EA6A53" w14:textId="77777777" w:rsidTr="0060115C">
        <w:trPr>
          <w:trHeight w:val="349"/>
        </w:trPr>
        <w:tc>
          <w:tcPr>
            <w:tcW w:w="2716" w:type="dxa"/>
          </w:tcPr>
          <w:p w14:paraId="48CC2F88" w14:textId="018172EA"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Portuguese</w:t>
            </w:r>
          </w:p>
        </w:tc>
        <w:tc>
          <w:tcPr>
            <w:tcW w:w="2716" w:type="dxa"/>
          </w:tcPr>
          <w:p w14:paraId="5C48421B" w14:textId="5E22245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533</w:t>
            </w:r>
          </w:p>
        </w:tc>
      </w:tr>
      <w:tr w:rsidR="0060115C" w:rsidRPr="002B4A12" w14:paraId="30AA80C7" w14:textId="77777777" w:rsidTr="0060115C">
        <w:trPr>
          <w:trHeight w:val="349"/>
        </w:trPr>
        <w:tc>
          <w:tcPr>
            <w:tcW w:w="2716" w:type="dxa"/>
          </w:tcPr>
          <w:p w14:paraId="7FD07D0C" w14:textId="5ED8424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Slovak</w:t>
            </w:r>
          </w:p>
        </w:tc>
        <w:tc>
          <w:tcPr>
            <w:tcW w:w="2716" w:type="dxa"/>
          </w:tcPr>
          <w:p w14:paraId="7C5A39FB" w14:textId="2972CA53"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519</w:t>
            </w:r>
          </w:p>
        </w:tc>
      </w:tr>
      <w:tr w:rsidR="0060115C" w:rsidRPr="002B4A12" w14:paraId="17ECB9DC" w14:textId="77777777" w:rsidTr="0060115C">
        <w:trPr>
          <w:trHeight w:val="349"/>
        </w:trPr>
        <w:tc>
          <w:tcPr>
            <w:tcW w:w="2716" w:type="dxa"/>
          </w:tcPr>
          <w:p w14:paraId="42E4124D" w14:textId="33C89EA8"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Tamil</w:t>
            </w:r>
          </w:p>
        </w:tc>
        <w:tc>
          <w:tcPr>
            <w:tcW w:w="2716" w:type="dxa"/>
          </w:tcPr>
          <w:p w14:paraId="429EF707" w14:textId="327B57F7"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513</w:t>
            </w:r>
          </w:p>
        </w:tc>
      </w:tr>
      <w:tr w:rsidR="0060115C" w:rsidRPr="002B4A12" w14:paraId="6D62638B" w14:textId="77777777" w:rsidTr="0060115C">
        <w:trPr>
          <w:trHeight w:val="349"/>
        </w:trPr>
        <w:tc>
          <w:tcPr>
            <w:tcW w:w="2716" w:type="dxa"/>
          </w:tcPr>
          <w:p w14:paraId="7434B5BC" w14:textId="40EA7CC4"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Turkish</w:t>
            </w:r>
          </w:p>
        </w:tc>
        <w:tc>
          <w:tcPr>
            <w:tcW w:w="2716" w:type="dxa"/>
          </w:tcPr>
          <w:p w14:paraId="252CE99B" w14:textId="7EC14377"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487</w:t>
            </w:r>
          </w:p>
        </w:tc>
      </w:tr>
      <w:tr w:rsidR="0060115C" w:rsidRPr="002B4A12" w14:paraId="2449F008" w14:textId="77777777" w:rsidTr="0060115C">
        <w:trPr>
          <w:trHeight w:val="349"/>
        </w:trPr>
        <w:tc>
          <w:tcPr>
            <w:tcW w:w="2716" w:type="dxa"/>
          </w:tcPr>
          <w:p w14:paraId="7DA7E3ED" w14:textId="57462B6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Urdu</w:t>
            </w:r>
          </w:p>
        </w:tc>
        <w:tc>
          <w:tcPr>
            <w:tcW w:w="2716" w:type="dxa"/>
          </w:tcPr>
          <w:p w14:paraId="2CDFFE73" w14:textId="39FB31E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470</w:t>
            </w:r>
          </w:p>
        </w:tc>
      </w:tr>
      <w:tr w:rsidR="0060115C" w:rsidRPr="002B4A12" w14:paraId="1389DCA2" w14:textId="77777777" w:rsidTr="0060115C">
        <w:trPr>
          <w:trHeight w:val="349"/>
        </w:trPr>
        <w:tc>
          <w:tcPr>
            <w:tcW w:w="2716" w:type="dxa"/>
          </w:tcPr>
          <w:p w14:paraId="053BF49D" w14:textId="59BE6CBA"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Nepalese</w:t>
            </w:r>
          </w:p>
        </w:tc>
        <w:tc>
          <w:tcPr>
            <w:tcW w:w="2716" w:type="dxa"/>
          </w:tcPr>
          <w:p w14:paraId="6823DE82" w14:textId="70D9D8D1"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385</w:t>
            </w:r>
          </w:p>
        </w:tc>
      </w:tr>
      <w:tr w:rsidR="0060115C" w:rsidRPr="002B4A12" w14:paraId="1B07E1C7" w14:textId="77777777" w:rsidTr="0060115C">
        <w:trPr>
          <w:trHeight w:val="349"/>
        </w:trPr>
        <w:tc>
          <w:tcPr>
            <w:tcW w:w="2716" w:type="dxa"/>
          </w:tcPr>
          <w:p w14:paraId="2801F8BB" w14:textId="705FC76E"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Spanish</w:t>
            </w:r>
          </w:p>
        </w:tc>
        <w:tc>
          <w:tcPr>
            <w:tcW w:w="2716" w:type="dxa"/>
          </w:tcPr>
          <w:p w14:paraId="6EAFEC28" w14:textId="2572AA65"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365</w:t>
            </w:r>
          </w:p>
        </w:tc>
      </w:tr>
      <w:tr w:rsidR="0060115C" w:rsidRPr="002B4A12" w14:paraId="282E1A34" w14:textId="77777777" w:rsidTr="0060115C">
        <w:trPr>
          <w:trHeight w:val="349"/>
        </w:trPr>
        <w:tc>
          <w:tcPr>
            <w:tcW w:w="2716" w:type="dxa"/>
          </w:tcPr>
          <w:p w14:paraId="1E03285C" w14:textId="3AFF99AB"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Malayalam</w:t>
            </w:r>
          </w:p>
        </w:tc>
        <w:tc>
          <w:tcPr>
            <w:tcW w:w="2716" w:type="dxa"/>
          </w:tcPr>
          <w:p w14:paraId="7A3012FB" w14:textId="7AB6F8B4"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329</w:t>
            </w:r>
          </w:p>
        </w:tc>
      </w:tr>
      <w:tr w:rsidR="0060115C" w:rsidRPr="002B4A12" w14:paraId="46B66DD6" w14:textId="77777777" w:rsidTr="0060115C">
        <w:trPr>
          <w:trHeight w:val="349"/>
        </w:trPr>
        <w:tc>
          <w:tcPr>
            <w:tcW w:w="2716" w:type="dxa"/>
          </w:tcPr>
          <w:p w14:paraId="5A75F70E" w14:textId="58700B73"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Chinese</w:t>
            </w:r>
          </w:p>
        </w:tc>
        <w:tc>
          <w:tcPr>
            <w:tcW w:w="2716" w:type="dxa"/>
          </w:tcPr>
          <w:p w14:paraId="7A93A9F3" w14:textId="5D741092"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323</w:t>
            </w:r>
          </w:p>
        </w:tc>
      </w:tr>
      <w:tr w:rsidR="0060115C" w:rsidRPr="002B4A12" w14:paraId="6A4FB97C" w14:textId="77777777" w:rsidTr="0060115C">
        <w:trPr>
          <w:trHeight w:val="349"/>
        </w:trPr>
        <w:tc>
          <w:tcPr>
            <w:tcW w:w="2716" w:type="dxa"/>
          </w:tcPr>
          <w:p w14:paraId="2B6F28D4" w14:textId="48AC8A0E"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Latvian</w:t>
            </w:r>
          </w:p>
        </w:tc>
        <w:tc>
          <w:tcPr>
            <w:tcW w:w="2716" w:type="dxa"/>
          </w:tcPr>
          <w:p w14:paraId="627E0E5A" w14:textId="1E390CD6"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315</w:t>
            </w:r>
          </w:p>
        </w:tc>
      </w:tr>
      <w:tr w:rsidR="0060115C" w:rsidRPr="002B4A12" w14:paraId="6F03D930" w14:textId="77777777" w:rsidTr="0060115C">
        <w:trPr>
          <w:trHeight w:val="349"/>
        </w:trPr>
        <w:tc>
          <w:tcPr>
            <w:tcW w:w="2716" w:type="dxa"/>
          </w:tcPr>
          <w:p w14:paraId="36047B94" w14:textId="0DAE27BD"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Italian</w:t>
            </w:r>
          </w:p>
        </w:tc>
        <w:tc>
          <w:tcPr>
            <w:tcW w:w="2716" w:type="dxa"/>
          </w:tcPr>
          <w:p w14:paraId="6505A392" w14:textId="6D3747C3"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308</w:t>
            </w:r>
          </w:p>
        </w:tc>
      </w:tr>
      <w:tr w:rsidR="0060115C" w:rsidRPr="002B4A12" w14:paraId="388306A3" w14:textId="77777777" w:rsidTr="0060115C">
        <w:trPr>
          <w:trHeight w:val="349"/>
        </w:trPr>
        <w:tc>
          <w:tcPr>
            <w:tcW w:w="2716" w:type="dxa"/>
          </w:tcPr>
          <w:p w14:paraId="39E94B58" w14:textId="7CC8F654"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French</w:t>
            </w:r>
          </w:p>
        </w:tc>
        <w:tc>
          <w:tcPr>
            <w:tcW w:w="2716" w:type="dxa"/>
          </w:tcPr>
          <w:p w14:paraId="45FC5120" w14:textId="449EE356"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295</w:t>
            </w:r>
          </w:p>
        </w:tc>
      </w:tr>
      <w:tr w:rsidR="0060115C" w:rsidRPr="002B4A12" w14:paraId="61EE75E3" w14:textId="77777777" w:rsidTr="0060115C">
        <w:trPr>
          <w:trHeight w:val="349"/>
        </w:trPr>
        <w:tc>
          <w:tcPr>
            <w:tcW w:w="2716" w:type="dxa"/>
          </w:tcPr>
          <w:p w14:paraId="38A37444" w14:textId="1E842699"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2"/>
                <w:szCs w:val="22"/>
              </w:rPr>
              <w:t>Tagalog/Filipino</w:t>
            </w:r>
          </w:p>
        </w:tc>
        <w:tc>
          <w:tcPr>
            <w:tcW w:w="2716" w:type="dxa"/>
          </w:tcPr>
          <w:p w14:paraId="71B02626" w14:textId="200B2849" w:rsidR="0060115C" w:rsidRPr="002B4A12" w:rsidRDefault="0060115C" w:rsidP="0060115C">
            <w:pPr>
              <w:keepNext/>
              <w:autoSpaceDE w:val="0"/>
              <w:autoSpaceDN w:val="0"/>
              <w:adjustRightInd w:val="0"/>
              <w:spacing w:before="40" w:after="40"/>
              <w:ind w:left="-2530" w:firstLine="2530"/>
              <w:jc w:val="center"/>
              <w:outlineLvl w:val="4"/>
              <w:rPr>
                <w:color w:val="000000"/>
                <w:sz w:val="22"/>
                <w:szCs w:val="22"/>
              </w:rPr>
            </w:pPr>
            <w:r w:rsidRPr="002B4A12">
              <w:rPr>
                <w:color w:val="000000"/>
                <w:sz w:val="20"/>
                <w:szCs w:val="20"/>
              </w:rPr>
              <w:t>262</w:t>
            </w:r>
          </w:p>
        </w:tc>
      </w:tr>
      <w:bookmarkEnd w:id="7"/>
      <w:bookmarkEnd w:id="6"/>
    </w:tbl>
    <w:p w14:paraId="3AD8CA9C" w14:textId="77777777" w:rsidR="00E13D1D" w:rsidRDefault="00E13D1D" w:rsidP="00D16A8F">
      <w:pPr>
        <w:pStyle w:val="Heading2"/>
      </w:pPr>
    </w:p>
    <w:p w14:paraId="50F02BBC" w14:textId="77777777" w:rsidR="00E13D1D" w:rsidRDefault="00E13D1D" w:rsidP="00D16A8F">
      <w:pPr>
        <w:pStyle w:val="Heading2"/>
      </w:pPr>
    </w:p>
    <w:p w14:paraId="7FD7F0C6" w14:textId="77777777" w:rsidR="00E13D1D" w:rsidRDefault="00E13D1D" w:rsidP="00D16A8F">
      <w:pPr>
        <w:pStyle w:val="Heading2"/>
      </w:pPr>
    </w:p>
    <w:p w14:paraId="2A85854E" w14:textId="77777777" w:rsidR="00E13D1D" w:rsidRDefault="00E13D1D" w:rsidP="00D16A8F">
      <w:pPr>
        <w:pStyle w:val="Heading2"/>
      </w:pPr>
    </w:p>
    <w:p w14:paraId="480A4452" w14:textId="77777777" w:rsidR="00E13D1D" w:rsidRDefault="00E13D1D" w:rsidP="00D16A8F">
      <w:pPr>
        <w:pStyle w:val="Heading2"/>
      </w:pPr>
    </w:p>
    <w:p w14:paraId="10FDD32B" w14:textId="77777777" w:rsidR="00E13D1D" w:rsidRDefault="00E13D1D" w:rsidP="00D16A8F">
      <w:pPr>
        <w:pStyle w:val="Heading2"/>
      </w:pPr>
    </w:p>
    <w:p w14:paraId="73DC327F" w14:textId="77777777" w:rsidR="00E13D1D" w:rsidRDefault="00E13D1D" w:rsidP="00D16A8F">
      <w:pPr>
        <w:pStyle w:val="Heading2"/>
      </w:pPr>
    </w:p>
    <w:p w14:paraId="0EC83933" w14:textId="77777777" w:rsidR="00E13D1D" w:rsidRDefault="00E13D1D" w:rsidP="00D16A8F">
      <w:pPr>
        <w:pStyle w:val="Heading2"/>
      </w:pPr>
    </w:p>
    <w:p w14:paraId="6B350C3F" w14:textId="77777777" w:rsidR="00E13D1D" w:rsidRDefault="00E13D1D" w:rsidP="00D16A8F">
      <w:pPr>
        <w:pStyle w:val="Heading2"/>
      </w:pPr>
    </w:p>
    <w:p w14:paraId="1193DC46" w14:textId="77777777" w:rsidR="00E13D1D" w:rsidRDefault="00E13D1D" w:rsidP="00D16A8F">
      <w:pPr>
        <w:pStyle w:val="Heading2"/>
      </w:pPr>
    </w:p>
    <w:p w14:paraId="01B51A20" w14:textId="77777777" w:rsidR="00E13D1D" w:rsidRDefault="00E13D1D" w:rsidP="00D16A8F">
      <w:pPr>
        <w:pStyle w:val="Heading2"/>
      </w:pPr>
    </w:p>
    <w:p w14:paraId="7A1F4A53" w14:textId="77777777" w:rsidR="00E13D1D" w:rsidRDefault="00E13D1D" w:rsidP="00D16A8F">
      <w:pPr>
        <w:pStyle w:val="Heading2"/>
      </w:pPr>
    </w:p>
    <w:p w14:paraId="6AB2AFAB" w14:textId="77777777" w:rsidR="00E13D1D" w:rsidRDefault="00E13D1D" w:rsidP="00D16A8F">
      <w:pPr>
        <w:pStyle w:val="Heading2"/>
      </w:pPr>
    </w:p>
    <w:p w14:paraId="76B8E4D0" w14:textId="77777777" w:rsidR="00E13D1D" w:rsidRDefault="00E13D1D" w:rsidP="00D16A8F">
      <w:pPr>
        <w:pStyle w:val="Heading2"/>
      </w:pPr>
    </w:p>
    <w:p w14:paraId="5A1FCA81" w14:textId="77777777" w:rsidR="00E13D1D" w:rsidRDefault="00E13D1D" w:rsidP="00D16A8F">
      <w:pPr>
        <w:pStyle w:val="Heading2"/>
      </w:pPr>
    </w:p>
    <w:p w14:paraId="324A86F2" w14:textId="77777777" w:rsidR="00E13D1D" w:rsidRDefault="00E13D1D" w:rsidP="00D16A8F">
      <w:pPr>
        <w:pStyle w:val="Heading2"/>
      </w:pPr>
    </w:p>
    <w:p w14:paraId="4002F0D5" w14:textId="77777777" w:rsidR="00E13D1D" w:rsidRDefault="00E13D1D" w:rsidP="00D16A8F">
      <w:pPr>
        <w:pStyle w:val="Heading2"/>
      </w:pPr>
    </w:p>
    <w:p w14:paraId="1B044ED0" w14:textId="77777777" w:rsidR="00E13D1D" w:rsidRDefault="00E13D1D" w:rsidP="00D16A8F">
      <w:pPr>
        <w:pStyle w:val="Heading2"/>
      </w:pPr>
    </w:p>
    <w:p w14:paraId="17652063" w14:textId="77777777" w:rsidR="00E13D1D" w:rsidRDefault="00E13D1D" w:rsidP="00D16A8F">
      <w:pPr>
        <w:pStyle w:val="Heading2"/>
      </w:pPr>
    </w:p>
    <w:p w14:paraId="747D030F" w14:textId="77777777" w:rsidR="00E13D1D" w:rsidRDefault="00E13D1D" w:rsidP="00D16A8F">
      <w:pPr>
        <w:pStyle w:val="Heading2"/>
      </w:pPr>
    </w:p>
    <w:p w14:paraId="328D493A" w14:textId="77777777" w:rsidR="00E13D1D" w:rsidRDefault="00E13D1D" w:rsidP="00D16A8F">
      <w:pPr>
        <w:pStyle w:val="Heading2"/>
      </w:pPr>
    </w:p>
    <w:p w14:paraId="16CEA34F" w14:textId="77777777" w:rsidR="00E13D1D" w:rsidRDefault="00E13D1D" w:rsidP="00D16A8F">
      <w:pPr>
        <w:pStyle w:val="Heading2"/>
      </w:pPr>
    </w:p>
    <w:p w14:paraId="4DB8322D" w14:textId="77777777" w:rsidR="009B2D40" w:rsidRDefault="009B2D40" w:rsidP="00D16A8F">
      <w:pPr>
        <w:pStyle w:val="Heading2"/>
      </w:pPr>
    </w:p>
    <w:p w14:paraId="44A59858" w14:textId="77777777" w:rsidR="009B2D40" w:rsidRPr="009B2D40" w:rsidRDefault="009B2D40" w:rsidP="009B2D40">
      <w:pPr>
        <w:rPr>
          <w:lang w:val="en-US" w:eastAsia="en-US"/>
        </w:rPr>
      </w:pPr>
    </w:p>
    <w:p w14:paraId="66E0D6FC" w14:textId="4A377CB6" w:rsidR="0002494B" w:rsidRPr="009B2D40" w:rsidRDefault="00DE0A77" w:rsidP="00D16A8F">
      <w:pPr>
        <w:pStyle w:val="Heading2"/>
        <w:rPr>
          <w:sz w:val="28"/>
          <w:szCs w:val="28"/>
        </w:rPr>
      </w:pPr>
      <w:r w:rsidRPr="009B2D40">
        <w:rPr>
          <w:sz w:val="28"/>
          <w:szCs w:val="28"/>
        </w:rPr>
        <w:t>Medway Community: Religion and Belief</w:t>
      </w:r>
      <w:bookmarkStart w:id="8" w:name="_Ref436145625"/>
    </w:p>
    <w:p w14:paraId="3AA86DCC" w14:textId="13A46518" w:rsidR="00835EEF" w:rsidRDefault="001F0C30" w:rsidP="005B7332">
      <w:pPr>
        <w:rPr>
          <w:rFonts w:ascii="Helvetica" w:hAnsi="Helvetica" w:cs="Helvetica"/>
        </w:rPr>
      </w:pPr>
      <w:r>
        <w:rPr>
          <w:rFonts w:ascii="Helvetica" w:hAnsi="Helvetica" w:cs="Helvetica"/>
        </w:rPr>
        <w:t xml:space="preserve">Table 8 below shows </w:t>
      </w:r>
      <w:r w:rsidR="007F2B6C" w:rsidRPr="007A5ED1">
        <w:rPr>
          <w:rFonts w:ascii="Helvetica" w:hAnsi="Helvetica" w:cs="Helvetica"/>
        </w:rPr>
        <w:t>Christianity remains the largest religion or belief that Medway residents identify with. However, since 2001 there has been a 27</w:t>
      </w:r>
      <w:r>
        <w:rPr>
          <w:rFonts w:ascii="Helvetica" w:hAnsi="Helvetica" w:cs="Helvetica"/>
        </w:rPr>
        <w:t xml:space="preserve"> </w:t>
      </w:r>
      <w:r w:rsidR="007F2B6C" w:rsidRPr="007A5ED1">
        <w:rPr>
          <w:rFonts w:ascii="Helvetica" w:hAnsi="Helvetica" w:cs="Helvetica"/>
        </w:rPr>
        <w:t>percentage point reduction in the number of residents</w:t>
      </w:r>
      <w:r>
        <w:rPr>
          <w:rFonts w:ascii="Helvetica" w:hAnsi="Helvetica" w:cs="Helvetica"/>
        </w:rPr>
        <w:t xml:space="preserve"> who</w:t>
      </w:r>
      <w:r w:rsidR="007F2B6C" w:rsidRPr="007A5ED1">
        <w:rPr>
          <w:rFonts w:ascii="Helvetica" w:hAnsi="Helvetica" w:cs="Helvetica"/>
        </w:rPr>
        <w:t xml:space="preserve"> identified themselves as Christian: 45% in 2021, 58% in 2011, and 72% in 2001.</w:t>
      </w:r>
    </w:p>
    <w:p w14:paraId="003325C3" w14:textId="01F36864" w:rsidR="009D5CA2" w:rsidRPr="007A5ED1" w:rsidRDefault="007F2B6C" w:rsidP="005B7332">
      <w:pPr>
        <w:rPr>
          <w:rFonts w:ascii="Helvetica" w:hAnsi="Helvetica" w:cs="Helvetica"/>
        </w:rPr>
      </w:pPr>
      <w:r w:rsidRPr="007A5ED1">
        <w:rPr>
          <w:rFonts w:ascii="Helvetica" w:hAnsi="Helvetica" w:cs="Helvetica"/>
        </w:rPr>
        <w:t>The second largest group recorded is those stating that they have no religion. Having a 26</w:t>
      </w:r>
      <w:r w:rsidR="008C201C">
        <w:rPr>
          <w:rFonts w:ascii="Helvetica" w:hAnsi="Helvetica" w:cs="Helvetica"/>
        </w:rPr>
        <w:t xml:space="preserve"> </w:t>
      </w:r>
      <w:r w:rsidRPr="007A5ED1">
        <w:rPr>
          <w:rFonts w:ascii="Helvetica" w:hAnsi="Helvetica" w:cs="Helvetica"/>
        </w:rPr>
        <w:t xml:space="preserve">percentage point increase from 17% of the population in 2001, to 30% in 2011 before reaching 43% in 2021. </w:t>
      </w:r>
    </w:p>
    <w:p w14:paraId="206A5E8D" w14:textId="3BE9DD1E" w:rsidR="009D5CA2" w:rsidRDefault="007F2B6C" w:rsidP="005B7332">
      <w:pPr>
        <w:rPr>
          <w:rFonts w:ascii="Helvetica" w:hAnsi="Helvetica" w:cs="Helvetica"/>
        </w:rPr>
      </w:pPr>
      <w:r w:rsidRPr="007A5ED1">
        <w:rPr>
          <w:rFonts w:ascii="Helvetica" w:hAnsi="Helvetica" w:cs="Helvetica"/>
        </w:rPr>
        <w:t>The proportions of residents stating their religion as Buddhist, Hindu, Jewish, Sikh, or other religion have stayed static between 2011 and 2021. The only other group to see a notable increase was those residents identifying as Muslim, having increased by 0.7 percentage points from 2% in 2011 to 2.7% in 2021.</w:t>
      </w:r>
    </w:p>
    <w:p w14:paraId="1CE6E7C2" w14:textId="77777777" w:rsidR="009D5CA2" w:rsidRDefault="009D5CA2" w:rsidP="005B7332">
      <w:pPr>
        <w:rPr>
          <w:rFonts w:ascii="Helvetica" w:hAnsi="Helvetica" w:cs="Helvetica"/>
        </w:rPr>
      </w:pPr>
    </w:p>
    <w:p w14:paraId="5D5ABFB4" w14:textId="77777777" w:rsidR="00D16A8F" w:rsidRPr="007A5ED1" w:rsidRDefault="00D16A8F" w:rsidP="005B7332">
      <w:pPr>
        <w:rPr>
          <w:rFonts w:ascii="Helvetica" w:hAnsi="Helvetica" w:cs="Helvetica"/>
        </w:rPr>
      </w:pPr>
    </w:p>
    <w:p w14:paraId="61E7C0F8" w14:textId="7A660EF2" w:rsidR="006333CE" w:rsidRPr="002B4A12" w:rsidRDefault="006333CE" w:rsidP="004A6CBE">
      <w:pPr>
        <w:jc w:val="center"/>
        <w:rPr>
          <w:bCs/>
          <w:kern w:val="32"/>
          <w:sz w:val="18"/>
          <w:szCs w:val="18"/>
        </w:rPr>
      </w:pPr>
      <w:r w:rsidRPr="002B4A12">
        <w:rPr>
          <w:bCs/>
          <w:sz w:val="18"/>
          <w:szCs w:val="18"/>
        </w:rPr>
        <w:t xml:space="preserve">Table </w:t>
      </w:r>
      <w:bookmarkEnd w:id="8"/>
      <w:r w:rsidR="001F0C30" w:rsidRPr="002B4A12">
        <w:rPr>
          <w:bCs/>
          <w:sz w:val="18"/>
          <w:szCs w:val="18"/>
        </w:rPr>
        <w:t>8</w:t>
      </w:r>
      <w:r w:rsidRPr="002B4A12">
        <w:rPr>
          <w:bCs/>
          <w:sz w:val="18"/>
          <w:szCs w:val="18"/>
        </w:rPr>
        <w:t xml:space="preserve"> Religions in Medway</w:t>
      </w:r>
    </w:p>
    <w:tbl>
      <w:tblPr>
        <w:tblStyle w:val="TableGrid"/>
        <w:tblW w:w="3472" w:type="pct"/>
        <w:tblInd w:w="1327" w:type="dxa"/>
        <w:tblLayout w:type="fixed"/>
        <w:tblLook w:val="0020" w:firstRow="1" w:lastRow="0" w:firstColumn="0" w:lastColumn="0" w:noHBand="0" w:noVBand="0"/>
        <w:tblCaption w:val="Table 8 Religions in Medway"/>
        <w:tblDescription w:val="Table 8 below shows Christianity remains the largest religion or belief that Medway residents identify with. "/>
      </w:tblPr>
      <w:tblGrid>
        <w:gridCol w:w="2174"/>
        <w:gridCol w:w="1170"/>
        <w:gridCol w:w="1475"/>
        <w:gridCol w:w="1474"/>
      </w:tblGrid>
      <w:tr w:rsidR="007F2B6C" w:rsidRPr="002B4A12" w14:paraId="33B04B21" w14:textId="6B45A5E1" w:rsidTr="009C43F1">
        <w:trPr>
          <w:trHeight w:val="20"/>
        </w:trPr>
        <w:tc>
          <w:tcPr>
            <w:tcW w:w="1727" w:type="pct"/>
            <w:noWrap/>
          </w:tcPr>
          <w:p w14:paraId="12E2D744" w14:textId="77777777" w:rsidR="007F2B6C" w:rsidRPr="002B4A12" w:rsidRDefault="007F2B6C" w:rsidP="009C43F1">
            <w:pPr>
              <w:spacing w:before="40" w:after="40"/>
              <w:jc w:val="center"/>
              <w:rPr>
                <w:rFonts w:eastAsia="Arial Unicode MS"/>
                <w:sz w:val="22"/>
              </w:rPr>
            </w:pPr>
            <w:r w:rsidRPr="002B4A12">
              <w:rPr>
                <w:rFonts w:eastAsia="Arial Unicode MS"/>
                <w:sz w:val="22"/>
              </w:rPr>
              <w:t>Religion and Belief</w:t>
            </w:r>
          </w:p>
        </w:tc>
        <w:tc>
          <w:tcPr>
            <w:tcW w:w="930" w:type="pct"/>
          </w:tcPr>
          <w:p w14:paraId="34593BAC" w14:textId="64A0E849" w:rsidR="007F2B6C" w:rsidRPr="002B4A12" w:rsidRDefault="007F2B6C" w:rsidP="009C43F1">
            <w:pPr>
              <w:spacing w:before="40" w:after="40"/>
              <w:jc w:val="center"/>
              <w:rPr>
                <w:sz w:val="22"/>
              </w:rPr>
            </w:pPr>
            <w:r w:rsidRPr="002B4A12">
              <w:rPr>
                <w:sz w:val="22"/>
              </w:rPr>
              <w:t>2011</w:t>
            </w:r>
          </w:p>
          <w:p w14:paraId="23691822" w14:textId="0602CC03" w:rsidR="007F2B6C" w:rsidRPr="002B4A12" w:rsidRDefault="007F2B6C" w:rsidP="009C43F1">
            <w:pPr>
              <w:spacing w:before="40" w:after="40"/>
              <w:jc w:val="center"/>
              <w:rPr>
                <w:rFonts w:eastAsia="Arial Unicode MS"/>
                <w:sz w:val="22"/>
              </w:rPr>
            </w:pPr>
            <w:r w:rsidRPr="002B4A12">
              <w:rPr>
                <w:sz w:val="22"/>
              </w:rPr>
              <w:t>%</w:t>
            </w:r>
          </w:p>
        </w:tc>
        <w:tc>
          <w:tcPr>
            <w:tcW w:w="1172" w:type="pct"/>
          </w:tcPr>
          <w:p w14:paraId="62939B94" w14:textId="0234F6A1" w:rsidR="007F2B6C" w:rsidRPr="002B4A12" w:rsidRDefault="007F2B6C" w:rsidP="009C43F1">
            <w:pPr>
              <w:spacing w:before="40" w:after="40"/>
              <w:jc w:val="center"/>
              <w:rPr>
                <w:sz w:val="22"/>
              </w:rPr>
            </w:pPr>
            <w:r w:rsidRPr="002B4A12">
              <w:rPr>
                <w:sz w:val="22"/>
              </w:rPr>
              <w:t>2021</w:t>
            </w:r>
          </w:p>
          <w:p w14:paraId="53C47B05" w14:textId="77777777" w:rsidR="007F2B6C" w:rsidRPr="002B4A12" w:rsidRDefault="007F2B6C" w:rsidP="009C43F1">
            <w:pPr>
              <w:spacing w:before="40" w:after="40"/>
              <w:jc w:val="center"/>
              <w:rPr>
                <w:sz w:val="22"/>
              </w:rPr>
            </w:pPr>
            <w:r w:rsidRPr="002B4A12">
              <w:rPr>
                <w:sz w:val="22"/>
              </w:rPr>
              <w:t>%</w:t>
            </w:r>
          </w:p>
        </w:tc>
        <w:tc>
          <w:tcPr>
            <w:tcW w:w="1171" w:type="pct"/>
          </w:tcPr>
          <w:p w14:paraId="33EFCFC8" w14:textId="0BFC264B" w:rsidR="007F2B6C" w:rsidRPr="002B4A12" w:rsidRDefault="007F2B6C" w:rsidP="009C43F1">
            <w:pPr>
              <w:spacing w:before="40" w:after="40"/>
              <w:jc w:val="center"/>
              <w:rPr>
                <w:sz w:val="22"/>
              </w:rPr>
            </w:pPr>
            <w:r w:rsidRPr="002B4A12">
              <w:rPr>
                <w:sz w:val="22"/>
              </w:rPr>
              <w:t>2021</w:t>
            </w:r>
          </w:p>
          <w:p w14:paraId="69F994EF" w14:textId="5E53123E" w:rsidR="007F2B6C" w:rsidRPr="002B4A12" w:rsidRDefault="007F2B6C" w:rsidP="009C43F1">
            <w:pPr>
              <w:spacing w:before="40" w:after="40"/>
              <w:jc w:val="center"/>
              <w:rPr>
                <w:sz w:val="22"/>
              </w:rPr>
            </w:pPr>
            <w:r w:rsidRPr="002B4A12">
              <w:rPr>
                <w:sz w:val="22"/>
              </w:rPr>
              <w:t>Number</w:t>
            </w:r>
          </w:p>
        </w:tc>
      </w:tr>
      <w:tr w:rsidR="007F2B6C" w:rsidRPr="002B4A12" w14:paraId="0C493874" w14:textId="26D3854B" w:rsidTr="009C43F1">
        <w:trPr>
          <w:trHeight w:val="20"/>
        </w:trPr>
        <w:tc>
          <w:tcPr>
            <w:tcW w:w="1727" w:type="pct"/>
            <w:noWrap/>
          </w:tcPr>
          <w:p w14:paraId="0D3F0270" w14:textId="77777777" w:rsidR="007F2B6C" w:rsidRPr="002B4A12" w:rsidRDefault="007F2B6C" w:rsidP="009C43F1">
            <w:pPr>
              <w:spacing w:before="40" w:after="40"/>
              <w:jc w:val="center"/>
              <w:rPr>
                <w:rFonts w:eastAsia="Arial Unicode MS"/>
                <w:sz w:val="22"/>
              </w:rPr>
            </w:pPr>
            <w:r w:rsidRPr="002B4A12">
              <w:rPr>
                <w:sz w:val="22"/>
              </w:rPr>
              <w:t>Christian</w:t>
            </w:r>
          </w:p>
        </w:tc>
        <w:tc>
          <w:tcPr>
            <w:tcW w:w="930" w:type="pct"/>
          </w:tcPr>
          <w:p w14:paraId="454D472C" w14:textId="38AB3D73" w:rsidR="007F2B6C" w:rsidRPr="002B4A12" w:rsidRDefault="007F2B6C" w:rsidP="009C43F1">
            <w:pPr>
              <w:spacing w:before="40" w:after="40"/>
              <w:jc w:val="center"/>
              <w:rPr>
                <w:rFonts w:eastAsia="Arial Unicode MS"/>
                <w:sz w:val="22"/>
              </w:rPr>
            </w:pPr>
            <w:r w:rsidRPr="002B4A12">
              <w:rPr>
                <w:sz w:val="22"/>
              </w:rPr>
              <w:t>57.8</w:t>
            </w:r>
          </w:p>
        </w:tc>
        <w:tc>
          <w:tcPr>
            <w:tcW w:w="1172" w:type="pct"/>
          </w:tcPr>
          <w:p w14:paraId="4436FB08" w14:textId="676DD5DE" w:rsidR="007F2B6C" w:rsidRPr="002B4A12" w:rsidRDefault="007F2B6C" w:rsidP="009C43F1">
            <w:pPr>
              <w:spacing w:before="40" w:after="40"/>
              <w:jc w:val="center"/>
              <w:rPr>
                <w:sz w:val="22"/>
              </w:rPr>
            </w:pPr>
            <w:r w:rsidRPr="002B4A12">
              <w:rPr>
                <w:sz w:val="22"/>
              </w:rPr>
              <w:t>45.8</w:t>
            </w:r>
          </w:p>
        </w:tc>
        <w:tc>
          <w:tcPr>
            <w:tcW w:w="1171" w:type="pct"/>
          </w:tcPr>
          <w:p w14:paraId="1BAD5A60" w14:textId="7E3DFA01" w:rsidR="007F2B6C" w:rsidRPr="002B4A12" w:rsidRDefault="007F2B6C" w:rsidP="009C43F1">
            <w:pPr>
              <w:spacing w:before="40" w:after="40"/>
              <w:jc w:val="center"/>
              <w:rPr>
                <w:sz w:val="22"/>
              </w:rPr>
            </w:pPr>
            <w:r w:rsidRPr="002B4A12">
              <w:rPr>
                <w:sz w:val="22"/>
              </w:rPr>
              <w:t>126,097</w:t>
            </w:r>
          </w:p>
        </w:tc>
      </w:tr>
      <w:tr w:rsidR="007F2B6C" w:rsidRPr="002B4A12" w14:paraId="1C8D72D7" w14:textId="6470DD54" w:rsidTr="009C43F1">
        <w:trPr>
          <w:trHeight w:val="20"/>
        </w:trPr>
        <w:tc>
          <w:tcPr>
            <w:tcW w:w="1727" w:type="pct"/>
            <w:noWrap/>
          </w:tcPr>
          <w:p w14:paraId="700765BF" w14:textId="77777777" w:rsidR="007F2B6C" w:rsidRPr="002B4A12" w:rsidRDefault="007F2B6C" w:rsidP="009C43F1">
            <w:pPr>
              <w:spacing w:before="40" w:after="40"/>
              <w:jc w:val="center"/>
              <w:rPr>
                <w:rFonts w:eastAsia="Arial Unicode MS"/>
                <w:sz w:val="22"/>
              </w:rPr>
            </w:pPr>
            <w:r w:rsidRPr="002B4A12">
              <w:rPr>
                <w:sz w:val="22"/>
              </w:rPr>
              <w:t>Buddhist</w:t>
            </w:r>
          </w:p>
        </w:tc>
        <w:tc>
          <w:tcPr>
            <w:tcW w:w="930" w:type="pct"/>
          </w:tcPr>
          <w:p w14:paraId="66D745A6" w14:textId="5A7DDBA1" w:rsidR="007F2B6C" w:rsidRPr="002B4A12" w:rsidRDefault="007F2B6C" w:rsidP="009C43F1">
            <w:pPr>
              <w:spacing w:before="40" w:after="40"/>
              <w:jc w:val="center"/>
              <w:rPr>
                <w:rFonts w:eastAsia="Arial Unicode MS"/>
                <w:sz w:val="22"/>
              </w:rPr>
            </w:pPr>
            <w:r w:rsidRPr="002B4A12">
              <w:rPr>
                <w:sz w:val="22"/>
              </w:rPr>
              <w:t>0.4</w:t>
            </w:r>
          </w:p>
        </w:tc>
        <w:tc>
          <w:tcPr>
            <w:tcW w:w="1172" w:type="pct"/>
          </w:tcPr>
          <w:p w14:paraId="3AE5CA44" w14:textId="77777777" w:rsidR="007F2B6C" w:rsidRPr="002B4A12" w:rsidRDefault="007F2B6C" w:rsidP="009C43F1">
            <w:pPr>
              <w:spacing w:before="40" w:after="40"/>
              <w:jc w:val="center"/>
              <w:rPr>
                <w:sz w:val="22"/>
              </w:rPr>
            </w:pPr>
            <w:r w:rsidRPr="002B4A12">
              <w:rPr>
                <w:sz w:val="22"/>
              </w:rPr>
              <w:t>0.4</w:t>
            </w:r>
          </w:p>
        </w:tc>
        <w:tc>
          <w:tcPr>
            <w:tcW w:w="1171" w:type="pct"/>
          </w:tcPr>
          <w:p w14:paraId="58E7D228" w14:textId="3B449750" w:rsidR="007F2B6C" w:rsidRPr="002B4A12" w:rsidRDefault="007F2B6C" w:rsidP="009C43F1">
            <w:pPr>
              <w:spacing w:before="40" w:after="40"/>
              <w:jc w:val="center"/>
              <w:rPr>
                <w:sz w:val="22"/>
              </w:rPr>
            </w:pPr>
            <w:r w:rsidRPr="002B4A12">
              <w:rPr>
                <w:sz w:val="22"/>
              </w:rPr>
              <w:t>999</w:t>
            </w:r>
          </w:p>
        </w:tc>
      </w:tr>
      <w:tr w:rsidR="007F2B6C" w:rsidRPr="002B4A12" w14:paraId="694DE3B8" w14:textId="50761EEC" w:rsidTr="009C43F1">
        <w:trPr>
          <w:trHeight w:val="20"/>
        </w:trPr>
        <w:tc>
          <w:tcPr>
            <w:tcW w:w="1727" w:type="pct"/>
            <w:noWrap/>
          </w:tcPr>
          <w:p w14:paraId="797B574D" w14:textId="77777777" w:rsidR="007F2B6C" w:rsidRPr="002B4A12" w:rsidRDefault="007F2B6C" w:rsidP="009C43F1">
            <w:pPr>
              <w:spacing w:before="40" w:after="40"/>
              <w:jc w:val="center"/>
              <w:rPr>
                <w:rFonts w:eastAsia="Arial Unicode MS"/>
                <w:sz w:val="22"/>
              </w:rPr>
            </w:pPr>
            <w:r w:rsidRPr="002B4A12">
              <w:rPr>
                <w:sz w:val="22"/>
              </w:rPr>
              <w:t>Hindu</w:t>
            </w:r>
          </w:p>
        </w:tc>
        <w:tc>
          <w:tcPr>
            <w:tcW w:w="930" w:type="pct"/>
          </w:tcPr>
          <w:p w14:paraId="0BD123D4" w14:textId="51FBC37D" w:rsidR="007F2B6C" w:rsidRPr="002B4A12" w:rsidRDefault="007F2B6C" w:rsidP="009C43F1">
            <w:pPr>
              <w:spacing w:before="40" w:after="40"/>
              <w:jc w:val="center"/>
              <w:rPr>
                <w:rFonts w:eastAsia="Arial Unicode MS"/>
                <w:sz w:val="22"/>
              </w:rPr>
            </w:pPr>
            <w:r w:rsidRPr="002B4A12">
              <w:rPr>
                <w:sz w:val="22"/>
              </w:rPr>
              <w:t>1</w:t>
            </w:r>
          </w:p>
        </w:tc>
        <w:tc>
          <w:tcPr>
            <w:tcW w:w="1172" w:type="pct"/>
          </w:tcPr>
          <w:p w14:paraId="621F640B" w14:textId="0F12F390" w:rsidR="007F2B6C" w:rsidRPr="002B4A12" w:rsidRDefault="007F2B6C" w:rsidP="009C43F1">
            <w:pPr>
              <w:spacing w:before="40" w:after="40"/>
              <w:jc w:val="center"/>
              <w:rPr>
                <w:sz w:val="22"/>
              </w:rPr>
            </w:pPr>
            <w:r w:rsidRPr="002B4A12">
              <w:rPr>
                <w:sz w:val="22"/>
              </w:rPr>
              <w:t>1.1</w:t>
            </w:r>
          </w:p>
        </w:tc>
        <w:tc>
          <w:tcPr>
            <w:tcW w:w="1171" w:type="pct"/>
          </w:tcPr>
          <w:p w14:paraId="5E8D2E22" w14:textId="394B3B8D" w:rsidR="007F2B6C" w:rsidRPr="002B4A12" w:rsidRDefault="007F2B6C" w:rsidP="009C43F1">
            <w:pPr>
              <w:spacing w:before="40" w:after="40"/>
              <w:jc w:val="center"/>
              <w:rPr>
                <w:sz w:val="22"/>
              </w:rPr>
            </w:pPr>
            <w:r w:rsidRPr="002B4A12">
              <w:rPr>
                <w:sz w:val="22"/>
              </w:rPr>
              <w:t>3,172</w:t>
            </w:r>
          </w:p>
        </w:tc>
      </w:tr>
      <w:tr w:rsidR="007F2B6C" w:rsidRPr="002B4A12" w14:paraId="36640C2E" w14:textId="692FA57E" w:rsidTr="009C43F1">
        <w:trPr>
          <w:trHeight w:val="20"/>
        </w:trPr>
        <w:tc>
          <w:tcPr>
            <w:tcW w:w="1727" w:type="pct"/>
            <w:noWrap/>
          </w:tcPr>
          <w:p w14:paraId="6C25EEFF" w14:textId="77777777" w:rsidR="007F2B6C" w:rsidRPr="002B4A12" w:rsidRDefault="007F2B6C" w:rsidP="009C43F1">
            <w:pPr>
              <w:spacing w:before="40" w:after="40"/>
              <w:jc w:val="center"/>
              <w:rPr>
                <w:rFonts w:eastAsia="Arial Unicode MS"/>
                <w:sz w:val="22"/>
              </w:rPr>
            </w:pPr>
            <w:r w:rsidRPr="002B4A12">
              <w:rPr>
                <w:sz w:val="22"/>
              </w:rPr>
              <w:t>Jewish</w:t>
            </w:r>
          </w:p>
        </w:tc>
        <w:tc>
          <w:tcPr>
            <w:tcW w:w="930" w:type="pct"/>
          </w:tcPr>
          <w:p w14:paraId="064E8EB9" w14:textId="77777777" w:rsidR="007F2B6C" w:rsidRPr="002B4A12" w:rsidRDefault="007F2B6C" w:rsidP="009C43F1">
            <w:pPr>
              <w:spacing w:before="40" w:after="40"/>
              <w:jc w:val="center"/>
              <w:rPr>
                <w:rFonts w:eastAsia="Arial Unicode MS"/>
                <w:sz w:val="22"/>
              </w:rPr>
            </w:pPr>
            <w:r w:rsidRPr="002B4A12">
              <w:rPr>
                <w:sz w:val="22"/>
              </w:rPr>
              <w:t>0.1</w:t>
            </w:r>
          </w:p>
        </w:tc>
        <w:tc>
          <w:tcPr>
            <w:tcW w:w="1172" w:type="pct"/>
          </w:tcPr>
          <w:p w14:paraId="5C0E9481" w14:textId="77777777" w:rsidR="007F2B6C" w:rsidRPr="002B4A12" w:rsidRDefault="007F2B6C" w:rsidP="009C43F1">
            <w:pPr>
              <w:spacing w:before="40" w:after="40"/>
              <w:jc w:val="center"/>
              <w:rPr>
                <w:sz w:val="22"/>
              </w:rPr>
            </w:pPr>
            <w:r w:rsidRPr="002B4A12">
              <w:rPr>
                <w:sz w:val="22"/>
              </w:rPr>
              <w:t>0.1</w:t>
            </w:r>
          </w:p>
        </w:tc>
        <w:tc>
          <w:tcPr>
            <w:tcW w:w="1171" w:type="pct"/>
          </w:tcPr>
          <w:p w14:paraId="63ECB620" w14:textId="4F3F9EDC" w:rsidR="007F2B6C" w:rsidRPr="002B4A12" w:rsidRDefault="007F2B6C" w:rsidP="009C43F1">
            <w:pPr>
              <w:spacing w:before="40" w:after="40"/>
              <w:jc w:val="center"/>
              <w:rPr>
                <w:sz w:val="22"/>
              </w:rPr>
            </w:pPr>
            <w:r w:rsidRPr="002B4A12">
              <w:rPr>
                <w:sz w:val="22"/>
              </w:rPr>
              <w:t>217</w:t>
            </w:r>
          </w:p>
        </w:tc>
      </w:tr>
      <w:tr w:rsidR="007F2B6C" w:rsidRPr="002B4A12" w14:paraId="7048B1D5" w14:textId="0B13E449" w:rsidTr="009C43F1">
        <w:trPr>
          <w:trHeight w:val="20"/>
        </w:trPr>
        <w:tc>
          <w:tcPr>
            <w:tcW w:w="1727" w:type="pct"/>
            <w:noWrap/>
          </w:tcPr>
          <w:p w14:paraId="37340918" w14:textId="77777777" w:rsidR="007F2B6C" w:rsidRPr="002B4A12" w:rsidRDefault="007F2B6C" w:rsidP="009C43F1">
            <w:pPr>
              <w:spacing w:before="40" w:after="40"/>
              <w:jc w:val="center"/>
              <w:rPr>
                <w:rFonts w:eastAsia="Arial Unicode MS"/>
                <w:sz w:val="22"/>
              </w:rPr>
            </w:pPr>
            <w:r w:rsidRPr="002B4A12">
              <w:rPr>
                <w:sz w:val="22"/>
              </w:rPr>
              <w:t>Muslim</w:t>
            </w:r>
          </w:p>
        </w:tc>
        <w:tc>
          <w:tcPr>
            <w:tcW w:w="930" w:type="pct"/>
          </w:tcPr>
          <w:p w14:paraId="624DA307" w14:textId="5FEC0972" w:rsidR="007F2B6C" w:rsidRPr="002B4A12" w:rsidRDefault="007F2B6C" w:rsidP="009C43F1">
            <w:pPr>
              <w:spacing w:before="40" w:after="40"/>
              <w:jc w:val="center"/>
              <w:rPr>
                <w:rFonts w:eastAsia="Arial Unicode MS"/>
                <w:sz w:val="22"/>
              </w:rPr>
            </w:pPr>
            <w:r w:rsidRPr="002B4A12">
              <w:rPr>
                <w:sz w:val="22"/>
              </w:rPr>
              <w:t>2</w:t>
            </w:r>
          </w:p>
        </w:tc>
        <w:tc>
          <w:tcPr>
            <w:tcW w:w="1172" w:type="pct"/>
          </w:tcPr>
          <w:p w14:paraId="1CB1E91D" w14:textId="2BD2BFAE" w:rsidR="007F2B6C" w:rsidRPr="002B4A12" w:rsidRDefault="007F2B6C" w:rsidP="009C43F1">
            <w:pPr>
              <w:spacing w:before="40" w:after="40"/>
              <w:jc w:val="center"/>
              <w:rPr>
                <w:sz w:val="22"/>
              </w:rPr>
            </w:pPr>
            <w:r w:rsidRPr="002B4A12">
              <w:rPr>
                <w:sz w:val="22"/>
              </w:rPr>
              <w:t>2.7</w:t>
            </w:r>
          </w:p>
        </w:tc>
        <w:tc>
          <w:tcPr>
            <w:tcW w:w="1171" w:type="pct"/>
          </w:tcPr>
          <w:p w14:paraId="15298543" w14:textId="4F24D474" w:rsidR="007F2B6C" w:rsidRPr="002B4A12" w:rsidRDefault="007F2B6C" w:rsidP="009C43F1">
            <w:pPr>
              <w:spacing w:before="40" w:after="40"/>
              <w:jc w:val="center"/>
              <w:rPr>
                <w:sz w:val="22"/>
              </w:rPr>
            </w:pPr>
            <w:r w:rsidRPr="002B4A12">
              <w:rPr>
                <w:sz w:val="22"/>
              </w:rPr>
              <w:t>7,636</w:t>
            </w:r>
          </w:p>
        </w:tc>
      </w:tr>
      <w:tr w:rsidR="007F2B6C" w:rsidRPr="002B4A12" w14:paraId="65613907" w14:textId="74EA0C6A" w:rsidTr="009C43F1">
        <w:trPr>
          <w:trHeight w:val="20"/>
        </w:trPr>
        <w:tc>
          <w:tcPr>
            <w:tcW w:w="1727" w:type="pct"/>
            <w:noWrap/>
          </w:tcPr>
          <w:p w14:paraId="2FDB3057" w14:textId="77777777" w:rsidR="007F2B6C" w:rsidRPr="002B4A12" w:rsidRDefault="007F2B6C" w:rsidP="009C43F1">
            <w:pPr>
              <w:spacing w:before="40" w:after="40"/>
              <w:jc w:val="center"/>
              <w:rPr>
                <w:rFonts w:eastAsia="Arial Unicode MS"/>
                <w:sz w:val="22"/>
              </w:rPr>
            </w:pPr>
            <w:r w:rsidRPr="002B4A12">
              <w:rPr>
                <w:sz w:val="22"/>
              </w:rPr>
              <w:t>Sikh</w:t>
            </w:r>
          </w:p>
        </w:tc>
        <w:tc>
          <w:tcPr>
            <w:tcW w:w="930" w:type="pct"/>
          </w:tcPr>
          <w:p w14:paraId="06DA4C1B" w14:textId="34B561C1" w:rsidR="007F2B6C" w:rsidRPr="002B4A12" w:rsidRDefault="007F2B6C" w:rsidP="009C43F1">
            <w:pPr>
              <w:spacing w:before="40" w:after="40"/>
              <w:jc w:val="center"/>
              <w:rPr>
                <w:rFonts w:eastAsia="Arial Unicode MS"/>
                <w:sz w:val="22"/>
              </w:rPr>
            </w:pPr>
            <w:r w:rsidRPr="002B4A12">
              <w:rPr>
                <w:sz w:val="22"/>
              </w:rPr>
              <w:t>1.5</w:t>
            </w:r>
          </w:p>
        </w:tc>
        <w:tc>
          <w:tcPr>
            <w:tcW w:w="1172" w:type="pct"/>
          </w:tcPr>
          <w:p w14:paraId="2BF4B219" w14:textId="3CBCB859" w:rsidR="007F2B6C" w:rsidRPr="002B4A12" w:rsidRDefault="007F2B6C" w:rsidP="009C43F1">
            <w:pPr>
              <w:spacing w:before="40" w:after="40"/>
              <w:jc w:val="center"/>
              <w:rPr>
                <w:sz w:val="22"/>
              </w:rPr>
            </w:pPr>
            <w:r w:rsidRPr="002B4A12">
              <w:rPr>
                <w:sz w:val="22"/>
              </w:rPr>
              <w:t>1.6</w:t>
            </w:r>
          </w:p>
        </w:tc>
        <w:tc>
          <w:tcPr>
            <w:tcW w:w="1171" w:type="pct"/>
          </w:tcPr>
          <w:p w14:paraId="51EB3DBC" w14:textId="582A3352" w:rsidR="007F2B6C" w:rsidRPr="002B4A12" w:rsidRDefault="007F2B6C" w:rsidP="009C43F1">
            <w:pPr>
              <w:spacing w:before="40" w:after="40"/>
              <w:jc w:val="center"/>
              <w:rPr>
                <w:sz w:val="22"/>
              </w:rPr>
            </w:pPr>
            <w:r w:rsidRPr="002B4A12">
              <w:rPr>
                <w:sz w:val="22"/>
              </w:rPr>
              <w:t>4,363</w:t>
            </w:r>
          </w:p>
        </w:tc>
      </w:tr>
      <w:tr w:rsidR="007F2B6C" w:rsidRPr="002B4A12" w14:paraId="3939B9D7" w14:textId="48AC3F9F" w:rsidTr="009C43F1">
        <w:trPr>
          <w:trHeight w:val="20"/>
        </w:trPr>
        <w:tc>
          <w:tcPr>
            <w:tcW w:w="1727" w:type="pct"/>
            <w:noWrap/>
          </w:tcPr>
          <w:p w14:paraId="5DD5BA7A" w14:textId="77777777" w:rsidR="007F2B6C" w:rsidRPr="002B4A12" w:rsidRDefault="007F2B6C" w:rsidP="009C43F1">
            <w:pPr>
              <w:spacing w:before="40" w:after="40"/>
              <w:jc w:val="center"/>
              <w:rPr>
                <w:rFonts w:eastAsia="Arial Unicode MS"/>
                <w:sz w:val="22"/>
              </w:rPr>
            </w:pPr>
            <w:r w:rsidRPr="002B4A12">
              <w:rPr>
                <w:sz w:val="22"/>
              </w:rPr>
              <w:t>All Other religions</w:t>
            </w:r>
          </w:p>
        </w:tc>
        <w:tc>
          <w:tcPr>
            <w:tcW w:w="930" w:type="pct"/>
          </w:tcPr>
          <w:p w14:paraId="6B5FBA9A" w14:textId="55C1E666" w:rsidR="007F2B6C" w:rsidRPr="002B4A12" w:rsidRDefault="007F2B6C" w:rsidP="009C43F1">
            <w:pPr>
              <w:spacing w:before="40" w:after="40"/>
              <w:jc w:val="center"/>
              <w:rPr>
                <w:rFonts w:eastAsia="Arial Unicode MS"/>
                <w:sz w:val="22"/>
              </w:rPr>
            </w:pPr>
            <w:r w:rsidRPr="002B4A12">
              <w:rPr>
                <w:sz w:val="22"/>
              </w:rPr>
              <w:t>0.5</w:t>
            </w:r>
          </w:p>
        </w:tc>
        <w:tc>
          <w:tcPr>
            <w:tcW w:w="1172" w:type="pct"/>
          </w:tcPr>
          <w:p w14:paraId="0F39D8AA" w14:textId="21E0DB7D" w:rsidR="007F2B6C" w:rsidRPr="002B4A12" w:rsidRDefault="007F2B6C" w:rsidP="009C43F1">
            <w:pPr>
              <w:spacing w:before="40" w:after="40"/>
              <w:jc w:val="center"/>
              <w:rPr>
                <w:sz w:val="22"/>
              </w:rPr>
            </w:pPr>
            <w:r w:rsidRPr="002B4A12">
              <w:rPr>
                <w:sz w:val="22"/>
              </w:rPr>
              <w:t>0.6</w:t>
            </w:r>
          </w:p>
        </w:tc>
        <w:tc>
          <w:tcPr>
            <w:tcW w:w="1171" w:type="pct"/>
          </w:tcPr>
          <w:p w14:paraId="131186F0" w14:textId="7039634E" w:rsidR="007F2B6C" w:rsidRPr="002B4A12" w:rsidRDefault="007F2B6C" w:rsidP="009C43F1">
            <w:pPr>
              <w:spacing w:before="40" w:after="40"/>
              <w:jc w:val="center"/>
              <w:rPr>
                <w:sz w:val="22"/>
              </w:rPr>
            </w:pPr>
            <w:r w:rsidRPr="002B4A12">
              <w:rPr>
                <w:sz w:val="22"/>
              </w:rPr>
              <w:t>1,705</w:t>
            </w:r>
          </w:p>
        </w:tc>
      </w:tr>
      <w:tr w:rsidR="007F2B6C" w:rsidRPr="002B4A12" w14:paraId="7DB3DCD2" w14:textId="2272664D" w:rsidTr="009C43F1">
        <w:trPr>
          <w:trHeight w:val="20"/>
        </w:trPr>
        <w:tc>
          <w:tcPr>
            <w:tcW w:w="1727" w:type="pct"/>
            <w:noWrap/>
          </w:tcPr>
          <w:p w14:paraId="769B3CE7" w14:textId="77777777" w:rsidR="007F2B6C" w:rsidRPr="002B4A12" w:rsidRDefault="007F2B6C" w:rsidP="009C43F1">
            <w:pPr>
              <w:spacing w:before="40" w:after="40"/>
              <w:jc w:val="center"/>
              <w:rPr>
                <w:rFonts w:eastAsia="Arial Unicode MS"/>
                <w:sz w:val="22"/>
              </w:rPr>
            </w:pPr>
            <w:r w:rsidRPr="002B4A12">
              <w:rPr>
                <w:sz w:val="22"/>
              </w:rPr>
              <w:t>No religion</w:t>
            </w:r>
          </w:p>
        </w:tc>
        <w:tc>
          <w:tcPr>
            <w:tcW w:w="930" w:type="pct"/>
          </w:tcPr>
          <w:p w14:paraId="3C7C54EB" w14:textId="56FF0606" w:rsidR="007F2B6C" w:rsidRPr="002B4A12" w:rsidRDefault="007F2B6C" w:rsidP="009C43F1">
            <w:pPr>
              <w:spacing w:before="40" w:after="40"/>
              <w:jc w:val="center"/>
              <w:rPr>
                <w:rFonts w:eastAsia="Arial Unicode MS"/>
                <w:sz w:val="22"/>
              </w:rPr>
            </w:pPr>
            <w:r w:rsidRPr="002B4A12">
              <w:rPr>
                <w:sz w:val="22"/>
              </w:rPr>
              <w:t>29.9</w:t>
            </w:r>
          </w:p>
        </w:tc>
        <w:tc>
          <w:tcPr>
            <w:tcW w:w="1172" w:type="pct"/>
          </w:tcPr>
          <w:p w14:paraId="0E26B329" w14:textId="6FADBE93" w:rsidR="007F2B6C" w:rsidRPr="002B4A12" w:rsidRDefault="007F2B6C" w:rsidP="009C43F1">
            <w:pPr>
              <w:spacing w:before="40" w:after="40"/>
              <w:jc w:val="center"/>
              <w:rPr>
                <w:sz w:val="22"/>
              </w:rPr>
            </w:pPr>
            <w:r w:rsidRPr="002B4A12">
              <w:rPr>
                <w:sz w:val="22"/>
              </w:rPr>
              <w:t>43</w:t>
            </w:r>
          </w:p>
        </w:tc>
        <w:tc>
          <w:tcPr>
            <w:tcW w:w="1171" w:type="pct"/>
          </w:tcPr>
          <w:p w14:paraId="19CB6BE5" w14:textId="6BB9BF02" w:rsidR="007F2B6C" w:rsidRPr="002B4A12" w:rsidRDefault="007F2B6C" w:rsidP="009C43F1">
            <w:pPr>
              <w:spacing w:before="40" w:after="40"/>
              <w:jc w:val="center"/>
              <w:rPr>
                <w:sz w:val="22"/>
              </w:rPr>
            </w:pPr>
            <w:r w:rsidRPr="002B4A12">
              <w:rPr>
                <w:sz w:val="22"/>
              </w:rPr>
              <w:t>120,309</w:t>
            </w:r>
          </w:p>
        </w:tc>
      </w:tr>
      <w:tr w:rsidR="007F2B6C" w:rsidRPr="002B4A12" w14:paraId="172F0B2E" w14:textId="2BF6F474" w:rsidTr="009C43F1">
        <w:trPr>
          <w:trHeight w:val="20"/>
        </w:trPr>
        <w:tc>
          <w:tcPr>
            <w:tcW w:w="1727" w:type="pct"/>
            <w:noWrap/>
          </w:tcPr>
          <w:p w14:paraId="782B5594" w14:textId="77777777" w:rsidR="007F2B6C" w:rsidRPr="002B4A12" w:rsidRDefault="007F2B6C" w:rsidP="009C43F1">
            <w:pPr>
              <w:spacing w:before="40" w:after="40"/>
              <w:jc w:val="center"/>
              <w:rPr>
                <w:rFonts w:eastAsia="Arial Unicode MS"/>
                <w:sz w:val="22"/>
              </w:rPr>
            </w:pPr>
            <w:r w:rsidRPr="002B4A12">
              <w:rPr>
                <w:sz w:val="22"/>
              </w:rPr>
              <w:t>Religion not stated</w:t>
            </w:r>
          </w:p>
        </w:tc>
        <w:tc>
          <w:tcPr>
            <w:tcW w:w="930" w:type="pct"/>
          </w:tcPr>
          <w:p w14:paraId="317F012F" w14:textId="0D047BA6" w:rsidR="007F2B6C" w:rsidRPr="002B4A12" w:rsidRDefault="007F2B6C" w:rsidP="009C43F1">
            <w:pPr>
              <w:spacing w:before="40" w:after="40"/>
              <w:jc w:val="center"/>
              <w:rPr>
                <w:rFonts w:eastAsia="Arial Unicode MS"/>
                <w:sz w:val="22"/>
              </w:rPr>
            </w:pPr>
            <w:r w:rsidRPr="002B4A12">
              <w:rPr>
                <w:sz w:val="22"/>
              </w:rPr>
              <w:t>6.8</w:t>
            </w:r>
          </w:p>
        </w:tc>
        <w:tc>
          <w:tcPr>
            <w:tcW w:w="1172" w:type="pct"/>
          </w:tcPr>
          <w:p w14:paraId="41132995" w14:textId="63D5831C" w:rsidR="007F2B6C" w:rsidRPr="002B4A12" w:rsidRDefault="007F2B6C" w:rsidP="009C43F1">
            <w:pPr>
              <w:spacing w:before="40" w:after="40"/>
              <w:jc w:val="center"/>
              <w:rPr>
                <w:sz w:val="22"/>
              </w:rPr>
            </w:pPr>
            <w:r w:rsidRPr="002B4A12">
              <w:rPr>
                <w:sz w:val="22"/>
              </w:rPr>
              <w:t>5.5</w:t>
            </w:r>
          </w:p>
        </w:tc>
        <w:tc>
          <w:tcPr>
            <w:tcW w:w="1171" w:type="pct"/>
          </w:tcPr>
          <w:p w14:paraId="3C0CCBD3" w14:textId="4C914B85" w:rsidR="007F2B6C" w:rsidRPr="002B4A12" w:rsidRDefault="007F2B6C" w:rsidP="009C43F1">
            <w:pPr>
              <w:spacing w:before="40" w:after="40"/>
              <w:jc w:val="center"/>
              <w:rPr>
                <w:sz w:val="22"/>
              </w:rPr>
            </w:pPr>
            <w:r w:rsidRPr="002B4A12">
              <w:rPr>
                <w:sz w:val="22"/>
              </w:rPr>
              <w:t>15,273</w:t>
            </w:r>
          </w:p>
        </w:tc>
      </w:tr>
      <w:tr w:rsidR="007F2B6C" w:rsidRPr="002B4A12" w14:paraId="5C58CE92" w14:textId="51F434A5" w:rsidTr="009C43F1">
        <w:trPr>
          <w:trHeight w:val="20"/>
        </w:trPr>
        <w:tc>
          <w:tcPr>
            <w:tcW w:w="1727" w:type="pct"/>
            <w:noWrap/>
          </w:tcPr>
          <w:p w14:paraId="02CC9338" w14:textId="77777777" w:rsidR="007F2B6C" w:rsidRPr="002B4A12" w:rsidRDefault="007F2B6C" w:rsidP="009C43F1">
            <w:pPr>
              <w:spacing w:before="40" w:after="40"/>
              <w:jc w:val="center"/>
              <w:rPr>
                <w:rFonts w:eastAsia="Arial Unicode MS"/>
                <w:b/>
                <w:bCs/>
                <w:sz w:val="22"/>
              </w:rPr>
            </w:pPr>
            <w:r w:rsidRPr="002B4A12">
              <w:rPr>
                <w:rFonts w:eastAsia="Arial Unicode MS"/>
                <w:b/>
                <w:bCs/>
                <w:sz w:val="22"/>
              </w:rPr>
              <w:t>Total</w:t>
            </w:r>
          </w:p>
        </w:tc>
        <w:tc>
          <w:tcPr>
            <w:tcW w:w="930" w:type="pct"/>
          </w:tcPr>
          <w:p w14:paraId="7D3884F6" w14:textId="77777777" w:rsidR="007F2B6C" w:rsidRPr="002B4A12" w:rsidRDefault="007F2B6C" w:rsidP="009C43F1">
            <w:pPr>
              <w:spacing w:before="40" w:after="40"/>
              <w:jc w:val="center"/>
              <w:rPr>
                <w:rFonts w:eastAsia="Arial Unicode MS"/>
                <w:b/>
                <w:bCs/>
                <w:sz w:val="22"/>
              </w:rPr>
            </w:pPr>
            <w:r w:rsidRPr="002B4A12">
              <w:rPr>
                <w:b/>
                <w:bCs/>
                <w:sz w:val="22"/>
              </w:rPr>
              <w:t>100</w:t>
            </w:r>
          </w:p>
        </w:tc>
        <w:tc>
          <w:tcPr>
            <w:tcW w:w="1172" w:type="pct"/>
          </w:tcPr>
          <w:p w14:paraId="680D2BDE" w14:textId="77777777" w:rsidR="007F2B6C" w:rsidRPr="002B4A12" w:rsidRDefault="007F2B6C" w:rsidP="009C43F1">
            <w:pPr>
              <w:spacing w:before="40" w:after="40"/>
              <w:jc w:val="center"/>
              <w:rPr>
                <w:b/>
                <w:bCs/>
                <w:sz w:val="22"/>
              </w:rPr>
            </w:pPr>
            <w:r w:rsidRPr="002B4A12">
              <w:rPr>
                <w:b/>
                <w:bCs/>
                <w:sz w:val="22"/>
              </w:rPr>
              <w:t>100</w:t>
            </w:r>
          </w:p>
        </w:tc>
        <w:tc>
          <w:tcPr>
            <w:tcW w:w="1171" w:type="pct"/>
          </w:tcPr>
          <w:p w14:paraId="2094735D" w14:textId="222E491A" w:rsidR="007F2B6C" w:rsidRPr="002B4A12" w:rsidRDefault="007F2B6C" w:rsidP="009C43F1">
            <w:pPr>
              <w:spacing w:before="40" w:after="40"/>
              <w:jc w:val="center"/>
              <w:rPr>
                <w:b/>
                <w:bCs/>
                <w:sz w:val="22"/>
              </w:rPr>
            </w:pPr>
            <w:r w:rsidRPr="002B4A12">
              <w:rPr>
                <w:b/>
                <w:bCs/>
                <w:sz w:val="22"/>
              </w:rPr>
              <w:t>279,771</w:t>
            </w:r>
          </w:p>
        </w:tc>
      </w:tr>
    </w:tbl>
    <w:p w14:paraId="76869C4D" w14:textId="77777777" w:rsidR="006333CE" w:rsidRPr="005B7332" w:rsidRDefault="006333CE" w:rsidP="007D12AF">
      <w:pPr>
        <w:rPr>
          <w:rFonts w:ascii="Helvetica" w:hAnsi="Helvetica" w:cs="Helvetica"/>
          <w:szCs w:val="26"/>
        </w:rPr>
      </w:pPr>
    </w:p>
    <w:p w14:paraId="4C4765B6" w14:textId="3F1A200F" w:rsidR="00206DBD" w:rsidRPr="009B2D40" w:rsidRDefault="00DE0A77" w:rsidP="004409F6">
      <w:pPr>
        <w:pStyle w:val="Heading2"/>
        <w:rPr>
          <w:sz w:val="28"/>
          <w:szCs w:val="28"/>
        </w:rPr>
      </w:pPr>
      <w:r w:rsidRPr="009B2D40">
        <w:rPr>
          <w:sz w:val="28"/>
          <w:szCs w:val="28"/>
        </w:rPr>
        <w:t>Medway Council workforce: Profile</w:t>
      </w:r>
    </w:p>
    <w:p w14:paraId="6E7E3A48" w14:textId="63AF045E" w:rsidR="007D12AF" w:rsidRDefault="007D12AF" w:rsidP="005B7332">
      <w:pPr>
        <w:ind w:right="-425"/>
        <w:jc w:val="both"/>
      </w:pPr>
      <w:r w:rsidRPr="0029022B">
        <w:t>The council is committed to providing equal opportunities and access to all, and its employment policies aim to ensure that no employee is discriminated against, either directly or indirectly, or victimised on the grounds of their race, disability, sex, sexual orientation, religion or belief, age, marital or civil partnership status, any stage of gender reassignment or any other protected characteristic as stated under the under the Equality Act 2010.</w:t>
      </w:r>
    </w:p>
    <w:p w14:paraId="3928793B" w14:textId="77777777" w:rsidR="001F03F5" w:rsidRPr="005B7332" w:rsidRDefault="001F03F5" w:rsidP="005B7332">
      <w:pPr>
        <w:ind w:right="-425"/>
        <w:jc w:val="both"/>
      </w:pPr>
    </w:p>
    <w:p w14:paraId="7B8ED8E9" w14:textId="7DB8060B" w:rsidR="007D12AF" w:rsidRDefault="007D12AF" w:rsidP="005B7332">
      <w:pPr>
        <w:ind w:right="-425"/>
        <w:jc w:val="both"/>
        <w:rPr>
          <w:rFonts w:cs="Calibri"/>
        </w:rPr>
      </w:pPr>
      <w:r w:rsidRPr="0029022B">
        <w:rPr>
          <w:rFonts w:cs="Calibri"/>
        </w:rPr>
        <w:t xml:space="preserve">The council’s commitment to equalities and its </w:t>
      </w:r>
      <w:r w:rsidRPr="7C884632">
        <w:rPr>
          <w:rFonts w:cs="Calibri"/>
          <w:i/>
          <w:iCs/>
        </w:rPr>
        <w:t>Be Yourself at Work</w:t>
      </w:r>
      <w:r w:rsidRPr="0029022B">
        <w:rPr>
          <w:rFonts w:cs="Calibri"/>
        </w:rPr>
        <w:t xml:space="preserve"> campaign strives to enable employees to feel comfortable to be themselves at work. </w:t>
      </w:r>
      <w:r w:rsidR="00D16A8F">
        <w:rPr>
          <w:rFonts w:cs="Calibri"/>
        </w:rPr>
        <w:t xml:space="preserve"> </w:t>
      </w:r>
      <w:r w:rsidRPr="0029022B">
        <w:rPr>
          <w:rFonts w:cs="Calibri"/>
        </w:rPr>
        <w:t xml:space="preserve">This is not only good for the employee, but it is accepted that those who can be themselves at work perform better. </w:t>
      </w:r>
      <w:r w:rsidRPr="00F57746">
        <w:rPr>
          <w:rFonts w:cs="Calibri"/>
        </w:rPr>
        <w:t xml:space="preserve">The council undertook an anonymous voluntary employee engagement survey in September 2022 and achieved a 58% response rate. </w:t>
      </w:r>
      <w:r w:rsidR="00D16A8F">
        <w:rPr>
          <w:rFonts w:cs="Calibri"/>
        </w:rPr>
        <w:t xml:space="preserve"> </w:t>
      </w:r>
      <w:r w:rsidRPr="00F57746">
        <w:rPr>
          <w:rFonts w:cs="Calibri"/>
        </w:rPr>
        <w:t xml:space="preserve">There were questions about how engaged people felt within the organisation this showed an employee engagement level of 63% amongst those who responded. </w:t>
      </w:r>
      <w:r w:rsidR="00D16A8F">
        <w:rPr>
          <w:rFonts w:cs="Calibri"/>
        </w:rPr>
        <w:t xml:space="preserve"> </w:t>
      </w:r>
      <w:r w:rsidRPr="00F57746">
        <w:rPr>
          <w:rFonts w:cs="Calibri"/>
        </w:rPr>
        <w:t>The survey included several questions relating to equalities and the culture of the council.</w:t>
      </w:r>
    </w:p>
    <w:p w14:paraId="2F183D78" w14:textId="77777777" w:rsidR="001F03F5" w:rsidRPr="005B7332" w:rsidRDefault="001F03F5" w:rsidP="005B7332">
      <w:pPr>
        <w:ind w:right="-425"/>
        <w:jc w:val="both"/>
        <w:rPr>
          <w:rFonts w:cs="Calibri"/>
        </w:rPr>
      </w:pPr>
    </w:p>
    <w:p w14:paraId="32244D1E" w14:textId="77777777" w:rsidR="007D12AF" w:rsidRDefault="007D12AF" w:rsidP="005B7332">
      <w:pPr>
        <w:ind w:right="-425"/>
        <w:jc w:val="both"/>
        <w:rPr>
          <w:rFonts w:cs="Calibri"/>
        </w:rPr>
      </w:pPr>
      <w:r w:rsidRPr="00F57746">
        <w:rPr>
          <w:rFonts w:cs="Calibri"/>
        </w:rPr>
        <w:t xml:space="preserve">When asked whether respondents felt comfortable to be themselves at work without fear of discrimination, a positive 82% either agreed or strongly agreed that they could. </w:t>
      </w:r>
      <w:r w:rsidRPr="00F57746">
        <w:rPr>
          <w:bCs/>
        </w:rPr>
        <w:t>discrimination</w:t>
      </w:r>
      <w:r w:rsidRPr="00F57746">
        <w:rPr>
          <w:rFonts w:cs="Calibri"/>
        </w:rPr>
        <w:t>.</w:t>
      </w:r>
    </w:p>
    <w:p w14:paraId="44B1AFE5" w14:textId="77777777" w:rsidR="001F03F5" w:rsidRDefault="001F03F5" w:rsidP="005B7332">
      <w:pPr>
        <w:ind w:right="-425"/>
        <w:jc w:val="both"/>
        <w:rPr>
          <w:rFonts w:cs="Calibri"/>
        </w:rPr>
      </w:pPr>
    </w:p>
    <w:p w14:paraId="35AF5616" w14:textId="17CCC417" w:rsidR="007D12AF" w:rsidRDefault="007D12AF" w:rsidP="005B7332">
      <w:pPr>
        <w:ind w:right="-425"/>
        <w:jc w:val="both"/>
      </w:pPr>
      <w:r w:rsidRPr="009B25F6">
        <w:t xml:space="preserve">Medway Council employs </w:t>
      </w:r>
      <w:r w:rsidR="005450F3">
        <w:t>2,992</w:t>
      </w:r>
      <w:r w:rsidRPr="009B25F6">
        <w:t xml:space="preserve"> people (as of 1 January </w:t>
      </w:r>
      <w:r w:rsidR="005450F3" w:rsidRPr="009B25F6">
        <w:t>202</w:t>
      </w:r>
      <w:r w:rsidR="005450F3">
        <w:t>4</w:t>
      </w:r>
      <w:r w:rsidRPr="009B25F6">
        <w:t xml:space="preserve">, excluding staff based in schools). </w:t>
      </w:r>
      <w:r w:rsidR="00D16A8F">
        <w:t xml:space="preserve"> </w:t>
      </w:r>
      <w:r w:rsidRPr="009B25F6">
        <w:t xml:space="preserve">The People directorate is the largest employing </w:t>
      </w:r>
      <w:r w:rsidR="005450F3">
        <w:t>1242</w:t>
      </w:r>
      <w:r w:rsidRPr="009B25F6">
        <w:t xml:space="preserve"> staff followed by the Place directorate employing </w:t>
      </w:r>
      <w:r w:rsidR="005450F3">
        <w:t>1171</w:t>
      </w:r>
      <w:r w:rsidRPr="009B25F6">
        <w:t xml:space="preserve">, the Business Support Department employing </w:t>
      </w:r>
      <w:r w:rsidR="005450F3">
        <w:t>579</w:t>
      </w:r>
      <w:r w:rsidRPr="009B25F6">
        <w:t xml:space="preserve"> staff. </w:t>
      </w:r>
    </w:p>
    <w:p w14:paraId="2D36202C" w14:textId="77777777" w:rsidR="001F03F5" w:rsidRPr="005B7332" w:rsidRDefault="001F03F5" w:rsidP="005B7332">
      <w:pPr>
        <w:ind w:right="-425"/>
        <w:jc w:val="both"/>
      </w:pPr>
    </w:p>
    <w:p w14:paraId="228649D5" w14:textId="258B7602" w:rsidR="007D12AF" w:rsidRDefault="007D12AF" w:rsidP="005B7332">
      <w:pPr>
        <w:ind w:right="-425"/>
        <w:jc w:val="both"/>
      </w:pPr>
      <w:r w:rsidRPr="009B25F6">
        <w:t xml:space="preserve">Women represent 74% of the council workforce (excluding staff based in schools). </w:t>
      </w:r>
      <w:r w:rsidR="00D16A8F">
        <w:t xml:space="preserve"> </w:t>
      </w:r>
      <w:r w:rsidRPr="009B25F6">
        <w:t>In terms of ethnicity, most staff classify themselves as White (</w:t>
      </w:r>
      <w:r w:rsidR="005450F3">
        <w:t>78</w:t>
      </w:r>
      <w:r w:rsidRPr="009B25F6">
        <w:t xml:space="preserve">%) with </w:t>
      </w:r>
      <w:r w:rsidR="005450F3" w:rsidRPr="009B25F6">
        <w:t>1</w:t>
      </w:r>
      <w:r w:rsidR="005450F3">
        <w:t>4</w:t>
      </w:r>
      <w:r w:rsidRPr="009B25F6">
        <w:t xml:space="preserve">% Minority Ethnic, and </w:t>
      </w:r>
      <w:r w:rsidR="00555F14">
        <w:t>8</w:t>
      </w:r>
      <w:r w:rsidRPr="009B25F6">
        <w:t>% for whom the information is incomplete or has been refused.</w:t>
      </w:r>
    </w:p>
    <w:p w14:paraId="533B86AB" w14:textId="77777777" w:rsidR="009D5CA2" w:rsidRDefault="009D5CA2" w:rsidP="005B7332">
      <w:pPr>
        <w:ind w:right="-425"/>
        <w:jc w:val="both"/>
      </w:pPr>
    </w:p>
    <w:p w14:paraId="6A82F611" w14:textId="0AB31F77" w:rsidR="00DE0A77" w:rsidRPr="000F3118" w:rsidRDefault="00DE0A77" w:rsidP="00314379">
      <w:pPr>
        <w:pStyle w:val="Heading3"/>
      </w:pPr>
      <w:r w:rsidRPr="000F3118">
        <w:t>Medway Council workforce: Sex (</w:t>
      </w:r>
      <w:r w:rsidR="00D8262E" w:rsidRPr="000F3118">
        <w:t>non-</w:t>
      </w:r>
      <w:r w:rsidR="0092057F" w:rsidRPr="000F3118">
        <w:t>schools’</w:t>
      </w:r>
      <w:r w:rsidRPr="000F3118">
        <w:t xml:space="preserve"> staff)</w:t>
      </w:r>
    </w:p>
    <w:p w14:paraId="7CF8C066" w14:textId="77777777" w:rsidR="00685D5F" w:rsidRDefault="00685D5F" w:rsidP="005B7332">
      <w:pPr>
        <w:rPr>
          <w:bCs/>
          <w:sz w:val="18"/>
          <w:szCs w:val="18"/>
        </w:rPr>
      </w:pPr>
    </w:p>
    <w:p w14:paraId="6BA67D82" w14:textId="61AEFC40" w:rsidR="006333CE" w:rsidRPr="0029022B" w:rsidRDefault="006333CE" w:rsidP="005B7332">
      <w:pPr>
        <w:jc w:val="center"/>
        <w:rPr>
          <w:bCs/>
          <w:sz w:val="18"/>
          <w:szCs w:val="18"/>
        </w:rPr>
      </w:pPr>
      <w:r w:rsidRPr="0029022B">
        <w:rPr>
          <w:bCs/>
          <w:sz w:val="18"/>
          <w:szCs w:val="18"/>
        </w:rPr>
        <w:t xml:space="preserve">Table </w:t>
      </w:r>
      <w:r w:rsidR="00D71A9C">
        <w:rPr>
          <w:bCs/>
          <w:sz w:val="18"/>
          <w:szCs w:val="18"/>
        </w:rPr>
        <w:t>9</w:t>
      </w:r>
      <w:r w:rsidRPr="0029022B">
        <w:rPr>
          <w:bCs/>
          <w:sz w:val="18"/>
          <w:szCs w:val="18"/>
        </w:rPr>
        <w:t xml:space="preserve"> Medway Council – </w:t>
      </w:r>
      <w:r w:rsidR="00897ECB">
        <w:rPr>
          <w:bCs/>
          <w:sz w:val="18"/>
          <w:szCs w:val="18"/>
        </w:rPr>
        <w:t>Sex</w:t>
      </w:r>
    </w:p>
    <w:tbl>
      <w:tblPr>
        <w:tblStyle w:val="TableGrid"/>
        <w:tblW w:w="5130" w:type="pct"/>
        <w:tblLayout w:type="fixed"/>
        <w:tblLook w:val="0020" w:firstRow="1" w:lastRow="0" w:firstColumn="0" w:lastColumn="0" w:noHBand="0" w:noVBand="0"/>
        <w:tblCaption w:val="Table 9 Medway Council – Sex"/>
        <w:tblDescription w:val="Table 9 shows that males are underrepresented in the workforce with 25.6% compared to 49.0% in the community. "/>
      </w:tblPr>
      <w:tblGrid>
        <w:gridCol w:w="1448"/>
        <w:gridCol w:w="1477"/>
        <w:gridCol w:w="1800"/>
        <w:gridCol w:w="1464"/>
        <w:gridCol w:w="1240"/>
        <w:gridCol w:w="1869"/>
      </w:tblGrid>
      <w:tr w:rsidR="007D12AF" w:rsidRPr="0029022B" w14:paraId="59070C70" w14:textId="77777777" w:rsidTr="006778D0">
        <w:trPr>
          <w:trHeight w:val="900"/>
        </w:trPr>
        <w:tc>
          <w:tcPr>
            <w:tcW w:w="779" w:type="pct"/>
            <w:noWrap/>
          </w:tcPr>
          <w:p w14:paraId="6D29D451" w14:textId="4044E327" w:rsidR="007D12AF" w:rsidRPr="00EE4059" w:rsidRDefault="007D12AF" w:rsidP="00A54C12">
            <w:pPr>
              <w:spacing w:before="40" w:after="40"/>
              <w:jc w:val="center"/>
              <w:rPr>
                <w:rFonts w:eastAsia="Arial Unicode MS"/>
                <w:sz w:val="22"/>
                <w:szCs w:val="22"/>
              </w:rPr>
            </w:pPr>
            <w:r w:rsidRPr="00EE4059">
              <w:rPr>
                <w:sz w:val="22"/>
                <w:szCs w:val="22"/>
              </w:rPr>
              <w:t>Sex – Jan 2023</w:t>
            </w:r>
          </w:p>
        </w:tc>
        <w:tc>
          <w:tcPr>
            <w:tcW w:w="794" w:type="pct"/>
          </w:tcPr>
          <w:p w14:paraId="78C31D6F" w14:textId="77777777" w:rsidR="007D12AF" w:rsidRPr="00EE4059" w:rsidRDefault="007D12AF" w:rsidP="00A54C12">
            <w:pPr>
              <w:spacing w:before="40" w:after="40"/>
              <w:jc w:val="center"/>
              <w:rPr>
                <w:rFonts w:eastAsia="Arial Unicode MS"/>
                <w:sz w:val="22"/>
                <w:szCs w:val="22"/>
              </w:rPr>
            </w:pPr>
            <w:r w:rsidRPr="00EE4059">
              <w:rPr>
                <w:sz w:val="22"/>
                <w:szCs w:val="22"/>
              </w:rPr>
              <w:t>Business Support Department</w:t>
            </w:r>
          </w:p>
        </w:tc>
        <w:tc>
          <w:tcPr>
            <w:tcW w:w="968" w:type="pct"/>
          </w:tcPr>
          <w:p w14:paraId="704D2ED2" w14:textId="3EEE5FDD" w:rsidR="007D12AF" w:rsidRPr="00EE4059" w:rsidRDefault="007D12AF" w:rsidP="00A54C12">
            <w:pPr>
              <w:spacing w:before="40" w:after="40"/>
              <w:jc w:val="center"/>
              <w:rPr>
                <w:rFonts w:eastAsia="Arial Unicode MS"/>
                <w:sz w:val="22"/>
                <w:szCs w:val="22"/>
              </w:rPr>
            </w:pPr>
            <w:r w:rsidRPr="00EE4059">
              <w:rPr>
                <w:sz w:val="22"/>
                <w:szCs w:val="22"/>
              </w:rPr>
              <w:t>People directorate</w:t>
            </w:r>
          </w:p>
        </w:tc>
        <w:tc>
          <w:tcPr>
            <w:tcW w:w="787" w:type="pct"/>
          </w:tcPr>
          <w:p w14:paraId="5C0A2619" w14:textId="1182691C" w:rsidR="007D12AF" w:rsidRPr="00EE4059" w:rsidRDefault="007D12AF" w:rsidP="00A54C12">
            <w:pPr>
              <w:spacing w:before="40" w:after="40"/>
              <w:jc w:val="center"/>
              <w:rPr>
                <w:rFonts w:eastAsia="Arial Unicode MS"/>
                <w:sz w:val="22"/>
                <w:szCs w:val="22"/>
              </w:rPr>
            </w:pPr>
            <w:r w:rsidRPr="00EE4059">
              <w:rPr>
                <w:sz w:val="22"/>
                <w:szCs w:val="22"/>
              </w:rPr>
              <w:t>Place directorate</w:t>
            </w:r>
          </w:p>
        </w:tc>
        <w:tc>
          <w:tcPr>
            <w:tcW w:w="667" w:type="pct"/>
          </w:tcPr>
          <w:p w14:paraId="055C9FEC" w14:textId="77777777" w:rsidR="007D12AF" w:rsidRPr="00EE4059" w:rsidRDefault="007D12AF" w:rsidP="00A54C12">
            <w:pPr>
              <w:spacing w:before="40" w:after="40"/>
              <w:jc w:val="center"/>
              <w:rPr>
                <w:rFonts w:eastAsia="Arial Unicode MS"/>
                <w:sz w:val="22"/>
                <w:szCs w:val="22"/>
              </w:rPr>
            </w:pPr>
            <w:r w:rsidRPr="00EE4059">
              <w:rPr>
                <w:sz w:val="22"/>
                <w:szCs w:val="22"/>
              </w:rPr>
              <w:t>Medway Council</w:t>
            </w:r>
          </w:p>
        </w:tc>
        <w:tc>
          <w:tcPr>
            <w:tcW w:w="1005" w:type="pct"/>
          </w:tcPr>
          <w:p w14:paraId="4D6FE73E" w14:textId="77777777" w:rsidR="007D12AF" w:rsidRPr="00EE4059" w:rsidRDefault="007D12AF" w:rsidP="00A54C12">
            <w:pPr>
              <w:spacing w:before="40" w:after="40"/>
              <w:jc w:val="center"/>
              <w:rPr>
                <w:sz w:val="22"/>
                <w:szCs w:val="22"/>
              </w:rPr>
            </w:pPr>
            <w:r w:rsidRPr="00EE4059">
              <w:rPr>
                <w:sz w:val="22"/>
                <w:szCs w:val="22"/>
              </w:rPr>
              <w:t>Medway Community (Aged 16 to 64)</w:t>
            </w:r>
          </w:p>
        </w:tc>
      </w:tr>
      <w:tr w:rsidR="007D12AF" w:rsidRPr="0029022B" w14:paraId="389A14C3" w14:textId="77777777" w:rsidTr="006778D0">
        <w:trPr>
          <w:trHeight w:val="300"/>
        </w:trPr>
        <w:tc>
          <w:tcPr>
            <w:tcW w:w="779" w:type="pct"/>
            <w:noWrap/>
          </w:tcPr>
          <w:p w14:paraId="7E75197F" w14:textId="77777777" w:rsidR="007D12AF" w:rsidRPr="00D71A9C" w:rsidRDefault="007D12AF" w:rsidP="00A54C12">
            <w:pPr>
              <w:spacing w:before="40" w:after="40"/>
              <w:rPr>
                <w:rFonts w:eastAsia="Arial Unicode MS"/>
                <w:sz w:val="22"/>
                <w:szCs w:val="22"/>
              </w:rPr>
            </w:pPr>
            <w:r w:rsidRPr="00D71A9C">
              <w:rPr>
                <w:sz w:val="22"/>
                <w:szCs w:val="22"/>
              </w:rPr>
              <w:t>Women</w:t>
            </w:r>
          </w:p>
        </w:tc>
        <w:tc>
          <w:tcPr>
            <w:tcW w:w="794" w:type="pct"/>
            <w:noWrap/>
          </w:tcPr>
          <w:p w14:paraId="6D602428" w14:textId="23CEE5A6" w:rsidR="007D12AF" w:rsidRPr="00D71A9C" w:rsidRDefault="005F7B02" w:rsidP="00A54C12">
            <w:pPr>
              <w:spacing w:before="40" w:after="40"/>
              <w:ind w:right="380"/>
              <w:jc w:val="right"/>
              <w:rPr>
                <w:sz w:val="22"/>
                <w:szCs w:val="22"/>
              </w:rPr>
            </w:pPr>
            <w:r w:rsidRPr="00D71A9C">
              <w:rPr>
                <w:sz w:val="22"/>
                <w:szCs w:val="22"/>
              </w:rPr>
              <w:t>73</w:t>
            </w:r>
            <w:r w:rsidR="007D12AF" w:rsidRPr="00D71A9C">
              <w:rPr>
                <w:sz w:val="22"/>
                <w:szCs w:val="22"/>
              </w:rPr>
              <w:t>.</w:t>
            </w:r>
            <w:r w:rsidRPr="00D71A9C">
              <w:rPr>
                <w:sz w:val="22"/>
                <w:szCs w:val="22"/>
              </w:rPr>
              <w:t>2</w:t>
            </w:r>
            <w:r w:rsidR="007D12AF" w:rsidRPr="00D71A9C">
              <w:rPr>
                <w:sz w:val="22"/>
                <w:szCs w:val="22"/>
              </w:rPr>
              <w:t>%</w:t>
            </w:r>
          </w:p>
        </w:tc>
        <w:tc>
          <w:tcPr>
            <w:tcW w:w="968" w:type="pct"/>
            <w:noWrap/>
          </w:tcPr>
          <w:p w14:paraId="1C57F8A9" w14:textId="654E0D28" w:rsidR="007D12AF" w:rsidRPr="00D71A9C" w:rsidRDefault="005F7B02" w:rsidP="00A54C12">
            <w:pPr>
              <w:spacing w:before="40" w:after="40"/>
              <w:ind w:right="300"/>
              <w:jc w:val="right"/>
              <w:rPr>
                <w:sz w:val="22"/>
                <w:szCs w:val="22"/>
              </w:rPr>
            </w:pPr>
            <w:r w:rsidRPr="00D71A9C">
              <w:rPr>
                <w:sz w:val="22"/>
                <w:szCs w:val="22"/>
              </w:rPr>
              <w:t>83.5</w:t>
            </w:r>
            <w:r w:rsidR="007D12AF" w:rsidRPr="00D71A9C">
              <w:rPr>
                <w:sz w:val="22"/>
                <w:szCs w:val="22"/>
              </w:rPr>
              <w:t>%</w:t>
            </w:r>
          </w:p>
        </w:tc>
        <w:tc>
          <w:tcPr>
            <w:tcW w:w="787" w:type="pct"/>
          </w:tcPr>
          <w:p w14:paraId="75EB350C" w14:textId="4E12E549" w:rsidR="007D12AF" w:rsidRPr="00D71A9C" w:rsidRDefault="005F7B02" w:rsidP="00A54C12">
            <w:pPr>
              <w:spacing w:before="40" w:after="40"/>
              <w:ind w:right="321"/>
              <w:jc w:val="right"/>
              <w:rPr>
                <w:sz w:val="22"/>
                <w:szCs w:val="22"/>
              </w:rPr>
            </w:pPr>
            <w:r w:rsidRPr="00D71A9C">
              <w:rPr>
                <w:sz w:val="22"/>
                <w:szCs w:val="22"/>
              </w:rPr>
              <w:t>65.4</w:t>
            </w:r>
            <w:r w:rsidR="007D12AF" w:rsidRPr="00D71A9C">
              <w:rPr>
                <w:sz w:val="22"/>
                <w:szCs w:val="22"/>
              </w:rPr>
              <w:t>%</w:t>
            </w:r>
          </w:p>
        </w:tc>
        <w:tc>
          <w:tcPr>
            <w:tcW w:w="667" w:type="pct"/>
            <w:noWrap/>
          </w:tcPr>
          <w:p w14:paraId="6605DCBF" w14:textId="38E42DD6" w:rsidR="007D12AF" w:rsidRPr="00D71A9C" w:rsidRDefault="005F7B02" w:rsidP="00A54C12">
            <w:pPr>
              <w:spacing w:before="40" w:after="40"/>
              <w:ind w:right="207"/>
              <w:jc w:val="right"/>
              <w:rPr>
                <w:sz w:val="22"/>
                <w:szCs w:val="22"/>
              </w:rPr>
            </w:pPr>
            <w:r w:rsidRPr="00D71A9C">
              <w:rPr>
                <w:sz w:val="22"/>
                <w:szCs w:val="22"/>
              </w:rPr>
              <w:t>74.4</w:t>
            </w:r>
            <w:r w:rsidR="007D12AF" w:rsidRPr="00D71A9C">
              <w:rPr>
                <w:sz w:val="22"/>
                <w:szCs w:val="22"/>
              </w:rPr>
              <w:t>%</w:t>
            </w:r>
          </w:p>
        </w:tc>
        <w:tc>
          <w:tcPr>
            <w:tcW w:w="1005" w:type="pct"/>
          </w:tcPr>
          <w:p w14:paraId="09F289B8" w14:textId="4C493371" w:rsidR="007D12AF" w:rsidRPr="00D71A9C" w:rsidRDefault="007D12AF" w:rsidP="00A54C12">
            <w:pPr>
              <w:spacing w:before="40" w:after="40"/>
              <w:ind w:right="283"/>
              <w:jc w:val="right"/>
              <w:rPr>
                <w:sz w:val="22"/>
                <w:szCs w:val="22"/>
              </w:rPr>
            </w:pPr>
            <w:r w:rsidRPr="00D71A9C">
              <w:rPr>
                <w:sz w:val="22"/>
                <w:szCs w:val="22"/>
              </w:rPr>
              <w:t>51.0%</w:t>
            </w:r>
          </w:p>
        </w:tc>
      </w:tr>
      <w:tr w:rsidR="007D12AF" w:rsidRPr="0029022B" w14:paraId="5BB42D85" w14:textId="77777777" w:rsidTr="006778D0">
        <w:trPr>
          <w:trHeight w:val="300"/>
        </w:trPr>
        <w:tc>
          <w:tcPr>
            <w:tcW w:w="779" w:type="pct"/>
            <w:noWrap/>
          </w:tcPr>
          <w:p w14:paraId="0A1B4A2B" w14:textId="77777777" w:rsidR="007D12AF" w:rsidRPr="00D71A9C" w:rsidRDefault="007D12AF" w:rsidP="00A54C12">
            <w:pPr>
              <w:spacing w:before="40" w:after="40"/>
              <w:rPr>
                <w:rFonts w:eastAsia="Arial Unicode MS"/>
                <w:sz w:val="22"/>
                <w:szCs w:val="22"/>
              </w:rPr>
            </w:pPr>
            <w:r w:rsidRPr="00D71A9C">
              <w:rPr>
                <w:sz w:val="22"/>
                <w:szCs w:val="22"/>
              </w:rPr>
              <w:t>Men</w:t>
            </w:r>
          </w:p>
        </w:tc>
        <w:tc>
          <w:tcPr>
            <w:tcW w:w="794" w:type="pct"/>
            <w:noWrap/>
          </w:tcPr>
          <w:p w14:paraId="53F9187B" w14:textId="69C9F103" w:rsidR="007D12AF" w:rsidRPr="00D71A9C" w:rsidRDefault="005F7B02" w:rsidP="00A54C12">
            <w:pPr>
              <w:spacing w:before="40" w:after="40"/>
              <w:ind w:right="380"/>
              <w:jc w:val="right"/>
              <w:rPr>
                <w:sz w:val="22"/>
                <w:szCs w:val="22"/>
              </w:rPr>
            </w:pPr>
            <w:r w:rsidRPr="00D71A9C">
              <w:rPr>
                <w:sz w:val="22"/>
                <w:szCs w:val="22"/>
              </w:rPr>
              <w:t>26</w:t>
            </w:r>
            <w:r w:rsidR="007D12AF" w:rsidRPr="00D71A9C">
              <w:rPr>
                <w:sz w:val="22"/>
                <w:szCs w:val="22"/>
              </w:rPr>
              <w:t>.</w:t>
            </w:r>
            <w:r w:rsidRPr="00D71A9C">
              <w:rPr>
                <w:sz w:val="22"/>
                <w:szCs w:val="22"/>
              </w:rPr>
              <w:t>8</w:t>
            </w:r>
            <w:r w:rsidR="007D12AF" w:rsidRPr="00D71A9C">
              <w:rPr>
                <w:sz w:val="22"/>
                <w:szCs w:val="22"/>
              </w:rPr>
              <w:t>%</w:t>
            </w:r>
          </w:p>
        </w:tc>
        <w:tc>
          <w:tcPr>
            <w:tcW w:w="968" w:type="pct"/>
            <w:noWrap/>
          </w:tcPr>
          <w:p w14:paraId="162CFDC1" w14:textId="6791DF3E" w:rsidR="007D12AF" w:rsidRPr="00D71A9C" w:rsidRDefault="005F7B02" w:rsidP="00A54C12">
            <w:pPr>
              <w:spacing w:before="40" w:after="40"/>
              <w:ind w:right="300"/>
              <w:jc w:val="right"/>
              <w:rPr>
                <w:sz w:val="22"/>
                <w:szCs w:val="22"/>
              </w:rPr>
            </w:pPr>
            <w:r w:rsidRPr="00D71A9C">
              <w:rPr>
                <w:sz w:val="22"/>
                <w:szCs w:val="22"/>
              </w:rPr>
              <w:t>16.5</w:t>
            </w:r>
            <w:r w:rsidR="007D12AF" w:rsidRPr="00D71A9C">
              <w:rPr>
                <w:sz w:val="22"/>
                <w:szCs w:val="22"/>
              </w:rPr>
              <w:t>%</w:t>
            </w:r>
          </w:p>
        </w:tc>
        <w:tc>
          <w:tcPr>
            <w:tcW w:w="787" w:type="pct"/>
          </w:tcPr>
          <w:p w14:paraId="570F8B23" w14:textId="6D6AFE6D" w:rsidR="007D12AF" w:rsidRPr="00D71A9C" w:rsidRDefault="005F7B02" w:rsidP="00A54C12">
            <w:pPr>
              <w:spacing w:before="40" w:after="40"/>
              <w:ind w:right="321"/>
              <w:jc w:val="right"/>
              <w:rPr>
                <w:sz w:val="22"/>
                <w:szCs w:val="22"/>
              </w:rPr>
            </w:pPr>
            <w:r w:rsidRPr="00D71A9C">
              <w:rPr>
                <w:sz w:val="22"/>
                <w:szCs w:val="22"/>
              </w:rPr>
              <w:t>34.6</w:t>
            </w:r>
            <w:r w:rsidR="007D12AF" w:rsidRPr="00D71A9C">
              <w:rPr>
                <w:sz w:val="22"/>
                <w:szCs w:val="22"/>
              </w:rPr>
              <w:t>%</w:t>
            </w:r>
          </w:p>
        </w:tc>
        <w:tc>
          <w:tcPr>
            <w:tcW w:w="667" w:type="pct"/>
            <w:noWrap/>
          </w:tcPr>
          <w:p w14:paraId="29E156B7" w14:textId="1C4EF13A" w:rsidR="007D12AF" w:rsidRPr="00D71A9C" w:rsidRDefault="005F7B02" w:rsidP="00A54C12">
            <w:pPr>
              <w:spacing w:before="40" w:after="40"/>
              <w:ind w:right="207"/>
              <w:jc w:val="right"/>
              <w:rPr>
                <w:sz w:val="22"/>
                <w:szCs w:val="22"/>
              </w:rPr>
            </w:pPr>
            <w:r w:rsidRPr="00D71A9C">
              <w:rPr>
                <w:sz w:val="22"/>
                <w:szCs w:val="22"/>
              </w:rPr>
              <w:t>25.6</w:t>
            </w:r>
            <w:r w:rsidR="007D12AF" w:rsidRPr="00D71A9C">
              <w:rPr>
                <w:sz w:val="22"/>
                <w:szCs w:val="22"/>
              </w:rPr>
              <w:t>%</w:t>
            </w:r>
          </w:p>
        </w:tc>
        <w:tc>
          <w:tcPr>
            <w:tcW w:w="1005" w:type="pct"/>
          </w:tcPr>
          <w:p w14:paraId="44C88572" w14:textId="56A63C1B" w:rsidR="007D12AF" w:rsidRPr="00D71A9C" w:rsidRDefault="007D12AF" w:rsidP="00A54C12">
            <w:pPr>
              <w:spacing w:before="40" w:after="40"/>
              <w:ind w:right="283"/>
              <w:jc w:val="right"/>
              <w:rPr>
                <w:sz w:val="22"/>
                <w:szCs w:val="22"/>
              </w:rPr>
            </w:pPr>
            <w:r w:rsidRPr="00D71A9C">
              <w:rPr>
                <w:sz w:val="22"/>
                <w:szCs w:val="22"/>
              </w:rPr>
              <w:t>49.0%</w:t>
            </w:r>
          </w:p>
        </w:tc>
      </w:tr>
      <w:tr w:rsidR="007D12AF" w:rsidRPr="0029022B" w14:paraId="28C04A96" w14:textId="77777777" w:rsidTr="006778D0">
        <w:trPr>
          <w:trHeight w:val="300"/>
        </w:trPr>
        <w:tc>
          <w:tcPr>
            <w:tcW w:w="779" w:type="pct"/>
            <w:noWrap/>
          </w:tcPr>
          <w:p w14:paraId="2A432F9E" w14:textId="77777777" w:rsidR="007D12AF" w:rsidRPr="00D71A9C" w:rsidRDefault="007D12AF" w:rsidP="00A54C12">
            <w:pPr>
              <w:spacing w:before="40" w:after="40"/>
              <w:rPr>
                <w:rFonts w:eastAsia="Arial Unicode MS"/>
                <w:sz w:val="22"/>
                <w:szCs w:val="22"/>
              </w:rPr>
            </w:pPr>
            <w:r w:rsidRPr="00D71A9C">
              <w:rPr>
                <w:sz w:val="22"/>
                <w:szCs w:val="22"/>
              </w:rPr>
              <w:t>Total</w:t>
            </w:r>
          </w:p>
        </w:tc>
        <w:tc>
          <w:tcPr>
            <w:tcW w:w="794" w:type="pct"/>
            <w:noWrap/>
          </w:tcPr>
          <w:p w14:paraId="6E86943E" w14:textId="77777777" w:rsidR="007D12AF" w:rsidRPr="00D71A9C" w:rsidRDefault="007D12AF" w:rsidP="00A54C12">
            <w:pPr>
              <w:spacing w:before="40" w:after="40"/>
              <w:ind w:right="380"/>
              <w:jc w:val="right"/>
              <w:rPr>
                <w:sz w:val="22"/>
                <w:szCs w:val="22"/>
              </w:rPr>
            </w:pPr>
            <w:r w:rsidRPr="00D71A9C">
              <w:rPr>
                <w:sz w:val="22"/>
                <w:szCs w:val="22"/>
              </w:rPr>
              <w:t>100.0%</w:t>
            </w:r>
          </w:p>
        </w:tc>
        <w:tc>
          <w:tcPr>
            <w:tcW w:w="968" w:type="pct"/>
            <w:noWrap/>
          </w:tcPr>
          <w:p w14:paraId="3BF1F22E" w14:textId="77777777" w:rsidR="007D12AF" w:rsidRPr="00D71A9C" w:rsidRDefault="007D12AF" w:rsidP="00A54C12">
            <w:pPr>
              <w:spacing w:before="40" w:after="40"/>
              <w:ind w:right="300"/>
              <w:jc w:val="right"/>
              <w:rPr>
                <w:sz w:val="22"/>
                <w:szCs w:val="22"/>
              </w:rPr>
            </w:pPr>
            <w:r w:rsidRPr="00D71A9C">
              <w:rPr>
                <w:sz w:val="22"/>
                <w:szCs w:val="22"/>
              </w:rPr>
              <w:t>100.0%</w:t>
            </w:r>
          </w:p>
        </w:tc>
        <w:tc>
          <w:tcPr>
            <w:tcW w:w="787" w:type="pct"/>
            <w:noWrap/>
          </w:tcPr>
          <w:p w14:paraId="4BE498AA" w14:textId="77777777" w:rsidR="007D12AF" w:rsidRPr="00D71A9C" w:rsidRDefault="007D12AF" w:rsidP="00A54C12">
            <w:pPr>
              <w:spacing w:before="40" w:after="40"/>
              <w:ind w:right="321"/>
              <w:jc w:val="right"/>
              <w:rPr>
                <w:sz w:val="22"/>
                <w:szCs w:val="22"/>
              </w:rPr>
            </w:pPr>
            <w:r w:rsidRPr="00D71A9C">
              <w:rPr>
                <w:sz w:val="22"/>
                <w:szCs w:val="22"/>
              </w:rPr>
              <w:t>100.0%</w:t>
            </w:r>
          </w:p>
        </w:tc>
        <w:tc>
          <w:tcPr>
            <w:tcW w:w="667" w:type="pct"/>
            <w:noWrap/>
          </w:tcPr>
          <w:p w14:paraId="6CB04BC2" w14:textId="77777777" w:rsidR="007D12AF" w:rsidRPr="00D71A9C" w:rsidRDefault="007D12AF" w:rsidP="00A54C12">
            <w:pPr>
              <w:spacing w:before="40" w:after="40"/>
              <w:ind w:right="207"/>
              <w:jc w:val="right"/>
              <w:rPr>
                <w:rFonts w:eastAsia="Arial Unicode MS"/>
                <w:sz w:val="22"/>
                <w:szCs w:val="22"/>
              </w:rPr>
            </w:pPr>
            <w:r w:rsidRPr="00D71A9C">
              <w:rPr>
                <w:sz w:val="22"/>
                <w:szCs w:val="22"/>
              </w:rPr>
              <w:t>100.0%</w:t>
            </w:r>
          </w:p>
        </w:tc>
        <w:tc>
          <w:tcPr>
            <w:tcW w:w="1005" w:type="pct"/>
          </w:tcPr>
          <w:p w14:paraId="4257435E" w14:textId="77777777" w:rsidR="007D12AF" w:rsidRPr="00D71A9C" w:rsidRDefault="007D12AF" w:rsidP="00A54C12">
            <w:pPr>
              <w:spacing w:before="40" w:after="40"/>
              <w:ind w:right="283"/>
              <w:jc w:val="right"/>
              <w:rPr>
                <w:sz w:val="22"/>
                <w:szCs w:val="22"/>
              </w:rPr>
            </w:pPr>
            <w:r w:rsidRPr="00D71A9C">
              <w:rPr>
                <w:sz w:val="22"/>
                <w:szCs w:val="22"/>
              </w:rPr>
              <w:t>100.0%</w:t>
            </w:r>
          </w:p>
        </w:tc>
      </w:tr>
    </w:tbl>
    <w:p w14:paraId="73FA235F" w14:textId="42AF5854" w:rsidR="006333CE" w:rsidRPr="0029022B" w:rsidRDefault="006333CE" w:rsidP="005B7332">
      <w:pPr>
        <w:jc w:val="center"/>
        <w:rPr>
          <w:kern w:val="32"/>
          <w:sz w:val="18"/>
          <w:szCs w:val="18"/>
        </w:rPr>
      </w:pPr>
      <w:r w:rsidRPr="0029022B">
        <w:rPr>
          <w:sz w:val="18"/>
          <w:szCs w:val="18"/>
        </w:rPr>
        <w:t xml:space="preserve">Source: Medway Council HR Services </w:t>
      </w:r>
      <w:r w:rsidRPr="00E3341F">
        <w:rPr>
          <w:sz w:val="18"/>
          <w:szCs w:val="18"/>
        </w:rPr>
        <w:t xml:space="preserve">(data </w:t>
      </w:r>
      <w:r w:rsidR="009B3D14" w:rsidRPr="00E3341F">
        <w:rPr>
          <w:sz w:val="18"/>
          <w:szCs w:val="18"/>
        </w:rPr>
        <w:t>as of</w:t>
      </w:r>
      <w:r w:rsidRPr="00E3341F">
        <w:rPr>
          <w:sz w:val="18"/>
          <w:szCs w:val="18"/>
        </w:rPr>
        <w:t xml:space="preserve"> </w:t>
      </w:r>
      <w:r w:rsidR="009B3D14" w:rsidRPr="00E3341F">
        <w:rPr>
          <w:sz w:val="18"/>
          <w:szCs w:val="18"/>
        </w:rPr>
        <w:t>1</w:t>
      </w:r>
      <w:r w:rsidRPr="00E3341F">
        <w:rPr>
          <w:sz w:val="18"/>
          <w:szCs w:val="18"/>
        </w:rPr>
        <w:t xml:space="preserve"> </w:t>
      </w:r>
      <w:r w:rsidR="009B3D14" w:rsidRPr="00E3341F">
        <w:rPr>
          <w:sz w:val="18"/>
          <w:szCs w:val="18"/>
        </w:rPr>
        <w:t>January</w:t>
      </w:r>
      <w:r w:rsidRPr="00E3341F">
        <w:rPr>
          <w:sz w:val="18"/>
          <w:szCs w:val="18"/>
        </w:rPr>
        <w:t xml:space="preserve"> 20</w:t>
      </w:r>
      <w:r w:rsidR="009B3D14" w:rsidRPr="00E3341F">
        <w:rPr>
          <w:sz w:val="18"/>
          <w:szCs w:val="18"/>
        </w:rPr>
        <w:t>2</w:t>
      </w:r>
      <w:r w:rsidR="005F7B02">
        <w:rPr>
          <w:sz w:val="18"/>
          <w:szCs w:val="18"/>
        </w:rPr>
        <w:t>4</w:t>
      </w:r>
      <w:r w:rsidRPr="00E3341F">
        <w:rPr>
          <w:sz w:val="18"/>
          <w:szCs w:val="18"/>
        </w:rPr>
        <w:t>)</w:t>
      </w:r>
      <w:r w:rsidRPr="0029022B">
        <w:rPr>
          <w:sz w:val="18"/>
          <w:szCs w:val="18"/>
        </w:rPr>
        <w:t xml:space="preserve"> and </w:t>
      </w:r>
      <w:r w:rsidR="007D12AF">
        <w:rPr>
          <w:sz w:val="18"/>
          <w:szCs w:val="18"/>
        </w:rPr>
        <w:t>Census 2021</w:t>
      </w:r>
      <w:r w:rsidRPr="0029022B">
        <w:rPr>
          <w:sz w:val="18"/>
        </w:rPr>
        <w:t>.</w:t>
      </w:r>
    </w:p>
    <w:p w14:paraId="3B81E6EB" w14:textId="77777777" w:rsidR="00685D5F" w:rsidRDefault="00685D5F" w:rsidP="00685D5F">
      <w:pPr>
        <w:ind w:left="-142" w:right="-689"/>
        <w:rPr>
          <w:kern w:val="32"/>
        </w:rPr>
      </w:pPr>
    </w:p>
    <w:p w14:paraId="09F4837D" w14:textId="77777777" w:rsidR="00180BC2" w:rsidRDefault="00D71A9C" w:rsidP="00180BC2">
      <w:pPr>
        <w:ind w:left="-142" w:right="-689"/>
        <w:rPr>
          <w:kern w:val="32"/>
        </w:rPr>
      </w:pPr>
      <w:r>
        <w:rPr>
          <w:kern w:val="32"/>
        </w:rPr>
        <w:t>Table 9 above shows that m</w:t>
      </w:r>
      <w:r w:rsidR="006333CE" w:rsidRPr="0029022B">
        <w:rPr>
          <w:kern w:val="32"/>
        </w:rPr>
        <w:t xml:space="preserve">ales are underrepresented in the workforce with </w:t>
      </w:r>
      <w:r w:rsidR="005F7B02">
        <w:rPr>
          <w:kern w:val="32"/>
        </w:rPr>
        <w:t>25.6</w:t>
      </w:r>
      <w:r w:rsidR="006333CE" w:rsidRPr="0029022B">
        <w:rPr>
          <w:kern w:val="32"/>
        </w:rPr>
        <w:t xml:space="preserve">% compared to </w:t>
      </w:r>
      <w:r w:rsidR="007D12AF">
        <w:t>49</w:t>
      </w:r>
      <w:r w:rsidR="006333CE" w:rsidRPr="0029022B">
        <w:t>.</w:t>
      </w:r>
      <w:r w:rsidR="007D12AF">
        <w:t>0</w:t>
      </w:r>
      <w:r w:rsidR="006333CE" w:rsidRPr="0029022B">
        <w:rPr>
          <w:kern w:val="32"/>
        </w:rPr>
        <w:t xml:space="preserve">% in the community. </w:t>
      </w:r>
    </w:p>
    <w:p w14:paraId="36C4A03C" w14:textId="77777777" w:rsidR="004409F6" w:rsidRDefault="004409F6" w:rsidP="004409F6">
      <w:pPr>
        <w:pStyle w:val="Heading3"/>
      </w:pPr>
    </w:p>
    <w:p w14:paraId="0E999B7B" w14:textId="7C2F1EFC" w:rsidR="00DE0A77" w:rsidRPr="00180BC2" w:rsidRDefault="00DE0A77" w:rsidP="004409F6">
      <w:pPr>
        <w:pStyle w:val="Heading3"/>
        <w:jc w:val="left"/>
        <w:rPr>
          <w:kern w:val="32"/>
        </w:rPr>
      </w:pPr>
      <w:r w:rsidRPr="00314379">
        <w:t>Medway Council workforce: Disability (</w:t>
      </w:r>
      <w:r w:rsidR="0092057F" w:rsidRPr="00314379">
        <w:t>non-schools’</w:t>
      </w:r>
      <w:r w:rsidRPr="00314379">
        <w:t xml:space="preserve"> staff)</w:t>
      </w:r>
    </w:p>
    <w:p w14:paraId="1DF27B54" w14:textId="77777777" w:rsidR="00685D5F" w:rsidRPr="0029022B" w:rsidRDefault="00685D5F" w:rsidP="005B7332">
      <w:pPr>
        <w:ind w:left="-142" w:right="-689"/>
        <w:rPr>
          <w:kern w:val="32"/>
          <w:highlight w:val="yellow"/>
        </w:rPr>
      </w:pPr>
    </w:p>
    <w:p w14:paraId="49E86EA0" w14:textId="2D5BFB71" w:rsidR="006333CE" w:rsidRPr="0029022B" w:rsidRDefault="006333CE" w:rsidP="005B7332">
      <w:pPr>
        <w:jc w:val="center"/>
        <w:rPr>
          <w:bCs/>
          <w:sz w:val="18"/>
          <w:szCs w:val="18"/>
        </w:rPr>
      </w:pPr>
      <w:bookmarkStart w:id="9" w:name="_Ref471821072"/>
      <w:r w:rsidRPr="0029022B">
        <w:rPr>
          <w:bCs/>
          <w:sz w:val="18"/>
          <w:szCs w:val="18"/>
        </w:rPr>
        <w:t xml:space="preserve">Table </w:t>
      </w:r>
      <w:bookmarkEnd w:id="9"/>
      <w:r w:rsidR="002A7D9F">
        <w:rPr>
          <w:bCs/>
          <w:sz w:val="18"/>
          <w:szCs w:val="18"/>
        </w:rPr>
        <w:t>1</w:t>
      </w:r>
      <w:r w:rsidR="00D71A9C">
        <w:rPr>
          <w:bCs/>
          <w:sz w:val="18"/>
          <w:szCs w:val="18"/>
        </w:rPr>
        <w:t>0</w:t>
      </w:r>
      <w:r w:rsidRPr="0029022B">
        <w:rPr>
          <w:bCs/>
          <w:sz w:val="18"/>
          <w:szCs w:val="18"/>
        </w:rPr>
        <w:t xml:space="preserve"> Medway Council – disability</w:t>
      </w:r>
    </w:p>
    <w:tbl>
      <w:tblPr>
        <w:tblStyle w:val="TableGrid"/>
        <w:tblW w:w="5000" w:type="pct"/>
        <w:tblLook w:val="0620" w:firstRow="1" w:lastRow="0" w:firstColumn="0" w:lastColumn="0" w:noHBand="1" w:noVBand="1"/>
        <w:tblCaption w:val="Table 10 Medway Council – disability"/>
        <w:tblDescription w:val="Table 10  displays the percentage of non-school based employees who have declared that they have a disability. These figures would appear to show that this minority are underrepresented within the council’s workforce when compared with the Medway community."/>
      </w:tblPr>
      <w:tblGrid>
        <w:gridCol w:w="2276"/>
        <w:gridCol w:w="1479"/>
        <w:gridCol w:w="1256"/>
        <w:gridCol w:w="1442"/>
        <w:gridCol w:w="1251"/>
        <w:gridCol w:w="1358"/>
      </w:tblGrid>
      <w:tr w:rsidR="009021DF" w:rsidRPr="0029022B" w14:paraId="3C18FC6E" w14:textId="77777777" w:rsidTr="00EE4059">
        <w:trPr>
          <w:trHeight w:val="900"/>
        </w:trPr>
        <w:tc>
          <w:tcPr>
            <w:tcW w:w="1275" w:type="pct"/>
            <w:noWrap/>
          </w:tcPr>
          <w:p w14:paraId="74E8DE91" w14:textId="398E6811" w:rsidR="009021DF" w:rsidRPr="00EE4059" w:rsidRDefault="009021DF" w:rsidP="00A54C12">
            <w:pPr>
              <w:spacing w:before="40" w:after="40"/>
              <w:jc w:val="center"/>
              <w:rPr>
                <w:rFonts w:eastAsia="Arial Unicode MS"/>
                <w:sz w:val="22"/>
                <w:szCs w:val="22"/>
              </w:rPr>
            </w:pPr>
            <w:r w:rsidRPr="00EE4059">
              <w:rPr>
                <w:sz w:val="22"/>
                <w:szCs w:val="22"/>
              </w:rPr>
              <w:t xml:space="preserve">Disability – Jan </w:t>
            </w:r>
            <w:r w:rsidR="00BB3253" w:rsidRPr="00EE4059">
              <w:rPr>
                <w:sz w:val="22"/>
                <w:szCs w:val="22"/>
              </w:rPr>
              <w:t>2024</w:t>
            </w:r>
          </w:p>
        </w:tc>
        <w:tc>
          <w:tcPr>
            <w:tcW w:w="835" w:type="pct"/>
          </w:tcPr>
          <w:p w14:paraId="24AF56D7" w14:textId="57BAD06A" w:rsidR="009021DF" w:rsidRPr="00EE4059" w:rsidRDefault="009021DF" w:rsidP="009E33F7">
            <w:pPr>
              <w:spacing w:before="40" w:after="40"/>
              <w:rPr>
                <w:rFonts w:eastAsia="Arial Unicode MS"/>
                <w:sz w:val="22"/>
                <w:szCs w:val="22"/>
              </w:rPr>
            </w:pPr>
            <w:r w:rsidRPr="00EE4059">
              <w:rPr>
                <w:sz w:val="22"/>
                <w:szCs w:val="22"/>
              </w:rPr>
              <w:t>Business Support Departmen</w:t>
            </w:r>
            <w:r w:rsidR="00EE4059" w:rsidRPr="00EE4059">
              <w:rPr>
                <w:sz w:val="22"/>
                <w:szCs w:val="22"/>
              </w:rPr>
              <w:t>t</w:t>
            </w:r>
          </w:p>
        </w:tc>
        <w:tc>
          <w:tcPr>
            <w:tcW w:w="670" w:type="pct"/>
          </w:tcPr>
          <w:p w14:paraId="75A33AD0" w14:textId="1303D1C2" w:rsidR="009021DF" w:rsidRPr="00EE4059" w:rsidRDefault="009021DF" w:rsidP="00A54C12">
            <w:pPr>
              <w:spacing w:before="40" w:after="40"/>
              <w:jc w:val="center"/>
              <w:rPr>
                <w:rFonts w:eastAsia="Arial Unicode MS"/>
                <w:sz w:val="22"/>
                <w:szCs w:val="22"/>
              </w:rPr>
            </w:pPr>
            <w:r w:rsidRPr="00EE4059">
              <w:rPr>
                <w:sz w:val="22"/>
                <w:szCs w:val="22"/>
              </w:rPr>
              <w:t>People directorate</w:t>
            </w:r>
          </w:p>
        </w:tc>
        <w:tc>
          <w:tcPr>
            <w:tcW w:w="777" w:type="pct"/>
          </w:tcPr>
          <w:p w14:paraId="12142D0F" w14:textId="3F735842" w:rsidR="009021DF" w:rsidRPr="00EE4059" w:rsidRDefault="009021DF" w:rsidP="00A54C12">
            <w:pPr>
              <w:spacing w:before="40" w:after="40"/>
              <w:jc w:val="center"/>
              <w:rPr>
                <w:rFonts w:eastAsia="Arial Unicode MS"/>
                <w:sz w:val="22"/>
                <w:szCs w:val="22"/>
              </w:rPr>
            </w:pPr>
            <w:r w:rsidRPr="00EE4059">
              <w:rPr>
                <w:sz w:val="22"/>
                <w:szCs w:val="22"/>
              </w:rPr>
              <w:t>Place directorate</w:t>
            </w:r>
          </w:p>
        </w:tc>
        <w:tc>
          <w:tcPr>
            <w:tcW w:w="675" w:type="pct"/>
          </w:tcPr>
          <w:p w14:paraId="53388225" w14:textId="77777777" w:rsidR="009021DF" w:rsidRPr="00EE4059" w:rsidRDefault="009021DF" w:rsidP="00A54C12">
            <w:pPr>
              <w:spacing w:before="40" w:after="40"/>
              <w:jc w:val="center"/>
              <w:rPr>
                <w:rFonts w:eastAsia="Arial Unicode MS"/>
                <w:sz w:val="22"/>
                <w:szCs w:val="22"/>
              </w:rPr>
            </w:pPr>
            <w:r w:rsidRPr="00EE4059">
              <w:rPr>
                <w:sz w:val="22"/>
                <w:szCs w:val="22"/>
              </w:rPr>
              <w:t>Medway Council</w:t>
            </w:r>
          </w:p>
        </w:tc>
        <w:tc>
          <w:tcPr>
            <w:tcW w:w="769" w:type="pct"/>
          </w:tcPr>
          <w:p w14:paraId="39E5B336" w14:textId="77777777" w:rsidR="009021DF" w:rsidRPr="00EE4059" w:rsidRDefault="009021DF" w:rsidP="00A54C12">
            <w:pPr>
              <w:spacing w:before="40" w:after="40"/>
              <w:jc w:val="center"/>
              <w:rPr>
                <w:sz w:val="22"/>
                <w:szCs w:val="22"/>
              </w:rPr>
            </w:pPr>
            <w:r w:rsidRPr="00EE4059">
              <w:rPr>
                <w:sz w:val="22"/>
                <w:szCs w:val="22"/>
              </w:rPr>
              <w:t>Medway Community (aged 20 to 64)</w:t>
            </w:r>
          </w:p>
        </w:tc>
      </w:tr>
      <w:tr w:rsidR="009021DF" w:rsidRPr="0029022B" w14:paraId="6C3778DC" w14:textId="77777777" w:rsidTr="00EE4059">
        <w:trPr>
          <w:trHeight w:val="300"/>
        </w:trPr>
        <w:tc>
          <w:tcPr>
            <w:tcW w:w="1275" w:type="pct"/>
            <w:noWrap/>
          </w:tcPr>
          <w:p w14:paraId="2598CB53" w14:textId="77777777" w:rsidR="009021DF" w:rsidRPr="0029022B" w:rsidRDefault="009021DF" w:rsidP="00A54C12">
            <w:pPr>
              <w:spacing w:before="40" w:after="40"/>
              <w:rPr>
                <w:rFonts w:eastAsia="Arial Unicode MS"/>
                <w:sz w:val="22"/>
                <w:szCs w:val="22"/>
              </w:rPr>
            </w:pPr>
            <w:r w:rsidRPr="0029022B">
              <w:rPr>
                <w:sz w:val="22"/>
                <w:szCs w:val="22"/>
              </w:rPr>
              <w:t>Yes</w:t>
            </w:r>
          </w:p>
        </w:tc>
        <w:tc>
          <w:tcPr>
            <w:tcW w:w="835" w:type="pct"/>
            <w:noWrap/>
          </w:tcPr>
          <w:p w14:paraId="71BCEDF1" w14:textId="003A1539" w:rsidR="009021DF" w:rsidRPr="0029022B" w:rsidRDefault="00BB3253" w:rsidP="00A54C12">
            <w:pPr>
              <w:spacing w:before="40" w:after="40"/>
              <w:ind w:right="288"/>
              <w:jc w:val="right"/>
              <w:rPr>
                <w:sz w:val="22"/>
                <w:szCs w:val="22"/>
              </w:rPr>
            </w:pPr>
            <w:r>
              <w:rPr>
                <w:sz w:val="22"/>
                <w:szCs w:val="22"/>
              </w:rPr>
              <w:t>5.2</w:t>
            </w:r>
            <w:r w:rsidR="009021DF" w:rsidRPr="0029022B">
              <w:rPr>
                <w:sz w:val="22"/>
                <w:szCs w:val="22"/>
              </w:rPr>
              <w:t>%</w:t>
            </w:r>
          </w:p>
        </w:tc>
        <w:tc>
          <w:tcPr>
            <w:tcW w:w="670" w:type="pct"/>
            <w:noWrap/>
          </w:tcPr>
          <w:p w14:paraId="780118A1" w14:textId="3A50927E" w:rsidR="009021DF" w:rsidRPr="0029022B" w:rsidRDefault="00AF5F19" w:rsidP="00A54C12">
            <w:pPr>
              <w:spacing w:before="40" w:after="40"/>
              <w:ind w:right="288"/>
              <w:jc w:val="right"/>
              <w:rPr>
                <w:sz w:val="22"/>
                <w:szCs w:val="22"/>
              </w:rPr>
            </w:pPr>
            <w:r>
              <w:rPr>
                <w:sz w:val="22"/>
                <w:szCs w:val="22"/>
              </w:rPr>
              <w:t>5.4</w:t>
            </w:r>
            <w:r w:rsidR="009021DF" w:rsidRPr="0029022B">
              <w:rPr>
                <w:sz w:val="22"/>
                <w:szCs w:val="22"/>
              </w:rPr>
              <w:t>%</w:t>
            </w:r>
          </w:p>
        </w:tc>
        <w:tc>
          <w:tcPr>
            <w:tcW w:w="777" w:type="pct"/>
            <w:noWrap/>
          </w:tcPr>
          <w:p w14:paraId="5D1ACFD9" w14:textId="17D9AA76" w:rsidR="009021DF" w:rsidRPr="0029022B" w:rsidRDefault="00AF5F19" w:rsidP="00A54C12">
            <w:pPr>
              <w:spacing w:before="40" w:after="40"/>
              <w:ind w:right="479"/>
              <w:jc w:val="right"/>
              <w:rPr>
                <w:sz w:val="22"/>
                <w:szCs w:val="22"/>
              </w:rPr>
            </w:pPr>
            <w:r>
              <w:rPr>
                <w:sz w:val="22"/>
                <w:szCs w:val="22"/>
              </w:rPr>
              <w:t>5.2</w:t>
            </w:r>
            <w:r w:rsidR="009021DF" w:rsidRPr="0029022B">
              <w:rPr>
                <w:sz w:val="22"/>
                <w:szCs w:val="22"/>
              </w:rPr>
              <w:t>%</w:t>
            </w:r>
          </w:p>
        </w:tc>
        <w:tc>
          <w:tcPr>
            <w:tcW w:w="675" w:type="pct"/>
            <w:noWrap/>
          </w:tcPr>
          <w:p w14:paraId="0E806D9F" w14:textId="61749834" w:rsidR="009021DF" w:rsidRPr="0029022B" w:rsidRDefault="00AF5F19" w:rsidP="0005465F">
            <w:pPr>
              <w:spacing w:before="40" w:after="40"/>
              <w:ind w:right="288"/>
              <w:jc w:val="right"/>
              <w:rPr>
                <w:bCs/>
                <w:sz w:val="22"/>
                <w:szCs w:val="22"/>
              </w:rPr>
            </w:pPr>
            <w:r>
              <w:rPr>
                <w:bCs/>
                <w:sz w:val="22"/>
                <w:szCs w:val="22"/>
              </w:rPr>
              <w:t>5.3</w:t>
            </w:r>
            <w:r w:rsidR="009021DF" w:rsidRPr="0029022B">
              <w:rPr>
                <w:bCs/>
                <w:sz w:val="22"/>
                <w:szCs w:val="22"/>
              </w:rPr>
              <w:t>%</w:t>
            </w:r>
          </w:p>
        </w:tc>
        <w:tc>
          <w:tcPr>
            <w:tcW w:w="769" w:type="pct"/>
          </w:tcPr>
          <w:p w14:paraId="6FFA3105" w14:textId="77777777" w:rsidR="009021DF" w:rsidRPr="0029022B" w:rsidRDefault="009021DF" w:rsidP="00A54C12">
            <w:pPr>
              <w:spacing w:before="40" w:after="40"/>
              <w:ind w:right="288"/>
              <w:jc w:val="right"/>
              <w:rPr>
                <w:bCs/>
                <w:sz w:val="22"/>
                <w:szCs w:val="22"/>
              </w:rPr>
            </w:pPr>
            <w:r w:rsidRPr="0029022B">
              <w:rPr>
                <w:bCs/>
                <w:sz w:val="22"/>
                <w:szCs w:val="22"/>
              </w:rPr>
              <w:t>13.0%</w:t>
            </w:r>
          </w:p>
        </w:tc>
      </w:tr>
      <w:tr w:rsidR="009021DF" w:rsidRPr="0029022B" w14:paraId="754D2ED2" w14:textId="77777777" w:rsidTr="00EE4059">
        <w:trPr>
          <w:trHeight w:val="300"/>
        </w:trPr>
        <w:tc>
          <w:tcPr>
            <w:tcW w:w="1275" w:type="pct"/>
            <w:noWrap/>
          </w:tcPr>
          <w:p w14:paraId="27248D6E" w14:textId="77777777" w:rsidR="009021DF" w:rsidRPr="0029022B" w:rsidRDefault="009021DF" w:rsidP="00A54C12">
            <w:pPr>
              <w:spacing w:before="40" w:after="40"/>
              <w:rPr>
                <w:rFonts w:eastAsia="Arial Unicode MS"/>
                <w:sz w:val="22"/>
                <w:szCs w:val="22"/>
              </w:rPr>
            </w:pPr>
            <w:r w:rsidRPr="0029022B">
              <w:rPr>
                <w:sz w:val="22"/>
                <w:szCs w:val="22"/>
              </w:rPr>
              <w:t>No</w:t>
            </w:r>
          </w:p>
        </w:tc>
        <w:tc>
          <w:tcPr>
            <w:tcW w:w="835" w:type="pct"/>
            <w:noWrap/>
          </w:tcPr>
          <w:p w14:paraId="40527207" w14:textId="2E98A7CA" w:rsidR="009021DF" w:rsidRPr="0029022B" w:rsidRDefault="00AF5F19" w:rsidP="00A54C12">
            <w:pPr>
              <w:spacing w:before="40" w:after="40"/>
              <w:ind w:right="288"/>
              <w:jc w:val="right"/>
              <w:rPr>
                <w:sz w:val="22"/>
                <w:szCs w:val="22"/>
              </w:rPr>
            </w:pPr>
            <w:r>
              <w:rPr>
                <w:sz w:val="22"/>
                <w:szCs w:val="22"/>
              </w:rPr>
              <w:t>58.0</w:t>
            </w:r>
            <w:r w:rsidR="009021DF" w:rsidRPr="0029022B">
              <w:rPr>
                <w:sz w:val="22"/>
                <w:szCs w:val="22"/>
              </w:rPr>
              <w:t>%</w:t>
            </w:r>
          </w:p>
        </w:tc>
        <w:tc>
          <w:tcPr>
            <w:tcW w:w="670" w:type="pct"/>
            <w:noWrap/>
          </w:tcPr>
          <w:p w14:paraId="35ED51CE" w14:textId="42BCB991" w:rsidR="009021DF" w:rsidRPr="0029022B" w:rsidRDefault="00AF5F19" w:rsidP="00A54C12">
            <w:pPr>
              <w:spacing w:before="40" w:after="40"/>
              <w:ind w:right="288"/>
              <w:jc w:val="right"/>
              <w:rPr>
                <w:sz w:val="22"/>
                <w:szCs w:val="22"/>
              </w:rPr>
            </w:pPr>
            <w:r>
              <w:rPr>
                <w:sz w:val="22"/>
                <w:szCs w:val="22"/>
              </w:rPr>
              <w:t>51.7</w:t>
            </w:r>
            <w:r w:rsidR="009021DF" w:rsidRPr="0029022B">
              <w:rPr>
                <w:sz w:val="22"/>
                <w:szCs w:val="22"/>
              </w:rPr>
              <w:t>%</w:t>
            </w:r>
          </w:p>
        </w:tc>
        <w:tc>
          <w:tcPr>
            <w:tcW w:w="777" w:type="pct"/>
            <w:noWrap/>
          </w:tcPr>
          <w:p w14:paraId="6C682ED0" w14:textId="09D92819" w:rsidR="009021DF" w:rsidRPr="0029022B" w:rsidRDefault="00AF5F19" w:rsidP="00A54C12">
            <w:pPr>
              <w:spacing w:before="40" w:after="40"/>
              <w:ind w:right="479"/>
              <w:jc w:val="right"/>
              <w:rPr>
                <w:sz w:val="22"/>
                <w:szCs w:val="22"/>
              </w:rPr>
            </w:pPr>
            <w:r>
              <w:rPr>
                <w:sz w:val="22"/>
                <w:szCs w:val="22"/>
              </w:rPr>
              <w:t>54.3</w:t>
            </w:r>
            <w:r w:rsidR="009021DF" w:rsidRPr="0029022B">
              <w:rPr>
                <w:sz w:val="22"/>
                <w:szCs w:val="22"/>
              </w:rPr>
              <w:t>%</w:t>
            </w:r>
          </w:p>
        </w:tc>
        <w:tc>
          <w:tcPr>
            <w:tcW w:w="675" w:type="pct"/>
            <w:noWrap/>
          </w:tcPr>
          <w:p w14:paraId="620C515D" w14:textId="0E2FDDE6" w:rsidR="009021DF" w:rsidRPr="0029022B" w:rsidRDefault="00AF5F19" w:rsidP="0005465F">
            <w:pPr>
              <w:spacing w:before="40" w:after="40"/>
              <w:ind w:right="288"/>
              <w:jc w:val="right"/>
              <w:rPr>
                <w:bCs/>
                <w:sz w:val="22"/>
                <w:szCs w:val="22"/>
              </w:rPr>
            </w:pPr>
            <w:r>
              <w:rPr>
                <w:bCs/>
                <w:sz w:val="22"/>
                <w:szCs w:val="22"/>
              </w:rPr>
              <w:t>53.9</w:t>
            </w:r>
            <w:r w:rsidR="009021DF" w:rsidRPr="0029022B">
              <w:rPr>
                <w:bCs/>
                <w:sz w:val="22"/>
                <w:szCs w:val="22"/>
              </w:rPr>
              <w:t>%</w:t>
            </w:r>
          </w:p>
        </w:tc>
        <w:tc>
          <w:tcPr>
            <w:tcW w:w="769" w:type="pct"/>
          </w:tcPr>
          <w:p w14:paraId="0D9A58CB" w14:textId="77777777" w:rsidR="009021DF" w:rsidRPr="0029022B" w:rsidRDefault="009021DF" w:rsidP="00A54C12">
            <w:pPr>
              <w:spacing w:before="40" w:after="40"/>
              <w:ind w:right="288"/>
              <w:jc w:val="right"/>
              <w:rPr>
                <w:bCs/>
                <w:sz w:val="22"/>
                <w:szCs w:val="22"/>
              </w:rPr>
            </w:pPr>
            <w:r w:rsidRPr="0029022B">
              <w:rPr>
                <w:bCs/>
                <w:sz w:val="22"/>
                <w:szCs w:val="22"/>
              </w:rPr>
              <w:t>87.0%</w:t>
            </w:r>
          </w:p>
        </w:tc>
      </w:tr>
      <w:tr w:rsidR="009021DF" w:rsidRPr="0029022B" w14:paraId="2E55D99D" w14:textId="77777777" w:rsidTr="00EE4059">
        <w:trPr>
          <w:trHeight w:val="300"/>
        </w:trPr>
        <w:tc>
          <w:tcPr>
            <w:tcW w:w="1275" w:type="pct"/>
            <w:noWrap/>
          </w:tcPr>
          <w:p w14:paraId="2D0A2EA5" w14:textId="77777777" w:rsidR="009021DF" w:rsidRPr="0029022B" w:rsidRDefault="009021DF" w:rsidP="00A54C12">
            <w:pPr>
              <w:spacing w:before="40" w:after="40"/>
              <w:rPr>
                <w:rFonts w:eastAsia="Arial Unicode MS"/>
                <w:sz w:val="22"/>
                <w:szCs w:val="22"/>
              </w:rPr>
            </w:pPr>
            <w:r w:rsidRPr="0029022B">
              <w:rPr>
                <w:sz w:val="22"/>
                <w:szCs w:val="22"/>
              </w:rPr>
              <w:t>Not Stated /Refused</w:t>
            </w:r>
          </w:p>
        </w:tc>
        <w:tc>
          <w:tcPr>
            <w:tcW w:w="835" w:type="pct"/>
            <w:noWrap/>
          </w:tcPr>
          <w:p w14:paraId="7AAC2942" w14:textId="6A8880BE" w:rsidR="009021DF" w:rsidRPr="0029022B" w:rsidRDefault="00AF5F19" w:rsidP="00A54C12">
            <w:pPr>
              <w:spacing w:before="40" w:after="40"/>
              <w:ind w:right="288"/>
              <w:jc w:val="right"/>
              <w:rPr>
                <w:sz w:val="22"/>
                <w:szCs w:val="22"/>
              </w:rPr>
            </w:pPr>
            <w:r>
              <w:rPr>
                <w:sz w:val="22"/>
                <w:szCs w:val="22"/>
              </w:rPr>
              <w:t>36.8</w:t>
            </w:r>
            <w:r w:rsidR="009021DF" w:rsidRPr="0029022B">
              <w:rPr>
                <w:sz w:val="22"/>
                <w:szCs w:val="22"/>
              </w:rPr>
              <w:t>%</w:t>
            </w:r>
          </w:p>
        </w:tc>
        <w:tc>
          <w:tcPr>
            <w:tcW w:w="670" w:type="pct"/>
            <w:noWrap/>
          </w:tcPr>
          <w:p w14:paraId="39B7C775" w14:textId="3F62F639" w:rsidR="009021DF" w:rsidRPr="0029022B" w:rsidRDefault="00AF5F19" w:rsidP="00A54C12">
            <w:pPr>
              <w:spacing w:before="40" w:after="40"/>
              <w:ind w:right="288"/>
              <w:jc w:val="right"/>
              <w:rPr>
                <w:sz w:val="22"/>
                <w:szCs w:val="22"/>
              </w:rPr>
            </w:pPr>
            <w:r>
              <w:rPr>
                <w:sz w:val="22"/>
                <w:szCs w:val="22"/>
              </w:rPr>
              <w:t>42.9</w:t>
            </w:r>
            <w:r w:rsidR="009021DF" w:rsidRPr="0029022B">
              <w:rPr>
                <w:sz w:val="22"/>
                <w:szCs w:val="22"/>
              </w:rPr>
              <w:t>%</w:t>
            </w:r>
          </w:p>
        </w:tc>
        <w:tc>
          <w:tcPr>
            <w:tcW w:w="777" w:type="pct"/>
            <w:noWrap/>
          </w:tcPr>
          <w:p w14:paraId="5A6B9E5B" w14:textId="77ACCF5E" w:rsidR="009021DF" w:rsidRPr="0029022B" w:rsidRDefault="00AF5F19" w:rsidP="00A54C12">
            <w:pPr>
              <w:spacing w:before="40" w:after="40"/>
              <w:ind w:right="479"/>
              <w:jc w:val="right"/>
              <w:rPr>
                <w:sz w:val="22"/>
                <w:szCs w:val="22"/>
              </w:rPr>
            </w:pPr>
            <w:r>
              <w:rPr>
                <w:sz w:val="22"/>
                <w:szCs w:val="22"/>
              </w:rPr>
              <w:t>40.5</w:t>
            </w:r>
            <w:r w:rsidR="009021DF" w:rsidRPr="0029022B">
              <w:rPr>
                <w:sz w:val="22"/>
                <w:szCs w:val="22"/>
              </w:rPr>
              <w:t>%</w:t>
            </w:r>
          </w:p>
        </w:tc>
        <w:tc>
          <w:tcPr>
            <w:tcW w:w="675" w:type="pct"/>
            <w:noWrap/>
          </w:tcPr>
          <w:p w14:paraId="38FEE4D6" w14:textId="3950EFA6" w:rsidR="009021DF" w:rsidRPr="0029022B" w:rsidRDefault="00AF5F19" w:rsidP="0005465F">
            <w:pPr>
              <w:spacing w:before="40" w:after="40"/>
              <w:ind w:right="288"/>
              <w:jc w:val="right"/>
              <w:rPr>
                <w:bCs/>
                <w:sz w:val="22"/>
                <w:szCs w:val="22"/>
              </w:rPr>
            </w:pPr>
            <w:r>
              <w:rPr>
                <w:bCs/>
                <w:sz w:val="22"/>
                <w:szCs w:val="22"/>
              </w:rPr>
              <w:t>40.8</w:t>
            </w:r>
            <w:r w:rsidR="009021DF" w:rsidRPr="0029022B">
              <w:rPr>
                <w:bCs/>
                <w:sz w:val="22"/>
                <w:szCs w:val="22"/>
              </w:rPr>
              <w:t>%</w:t>
            </w:r>
          </w:p>
        </w:tc>
        <w:tc>
          <w:tcPr>
            <w:tcW w:w="769" w:type="pct"/>
          </w:tcPr>
          <w:p w14:paraId="259DB5D8" w14:textId="77777777" w:rsidR="009021DF" w:rsidRPr="0029022B" w:rsidRDefault="009021DF" w:rsidP="00A54C12">
            <w:pPr>
              <w:spacing w:before="40" w:after="40"/>
              <w:ind w:right="288"/>
              <w:jc w:val="right"/>
              <w:rPr>
                <w:bCs/>
                <w:sz w:val="22"/>
                <w:szCs w:val="22"/>
              </w:rPr>
            </w:pPr>
            <w:r w:rsidRPr="0029022B">
              <w:rPr>
                <w:bCs/>
                <w:sz w:val="22"/>
                <w:szCs w:val="22"/>
              </w:rPr>
              <w:t>0.0%</w:t>
            </w:r>
          </w:p>
        </w:tc>
      </w:tr>
      <w:tr w:rsidR="009021DF" w:rsidRPr="0029022B" w14:paraId="186E82A1" w14:textId="77777777" w:rsidTr="00EE4059">
        <w:trPr>
          <w:trHeight w:val="300"/>
        </w:trPr>
        <w:tc>
          <w:tcPr>
            <w:tcW w:w="1275" w:type="pct"/>
            <w:noWrap/>
          </w:tcPr>
          <w:p w14:paraId="2E8A3414" w14:textId="77777777" w:rsidR="009021DF" w:rsidRPr="0029022B" w:rsidRDefault="009021DF" w:rsidP="00A54C12">
            <w:pPr>
              <w:spacing w:before="40" w:after="40"/>
              <w:rPr>
                <w:rFonts w:eastAsia="Arial Unicode MS"/>
                <w:sz w:val="22"/>
                <w:szCs w:val="22"/>
              </w:rPr>
            </w:pPr>
            <w:r w:rsidRPr="0029022B">
              <w:rPr>
                <w:sz w:val="22"/>
                <w:szCs w:val="22"/>
              </w:rPr>
              <w:t>Total</w:t>
            </w:r>
          </w:p>
        </w:tc>
        <w:tc>
          <w:tcPr>
            <w:tcW w:w="835" w:type="pct"/>
            <w:noWrap/>
          </w:tcPr>
          <w:p w14:paraId="06FCA728" w14:textId="77777777" w:rsidR="009021DF" w:rsidRPr="0029022B" w:rsidRDefault="009021DF" w:rsidP="00A54C12">
            <w:pPr>
              <w:spacing w:before="40" w:after="40"/>
              <w:ind w:right="288"/>
              <w:jc w:val="right"/>
              <w:rPr>
                <w:rFonts w:eastAsia="Arial Unicode MS"/>
                <w:sz w:val="22"/>
                <w:szCs w:val="22"/>
              </w:rPr>
            </w:pPr>
            <w:r w:rsidRPr="0029022B">
              <w:rPr>
                <w:sz w:val="22"/>
                <w:szCs w:val="22"/>
              </w:rPr>
              <w:t>100.0%</w:t>
            </w:r>
          </w:p>
        </w:tc>
        <w:tc>
          <w:tcPr>
            <w:tcW w:w="670" w:type="pct"/>
            <w:noWrap/>
          </w:tcPr>
          <w:p w14:paraId="25A54C60" w14:textId="77777777" w:rsidR="009021DF" w:rsidRPr="0029022B" w:rsidRDefault="009021DF" w:rsidP="00A54C12">
            <w:pPr>
              <w:spacing w:before="40" w:after="40"/>
              <w:ind w:right="288"/>
              <w:jc w:val="right"/>
              <w:rPr>
                <w:rFonts w:eastAsia="Arial Unicode MS"/>
                <w:sz w:val="22"/>
                <w:szCs w:val="22"/>
              </w:rPr>
            </w:pPr>
            <w:r w:rsidRPr="0029022B">
              <w:rPr>
                <w:sz w:val="22"/>
                <w:szCs w:val="22"/>
              </w:rPr>
              <w:t>100.0%</w:t>
            </w:r>
          </w:p>
        </w:tc>
        <w:tc>
          <w:tcPr>
            <w:tcW w:w="777" w:type="pct"/>
            <w:noWrap/>
          </w:tcPr>
          <w:p w14:paraId="516FC41C" w14:textId="77777777" w:rsidR="009021DF" w:rsidRPr="0029022B" w:rsidRDefault="009021DF" w:rsidP="00A54C12">
            <w:pPr>
              <w:spacing w:before="40" w:after="40"/>
              <w:ind w:right="479"/>
              <w:jc w:val="right"/>
              <w:rPr>
                <w:rFonts w:eastAsia="Arial Unicode MS"/>
                <w:sz w:val="22"/>
                <w:szCs w:val="22"/>
              </w:rPr>
            </w:pPr>
            <w:r w:rsidRPr="0029022B">
              <w:rPr>
                <w:sz w:val="22"/>
                <w:szCs w:val="22"/>
              </w:rPr>
              <w:t>100.0%</w:t>
            </w:r>
          </w:p>
        </w:tc>
        <w:tc>
          <w:tcPr>
            <w:tcW w:w="675" w:type="pct"/>
            <w:noWrap/>
          </w:tcPr>
          <w:p w14:paraId="278A0FA0" w14:textId="77777777" w:rsidR="009021DF" w:rsidRPr="005B7332" w:rsidRDefault="009021DF" w:rsidP="0005465F">
            <w:pPr>
              <w:spacing w:before="40" w:after="40"/>
              <w:ind w:right="288"/>
              <w:jc w:val="right"/>
              <w:rPr>
                <w:bCs/>
                <w:sz w:val="22"/>
                <w:szCs w:val="22"/>
              </w:rPr>
            </w:pPr>
            <w:r w:rsidRPr="0029022B">
              <w:rPr>
                <w:bCs/>
                <w:sz w:val="22"/>
                <w:szCs w:val="22"/>
              </w:rPr>
              <w:t>100.0%</w:t>
            </w:r>
          </w:p>
        </w:tc>
        <w:tc>
          <w:tcPr>
            <w:tcW w:w="769" w:type="pct"/>
          </w:tcPr>
          <w:p w14:paraId="76864769" w14:textId="77777777" w:rsidR="009021DF" w:rsidRPr="0029022B" w:rsidRDefault="009021DF" w:rsidP="00A54C12">
            <w:pPr>
              <w:spacing w:before="40" w:after="40"/>
              <w:ind w:right="288"/>
              <w:jc w:val="right"/>
              <w:rPr>
                <w:bCs/>
                <w:sz w:val="22"/>
                <w:szCs w:val="22"/>
              </w:rPr>
            </w:pPr>
            <w:r w:rsidRPr="0029022B">
              <w:rPr>
                <w:bCs/>
                <w:sz w:val="22"/>
                <w:szCs w:val="22"/>
              </w:rPr>
              <w:t>100.0%</w:t>
            </w:r>
          </w:p>
        </w:tc>
      </w:tr>
    </w:tbl>
    <w:p w14:paraId="067304E9" w14:textId="77777777" w:rsidR="00685D5F" w:rsidRDefault="00685D5F" w:rsidP="00685D5F">
      <w:pPr>
        <w:ind w:left="-284" w:right="-567"/>
      </w:pPr>
    </w:p>
    <w:p w14:paraId="4AD19119" w14:textId="5614A66C" w:rsidR="009021DF" w:rsidRDefault="009021DF" w:rsidP="00685D5F">
      <w:pPr>
        <w:ind w:left="-284" w:right="-567"/>
        <w:rPr>
          <w:kern w:val="32"/>
        </w:rPr>
      </w:pPr>
      <w:r w:rsidRPr="7C884632">
        <w:fldChar w:fldCharType="begin"/>
      </w:r>
      <w:r w:rsidRPr="0029022B">
        <w:rPr>
          <w:bCs/>
        </w:rPr>
        <w:instrText xml:space="preserve"> REF _Ref471821072 \h  \* MERGEFORMAT </w:instrText>
      </w:r>
      <w:r w:rsidRPr="7C884632">
        <w:rPr>
          <w:bCs/>
        </w:rPr>
        <w:fldChar w:fldCharType="separate"/>
      </w:r>
      <w:r w:rsidR="000061BB" w:rsidRPr="000061BB">
        <w:t xml:space="preserve">Table </w:t>
      </w:r>
      <w:r w:rsidR="00D71A9C">
        <w:t>10</w:t>
      </w:r>
      <w:r w:rsidRPr="7C884632">
        <w:fldChar w:fldCharType="end"/>
      </w:r>
      <w:r w:rsidRPr="7C884632">
        <w:t xml:space="preserve"> </w:t>
      </w:r>
      <w:r w:rsidR="00D71A9C">
        <w:t xml:space="preserve">above </w:t>
      </w:r>
      <w:r w:rsidRPr="0029022B">
        <w:rPr>
          <w:kern w:val="32"/>
        </w:rPr>
        <w:t xml:space="preserve">displays the percentage of non-school based employees who have declared that they have a disability. </w:t>
      </w:r>
      <w:r w:rsidR="00D16A8F">
        <w:rPr>
          <w:kern w:val="32"/>
        </w:rPr>
        <w:t xml:space="preserve"> </w:t>
      </w:r>
      <w:r w:rsidRPr="0029022B">
        <w:rPr>
          <w:kern w:val="32"/>
        </w:rPr>
        <w:t>These figures would appear to show that this minority are underrepresented within the council’s workforce when compared with the Medway community (</w:t>
      </w:r>
      <w:r w:rsidRPr="00E92B0F">
        <w:rPr>
          <w:kern w:val="32"/>
        </w:rPr>
        <w:t xml:space="preserve">the community figures are from age 20 as </w:t>
      </w:r>
      <w:r w:rsidR="001E1227" w:rsidRPr="00E92B0F">
        <w:rPr>
          <w:kern w:val="32"/>
        </w:rPr>
        <w:t>20</w:t>
      </w:r>
      <w:r w:rsidR="001E1227">
        <w:rPr>
          <w:kern w:val="32"/>
        </w:rPr>
        <w:t>2</w:t>
      </w:r>
      <w:r w:rsidR="001E1227" w:rsidRPr="00E92B0F">
        <w:rPr>
          <w:kern w:val="32"/>
        </w:rPr>
        <w:t xml:space="preserve">1 </w:t>
      </w:r>
      <w:r w:rsidRPr="00E92B0F">
        <w:rPr>
          <w:kern w:val="32"/>
        </w:rPr>
        <w:t xml:space="preserve">Census data about this characteristic is only available in 5-year age groups). </w:t>
      </w:r>
    </w:p>
    <w:p w14:paraId="499F7364" w14:textId="77777777" w:rsidR="009E33F7" w:rsidRDefault="009E33F7" w:rsidP="00685D5F">
      <w:pPr>
        <w:ind w:left="-284" w:right="-567"/>
        <w:rPr>
          <w:kern w:val="32"/>
        </w:rPr>
      </w:pPr>
    </w:p>
    <w:p w14:paraId="2EFE6F43" w14:textId="4965791A" w:rsidR="009E33F7" w:rsidRDefault="009E33F7" w:rsidP="00685D5F">
      <w:pPr>
        <w:ind w:left="-284" w:right="-567"/>
        <w:rPr>
          <w:kern w:val="32"/>
        </w:rPr>
      </w:pPr>
      <w:r>
        <w:rPr>
          <w:kern w:val="32"/>
        </w:rPr>
        <w:t>However, it should be noted that employees with disabilities may choose not to declare their disability to their employer for several reasons.  This can be demonstrated within the results of the 2022 anonymous employee engagement survey.  When asked to declare whether they had a disability, 20% of all respondents stated they had compared to 5.3% who had declared a disability on the HR system.</w:t>
      </w:r>
    </w:p>
    <w:p w14:paraId="60F287FF" w14:textId="77777777" w:rsidR="00685D5F" w:rsidRPr="00D37738" w:rsidRDefault="00685D5F" w:rsidP="005B7332">
      <w:pPr>
        <w:ind w:left="-284"/>
        <w:outlineLvl w:val="8"/>
        <w:rPr>
          <w:bCs/>
        </w:rPr>
      </w:pPr>
      <w:bookmarkStart w:id="10" w:name="_Hlk126243997"/>
    </w:p>
    <w:bookmarkEnd w:id="10"/>
    <w:p w14:paraId="0D6A9462" w14:textId="7D248279" w:rsidR="009021DF" w:rsidRDefault="009021DF" w:rsidP="005B7332">
      <w:pPr>
        <w:ind w:left="-284" w:right="-567"/>
        <w:rPr>
          <w:kern w:val="32"/>
        </w:rPr>
      </w:pPr>
      <w:r w:rsidRPr="0029022B">
        <w:rPr>
          <w:kern w:val="32"/>
        </w:rPr>
        <w:t xml:space="preserve">The council is continually striving to increase the percentage of disabled staff within the workforce and to encourage employees to declare their disability. </w:t>
      </w:r>
      <w:r w:rsidR="00D16A8F">
        <w:rPr>
          <w:kern w:val="32"/>
        </w:rPr>
        <w:t xml:space="preserve"> </w:t>
      </w:r>
      <w:r w:rsidRPr="0029022B">
        <w:t>The ‘</w:t>
      </w:r>
      <w:r w:rsidRPr="0029022B">
        <w:rPr>
          <w:i/>
          <w:iCs/>
        </w:rPr>
        <w:t xml:space="preserve">Be yourself at work’ </w:t>
      </w:r>
      <w:r w:rsidRPr="0029022B">
        <w:t xml:space="preserve">campaign aims to encourage employees to complete their personal details on the </w:t>
      </w:r>
      <w:r w:rsidR="00157DFD" w:rsidRPr="0029022B">
        <w:rPr>
          <w:szCs w:val="22"/>
        </w:rPr>
        <w:t xml:space="preserve">HR </w:t>
      </w:r>
      <w:r w:rsidR="00157DFD" w:rsidRPr="005F2EC2">
        <w:rPr>
          <w:szCs w:val="22"/>
        </w:rPr>
        <w:t>My</w:t>
      </w:r>
      <w:r w:rsidR="00157DFD">
        <w:rPr>
          <w:szCs w:val="22"/>
        </w:rPr>
        <w:t>V</w:t>
      </w:r>
      <w:r w:rsidR="00157DFD" w:rsidRPr="005F2EC2">
        <w:rPr>
          <w:szCs w:val="22"/>
        </w:rPr>
        <w:t>iew</w:t>
      </w:r>
      <w:r w:rsidR="00157DFD" w:rsidRPr="0029022B">
        <w:rPr>
          <w:szCs w:val="22"/>
        </w:rPr>
        <w:t xml:space="preserve"> system</w:t>
      </w:r>
      <w:r w:rsidRPr="0029022B">
        <w:t xml:space="preserve">. </w:t>
      </w:r>
      <w:r w:rsidR="00D16A8F">
        <w:t xml:space="preserve"> </w:t>
      </w:r>
      <w:r w:rsidRPr="0029022B">
        <w:t>Further initiatives are being arranged to raise awareness of why the council needs equalities data and details of this can be found in the final paragraph ‘</w:t>
      </w:r>
      <w:r w:rsidRPr="0029022B">
        <w:rPr>
          <w:kern w:val="32"/>
        </w:rPr>
        <w:t>Pro-active measures toward an inclusive workforce’.</w:t>
      </w:r>
    </w:p>
    <w:p w14:paraId="7570C92A" w14:textId="77777777" w:rsidR="00685D5F" w:rsidRDefault="00685D5F" w:rsidP="005B7332">
      <w:pPr>
        <w:ind w:left="-284" w:right="-567"/>
        <w:rPr>
          <w:kern w:val="32"/>
        </w:rPr>
      </w:pPr>
    </w:p>
    <w:p w14:paraId="5D613548" w14:textId="7545F16E" w:rsidR="0014441F" w:rsidRPr="0014441F" w:rsidRDefault="009021DF" w:rsidP="0014441F">
      <w:pPr>
        <w:ind w:left="-284" w:right="-709"/>
        <w:rPr>
          <w:lang w:val="en"/>
        </w:rPr>
      </w:pPr>
      <w:r w:rsidRPr="0029022B">
        <w:rPr>
          <w:kern w:val="32"/>
        </w:rPr>
        <w:t xml:space="preserve">The council is signed up to the ‘Disability Confident’ scheme which replaced the ‘Two Ticks Positive about Disability Scheme’ in 2016. </w:t>
      </w:r>
      <w:r w:rsidR="00D16A8F">
        <w:rPr>
          <w:kern w:val="32"/>
        </w:rPr>
        <w:t xml:space="preserve"> </w:t>
      </w:r>
      <w:r w:rsidRPr="0029022B">
        <w:rPr>
          <w:kern w:val="32"/>
        </w:rPr>
        <w:t xml:space="preserve">Disability Confident </w:t>
      </w:r>
      <w:r w:rsidRPr="0029022B">
        <w:rPr>
          <w:lang w:val="en"/>
        </w:rPr>
        <w:t xml:space="preserve">aims to help employers make the most of the opportunities provided by employing disabled people. </w:t>
      </w:r>
      <w:r w:rsidR="00D16A8F">
        <w:rPr>
          <w:lang w:val="en"/>
        </w:rPr>
        <w:t xml:space="preserve"> </w:t>
      </w:r>
      <w:r w:rsidRPr="0029022B">
        <w:rPr>
          <w:lang w:val="en"/>
        </w:rPr>
        <w:t xml:space="preserve">It is voluntary and has been developed by employers and disabled people’s representatives. More information about the scheme can be found at </w:t>
      </w:r>
      <w:hyperlink r:id="rId13" w:history="1">
        <w:r w:rsidR="000A6006" w:rsidRPr="00F50FF4">
          <w:rPr>
            <w:rStyle w:val="Hyperlink"/>
            <w:lang w:val="en"/>
          </w:rPr>
          <w:t>www.gov.uk</w:t>
        </w:r>
      </w:hyperlink>
    </w:p>
    <w:p w14:paraId="7F8A0F7F" w14:textId="77777777" w:rsidR="00685D5F" w:rsidRPr="0092057F" w:rsidRDefault="00685D5F" w:rsidP="000A6006">
      <w:pPr>
        <w:ind w:right="-709"/>
        <w:rPr>
          <w:kern w:val="32"/>
        </w:rPr>
      </w:pPr>
    </w:p>
    <w:p w14:paraId="3B4B97A8" w14:textId="77777777" w:rsidR="009D5CA2" w:rsidRDefault="009021DF" w:rsidP="009D5CA2">
      <w:pPr>
        <w:ind w:left="-284" w:right="-567"/>
        <w:rPr>
          <w:kern w:val="32"/>
        </w:rPr>
      </w:pPr>
      <w:bookmarkStart w:id="11" w:name="_Hlk161655772"/>
      <w:r w:rsidRPr="0029022B">
        <w:rPr>
          <w:kern w:val="32"/>
        </w:rPr>
        <w:t xml:space="preserve">Working as a </w:t>
      </w:r>
      <w:r w:rsidRPr="0029022B">
        <w:rPr>
          <w:iCs/>
          <w:kern w:val="32"/>
        </w:rPr>
        <w:t>Disability Confident</w:t>
      </w:r>
      <w:r w:rsidRPr="0029022B">
        <w:rPr>
          <w:kern w:val="32"/>
        </w:rPr>
        <w:t xml:space="preserve"> employer and displaying the Disability Confident symbol, reinforces the council’s commitment to those with disabilities and gives the council the opportunity to regularly review, build upon and celebrate best practice in the employment arena. In doing so, the council provides evidence that it meets a number of commitments. </w:t>
      </w:r>
      <w:bookmarkEnd w:id="11"/>
    </w:p>
    <w:p w14:paraId="38E20C83" w14:textId="77777777" w:rsidR="004409F6" w:rsidRDefault="004409F6" w:rsidP="004409F6">
      <w:pPr>
        <w:pStyle w:val="Heading3"/>
        <w:rPr>
          <w:lang w:eastAsia="en-US"/>
        </w:rPr>
      </w:pPr>
    </w:p>
    <w:p w14:paraId="336D7778" w14:textId="3043ECD9" w:rsidR="00314379" w:rsidRPr="009D5CA2" w:rsidRDefault="00414F36" w:rsidP="004409F6">
      <w:pPr>
        <w:pStyle w:val="Heading3"/>
        <w:ind w:left="-284"/>
        <w:rPr>
          <w:kern w:val="32"/>
        </w:rPr>
      </w:pPr>
      <w:r w:rsidRPr="00180BC2">
        <w:rPr>
          <w:lang w:eastAsia="en-US"/>
        </w:rPr>
        <w:t>Medway Council workforce: Age</w:t>
      </w:r>
    </w:p>
    <w:p w14:paraId="10DF7B44" w14:textId="2249F502" w:rsidR="00634ECF" w:rsidRPr="00180BC2" w:rsidRDefault="00510EC3" w:rsidP="00180BC2">
      <w:pPr>
        <w:spacing w:before="240" w:after="240"/>
        <w:ind w:left="-284" w:right="-567"/>
        <w:rPr>
          <w:b/>
          <w:bCs/>
          <w:sz w:val="26"/>
          <w:szCs w:val="26"/>
        </w:rPr>
      </w:pPr>
      <w:r w:rsidRPr="00510EC3">
        <w:t xml:space="preserve">The council has an ageing workforce. This is reflected in </w:t>
      </w:r>
      <w:r w:rsidRPr="00510EC3">
        <w:fldChar w:fldCharType="begin"/>
      </w:r>
      <w:r w:rsidRPr="00510EC3">
        <w:instrText xml:space="preserve"> REF _Ref471811732 \h  \* MERGEFORMAT </w:instrText>
      </w:r>
      <w:r w:rsidRPr="00510EC3">
        <w:fldChar w:fldCharType="separate"/>
      </w:r>
      <w:r w:rsidR="00180BC2">
        <w:t>t</w:t>
      </w:r>
      <w:r w:rsidRPr="00510EC3">
        <w:t xml:space="preserve">able </w:t>
      </w:r>
      <w:r w:rsidRPr="00510EC3">
        <w:rPr>
          <w:noProof/>
        </w:rPr>
        <w:t>1</w:t>
      </w:r>
      <w:r w:rsidRPr="00510EC3">
        <w:fldChar w:fldCharType="end"/>
      </w:r>
      <w:r w:rsidR="00D71A9C">
        <w:t>1 below</w:t>
      </w:r>
      <w:r w:rsidRPr="00510EC3">
        <w:t xml:space="preserve">, which shows an increasing proportion of staff across </w:t>
      </w:r>
      <w:r w:rsidRPr="00510EC3">
        <w:rPr>
          <w:lang w:val="en-US"/>
        </w:rPr>
        <w:t>the 30 to 59 age groups</w:t>
      </w:r>
      <w:r w:rsidR="00180BC2">
        <w:t>.</w:t>
      </w:r>
    </w:p>
    <w:p w14:paraId="4D3F2AAF" w14:textId="00358B6A" w:rsidR="00596582" w:rsidRDefault="001941AA" w:rsidP="005B7332">
      <w:pPr>
        <w:ind w:left="-284" w:right="-426"/>
      </w:pPr>
      <w:r w:rsidRPr="005B7332">
        <w:t>The council has regard to the age profile of its current staff and the under-</w:t>
      </w:r>
      <w:r w:rsidR="001F5F60" w:rsidRPr="005B7332">
        <w:t>representation of those within the 16-19 age range</w:t>
      </w:r>
      <w:r w:rsidR="0098585A" w:rsidRPr="005B7332">
        <w:t xml:space="preserve">.  Due to this, the council has agreed within its Age Discrimination Policy (July 2012) to reserve the right to take </w:t>
      </w:r>
      <w:r w:rsidR="00AB0947" w:rsidRPr="005B7332">
        <w:t xml:space="preserve">positive action measures to assist with its workforce planning to attract </w:t>
      </w:r>
      <w:r w:rsidR="00E51D2B" w:rsidRPr="005B7332">
        <w:t>into its service younger people.</w:t>
      </w:r>
    </w:p>
    <w:p w14:paraId="4B9AD5D2" w14:textId="77777777" w:rsidR="00C2468A" w:rsidRPr="005B7332" w:rsidRDefault="00C2468A" w:rsidP="005B7332">
      <w:pPr>
        <w:ind w:left="-284" w:right="-426"/>
      </w:pPr>
    </w:p>
    <w:p w14:paraId="6D9AA3E5" w14:textId="1F491FCA" w:rsidR="00C024D5" w:rsidRPr="00C2468A" w:rsidRDefault="00C024D5" w:rsidP="005B7332">
      <w:pPr>
        <w:jc w:val="center"/>
        <w:rPr>
          <w:bCs/>
          <w:sz w:val="18"/>
          <w:szCs w:val="18"/>
        </w:rPr>
      </w:pPr>
      <w:r w:rsidRPr="00C2468A">
        <w:rPr>
          <w:bCs/>
          <w:sz w:val="18"/>
          <w:szCs w:val="18"/>
        </w:rPr>
        <w:t>Table 1</w:t>
      </w:r>
      <w:r w:rsidR="00D71A9C" w:rsidRPr="00C2468A">
        <w:rPr>
          <w:bCs/>
          <w:sz w:val="18"/>
          <w:szCs w:val="18"/>
        </w:rPr>
        <w:t>1</w:t>
      </w:r>
      <w:r w:rsidRPr="00C2468A">
        <w:rPr>
          <w:bCs/>
          <w:sz w:val="18"/>
          <w:szCs w:val="18"/>
        </w:rPr>
        <w:t xml:space="preserve"> Medway residents and Medway Council (non-school based staff)</w:t>
      </w:r>
    </w:p>
    <w:tbl>
      <w:tblPr>
        <w:tblStyle w:val="TableGrid"/>
        <w:tblW w:w="7366" w:type="dxa"/>
        <w:jc w:val="center"/>
        <w:tblLayout w:type="fixed"/>
        <w:tblLook w:val="04A0" w:firstRow="1" w:lastRow="0" w:firstColumn="1" w:lastColumn="0" w:noHBand="0" w:noVBand="1"/>
        <w:tblCaption w:val="Table 11 Medway residents and Medway Council (non-school based staff)"/>
        <w:tblDescription w:val="The council has an ageing workforce. This is reflected in table 11, which shows an increasing proportion of staff across the 30 to 59 age groups."/>
      </w:tblPr>
      <w:tblGrid>
        <w:gridCol w:w="988"/>
        <w:gridCol w:w="2552"/>
        <w:gridCol w:w="3826"/>
      </w:tblGrid>
      <w:tr w:rsidR="00C024D5" w:rsidRPr="00C2468A" w14:paraId="0739716C" w14:textId="77777777" w:rsidTr="00A54C12">
        <w:trPr>
          <w:trHeight w:val="20"/>
          <w:jc w:val="center"/>
        </w:trPr>
        <w:tc>
          <w:tcPr>
            <w:tcW w:w="671" w:type="pct"/>
            <w:shd w:val="clear" w:color="auto" w:fill="D9D9D9" w:themeFill="background1" w:themeFillShade="D9"/>
            <w:noWrap/>
            <w:hideMark/>
          </w:tcPr>
          <w:p w14:paraId="4BBDF8D5" w14:textId="77777777" w:rsidR="00C024D5" w:rsidRPr="00C2468A" w:rsidRDefault="00C024D5" w:rsidP="00A54C12">
            <w:pPr>
              <w:jc w:val="center"/>
              <w:rPr>
                <w:sz w:val="22"/>
                <w:szCs w:val="22"/>
                <w:lang w:eastAsia="ja-JP"/>
              </w:rPr>
            </w:pPr>
            <w:r w:rsidRPr="00C2468A">
              <w:rPr>
                <w:sz w:val="22"/>
                <w:szCs w:val="22"/>
                <w:lang w:eastAsia="ja-JP"/>
              </w:rPr>
              <w:t>Age Group</w:t>
            </w:r>
          </w:p>
        </w:tc>
        <w:tc>
          <w:tcPr>
            <w:tcW w:w="1732" w:type="pct"/>
            <w:shd w:val="clear" w:color="auto" w:fill="D9D9D9" w:themeFill="background1" w:themeFillShade="D9"/>
            <w:hideMark/>
          </w:tcPr>
          <w:p w14:paraId="51FFDD38" w14:textId="77777777" w:rsidR="00C024D5" w:rsidRPr="00C2468A" w:rsidRDefault="00C024D5" w:rsidP="00A54C12">
            <w:pPr>
              <w:tabs>
                <w:tab w:val="right" w:pos="2879"/>
              </w:tabs>
              <w:spacing w:before="60" w:after="60"/>
              <w:jc w:val="center"/>
              <w:rPr>
                <w:bCs/>
                <w:lang w:eastAsia="ja-JP"/>
              </w:rPr>
            </w:pPr>
            <w:r w:rsidRPr="00C2468A">
              <w:rPr>
                <w:bCs/>
                <w:lang w:eastAsia="ja-JP"/>
              </w:rPr>
              <w:t>Medway Council Staff</w:t>
            </w:r>
          </w:p>
          <w:p w14:paraId="5FD67F04" w14:textId="77777777" w:rsidR="00C024D5" w:rsidRPr="00C2468A" w:rsidRDefault="00C024D5" w:rsidP="00A54C12">
            <w:pPr>
              <w:jc w:val="center"/>
              <w:rPr>
                <w:sz w:val="22"/>
                <w:szCs w:val="22"/>
                <w:lang w:eastAsia="ja-JP"/>
              </w:rPr>
            </w:pPr>
            <w:r w:rsidRPr="00C2468A">
              <w:rPr>
                <w:bCs/>
                <w:lang w:eastAsia="ja-JP"/>
              </w:rPr>
              <w:t>(Jan 24)</w:t>
            </w:r>
          </w:p>
        </w:tc>
        <w:tc>
          <w:tcPr>
            <w:tcW w:w="2597" w:type="pct"/>
            <w:shd w:val="clear" w:color="auto" w:fill="D9D9D9" w:themeFill="background1" w:themeFillShade="D9"/>
          </w:tcPr>
          <w:p w14:paraId="42D395D8" w14:textId="77777777" w:rsidR="00C024D5" w:rsidRPr="00C2468A" w:rsidRDefault="00C024D5" w:rsidP="00A54C12">
            <w:pPr>
              <w:spacing w:before="60" w:after="60"/>
              <w:jc w:val="center"/>
              <w:rPr>
                <w:lang w:eastAsia="ja-JP"/>
              </w:rPr>
            </w:pPr>
            <w:r w:rsidRPr="00C2468A">
              <w:rPr>
                <w:lang w:eastAsia="ja-JP"/>
              </w:rPr>
              <w:t>Medway Residents</w:t>
            </w:r>
          </w:p>
          <w:p w14:paraId="4A284DB2" w14:textId="40E48F0D" w:rsidR="00C024D5" w:rsidRPr="00C2468A" w:rsidRDefault="00C024D5" w:rsidP="00A54C12">
            <w:pPr>
              <w:jc w:val="center"/>
              <w:rPr>
                <w:sz w:val="22"/>
                <w:szCs w:val="22"/>
                <w:lang w:eastAsia="ja-JP"/>
              </w:rPr>
            </w:pPr>
            <w:r w:rsidRPr="00C2468A">
              <w:rPr>
                <w:bCs/>
                <w:lang w:eastAsia="ja-JP"/>
              </w:rPr>
              <w:t>(Aged 16 to 64, 2021)</w:t>
            </w:r>
          </w:p>
        </w:tc>
      </w:tr>
      <w:tr w:rsidR="00C024D5" w:rsidRPr="00C2468A" w14:paraId="131424A5" w14:textId="77777777" w:rsidTr="00A54C12">
        <w:trPr>
          <w:trHeight w:val="20"/>
          <w:jc w:val="center"/>
        </w:trPr>
        <w:tc>
          <w:tcPr>
            <w:tcW w:w="671" w:type="pct"/>
            <w:shd w:val="clear" w:color="auto" w:fill="auto"/>
            <w:noWrap/>
            <w:hideMark/>
          </w:tcPr>
          <w:p w14:paraId="41C0E1D9"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16-19</w:t>
            </w:r>
          </w:p>
        </w:tc>
        <w:tc>
          <w:tcPr>
            <w:tcW w:w="1732" w:type="pct"/>
            <w:shd w:val="clear" w:color="auto" w:fill="auto"/>
            <w:hideMark/>
          </w:tcPr>
          <w:p w14:paraId="1FA522B7" w14:textId="77777777" w:rsidR="00C024D5" w:rsidRPr="00C2468A" w:rsidRDefault="00C024D5" w:rsidP="00A54C12">
            <w:pPr>
              <w:jc w:val="center"/>
              <w:rPr>
                <w:sz w:val="20"/>
                <w:szCs w:val="20"/>
                <w:lang w:eastAsia="ja-JP"/>
              </w:rPr>
            </w:pPr>
            <w:r w:rsidRPr="00C2468A">
              <w:rPr>
                <w:sz w:val="20"/>
                <w:szCs w:val="20"/>
                <w:lang w:eastAsia="ja-JP"/>
              </w:rPr>
              <w:t>4.1%</w:t>
            </w:r>
          </w:p>
        </w:tc>
        <w:tc>
          <w:tcPr>
            <w:tcW w:w="2597" w:type="pct"/>
            <w:shd w:val="clear" w:color="auto" w:fill="auto"/>
          </w:tcPr>
          <w:p w14:paraId="1D319B01" w14:textId="77777777" w:rsidR="00C024D5" w:rsidRPr="00C2468A" w:rsidRDefault="00C024D5" w:rsidP="00A54C12">
            <w:pPr>
              <w:jc w:val="center"/>
              <w:rPr>
                <w:sz w:val="20"/>
                <w:szCs w:val="20"/>
                <w:lang w:eastAsia="ja-JP"/>
              </w:rPr>
            </w:pPr>
            <w:r w:rsidRPr="00C2468A">
              <w:rPr>
                <w:sz w:val="20"/>
                <w:szCs w:val="20"/>
                <w:lang w:eastAsia="ja-JP"/>
              </w:rPr>
              <w:t>5.8%</w:t>
            </w:r>
          </w:p>
        </w:tc>
      </w:tr>
      <w:tr w:rsidR="00C024D5" w:rsidRPr="00C2468A" w14:paraId="0B690A91" w14:textId="77777777" w:rsidTr="00A54C12">
        <w:trPr>
          <w:trHeight w:val="20"/>
          <w:jc w:val="center"/>
        </w:trPr>
        <w:tc>
          <w:tcPr>
            <w:tcW w:w="671" w:type="pct"/>
            <w:shd w:val="clear" w:color="auto" w:fill="auto"/>
            <w:noWrap/>
            <w:hideMark/>
          </w:tcPr>
          <w:p w14:paraId="06CE9906"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20-24</w:t>
            </w:r>
          </w:p>
        </w:tc>
        <w:tc>
          <w:tcPr>
            <w:tcW w:w="1732" w:type="pct"/>
            <w:shd w:val="clear" w:color="auto" w:fill="auto"/>
            <w:hideMark/>
          </w:tcPr>
          <w:p w14:paraId="3ED12ECE" w14:textId="77777777" w:rsidR="00C024D5" w:rsidRPr="00C2468A" w:rsidRDefault="00C024D5" w:rsidP="00A54C12">
            <w:pPr>
              <w:jc w:val="center"/>
              <w:rPr>
                <w:sz w:val="20"/>
                <w:szCs w:val="20"/>
                <w:lang w:eastAsia="ja-JP"/>
              </w:rPr>
            </w:pPr>
            <w:r w:rsidRPr="00C2468A">
              <w:rPr>
                <w:sz w:val="20"/>
                <w:szCs w:val="20"/>
                <w:lang w:eastAsia="ja-JP"/>
              </w:rPr>
              <w:t>5.2%</w:t>
            </w:r>
          </w:p>
        </w:tc>
        <w:tc>
          <w:tcPr>
            <w:tcW w:w="2597" w:type="pct"/>
            <w:shd w:val="clear" w:color="auto" w:fill="auto"/>
          </w:tcPr>
          <w:p w14:paraId="79FD7471" w14:textId="77777777" w:rsidR="00C024D5" w:rsidRPr="00C2468A" w:rsidRDefault="00C024D5" w:rsidP="00A54C12">
            <w:pPr>
              <w:jc w:val="center"/>
              <w:rPr>
                <w:sz w:val="20"/>
                <w:szCs w:val="20"/>
                <w:lang w:eastAsia="ja-JP"/>
              </w:rPr>
            </w:pPr>
            <w:r w:rsidRPr="00C2468A">
              <w:rPr>
                <w:color w:val="000000"/>
                <w:sz w:val="22"/>
                <w:szCs w:val="22"/>
              </w:rPr>
              <w:t>5.7%</w:t>
            </w:r>
          </w:p>
        </w:tc>
      </w:tr>
      <w:tr w:rsidR="00C024D5" w:rsidRPr="00C2468A" w14:paraId="5AE6E72A" w14:textId="77777777" w:rsidTr="00A54C12">
        <w:trPr>
          <w:trHeight w:val="20"/>
          <w:jc w:val="center"/>
        </w:trPr>
        <w:tc>
          <w:tcPr>
            <w:tcW w:w="671" w:type="pct"/>
            <w:shd w:val="clear" w:color="auto" w:fill="auto"/>
            <w:noWrap/>
            <w:hideMark/>
          </w:tcPr>
          <w:p w14:paraId="57C7055C"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25-29</w:t>
            </w:r>
          </w:p>
        </w:tc>
        <w:tc>
          <w:tcPr>
            <w:tcW w:w="1732" w:type="pct"/>
            <w:shd w:val="clear" w:color="auto" w:fill="auto"/>
            <w:hideMark/>
          </w:tcPr>
          <w:p w14:paraId="09258C77" w14:textId="77777777" w:rsidR="00C024D5" w:rsidRPr="00C2468A" w:rsidRDefault="00C024D5" w:rsidP="00A54C12">
            <w:pPr>
              <w:jc w:val="center"/>
              <w:rPr>
                <w:sz w:val="20"/>
                <w:szCs w:val="20"/>
                <w:lang w:eastAsia="ja-JP"/>
              </w:rPr>
            </w:pPr>
            <w:r w:rsidRPr="00C2468A">
              <w:rPr>
                <w:sz w:val="20"/>
                <w:szCs w:val="20"/>
                <w:lang w:eastAsia="ja-JP"/>
              </w:rPr>
              <w:t>7.9%</w:t>
            </w:r>
          </w:p>
        </w:tc>
        <w:tc>
          <w:tcPr>
            <w:tcW w:w="2597" w:type="pct"/>
            <w:shd w:val="clear" w:color="auto" w:fill="auto"/>
          </w:tcPr>
          <w:p w14:paraId="008A763E" w14:textId="77777777" w:rsidR="00C024D5" w:rsidRPr="00C2468A" w:rsidRDefault="00C024D5" w:rsidP="00A54C12">
            <w:pPr>
              <w:jc w:val="center"/>
              <w:rPr>
                <w:sz w:val="20"/>
                <w:szCs w:val="20"/>
                <w:lang w:eastAsia="ja-JP"/>
              </w:rPr>
            </w:pPr>
            <w:r w:rsidRPr="00C2468A">
              <w:rPr>
                <w:color w:val="000000"/>
                <w:sz w:val="22"/>
                <w:szCs w:val="22"/>
              </w:rPr>
              <w:t>6.6%</w:t>
            </w:r>
          </w:p>
        </w:tc>
      </w:tr>
      <w:tr w:rsidR="00C024D5" w:rsidRPr="00C2468A" w14:paraId="7D048E19" w14:textId="77777777" w:rsidTr="00A54C12">
        <w:trPr>
          <w:trHeight w:val="20"/>
          <w:jc w:val="center"/>
        </w:trPr>
        <w:tc>
          <w:tcPr>
            <w:tcW w:w="671" w:type="pct"/>
            <w:shd w:val="clear" w:color="auto" w:fill="auto"/>
            <w:noWrap/>
            <w:hideMark/>
          </w:tcPr>
          <w:p w14:paraId="673F0A67"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30-34</w:t>
            </w:r>
          </w:p>
        </w:tc>
        <w:tc>
          <w:tcPr>
            <w:tcW w:w="1732" w:type="pct"/>
            <w:shd w:val="clear" w:color="auto" w:fill="auto"/>
            <w:hideMark/>
          </w:tcPr>
          <w:p w14:paraId="787EF60B" w14:textId="77777777" w:rsidR="00C024D5" w:rsidRPr="00C2468A" w:rsidRDefault="00C024D5" w:rsidP="00A54C12">
            <w:pPr>
              <w:jc w:val="center"/>
              <w:rPr>
                <w:sz w:val="20"/>
                <w:szCs w:val="20"/>
                <w:lang w:eastAsia="ja-JP"/>
              </w:rPr>
            </w:pPr>
            <w:r w:rsidRPr="00C2468A">
              <w:rPr>
                <w:sz w:val="20"/>
                <w:szCs w:val="20"/>
                <w:lang w:eastAsia="ja-JP"/>
              </w:rPr>
              <w:t>8.0%</w:t>
            </w:r>
          </w:p>
        </w:tc>
        <w:tc>
          <w:tcPr>
            <w:tcW w:w="2597" w:type="pct"/>
            <w:shd w:val="clear" w:color="auto" w:fill="auto"/>
          </w:tcPr>
          <w:p w14:paraId="39B20207" w14:textId="77777777" w:rsidR="00C024D5" w:rsidRPr="00C2468A" w:rsidRDefault="00C024D5" w:rsidP="00A54C12">
            <w:pPr>
              <w:jc w:val="center"/>
              <w:rPr>
                <w:sz w:val="20"/>
                <w:szCs w:val="20"/>
                <w:lang w:eastAsia="ja-JP"/>
              </w:rPr>
            </w:pPr>
            <w:r w:rsidRPr="00C2468A">
              <w:rPr>
                <w:color w:val="000000"/>
                <w:sz w:val="22"/>
                <w:szCs w:val="22"/>
              </w:rPr>
              <w:t>7.3%</w:t>
            </w:r>
          </w:p>
        </w:tc>
      </w:tr>
      <w:tr w:rsidR="00C024D5" w:rsidRPr="00C2468A" w14:paraId="06223A75" w14:textId="77777777" w:rsidTr="00A54C12">
        <w:trPr>
          <w:trHeight w:val="20"/>
          <w:jc w:val="center"/>
        </w:trPr>
        <w:tc>
          <w:tcPr>
            <w:tcW w:w="671" w:type="pct"/>
            <w:shd w:val="clear" w:color="auto" w:fill="auto"/>
            <w:hideMark/>
          </w:tcPr>
          <w:p w14:paraId="32CC40D4"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35-39</w:t>
            </w:r>
          </w:p>
        </w:tc>
        <w:tc>
          <w:tcPr>
            <w:tcW w:w="1732" w:type="pct"/>
            <w:shd w:val="clear" w:color="auto" w:fill="auto"/>
            <w:hideMark/>
          </w:tcPr>
          <w:p w14:paraId="60DFE6A5" w14:textId="77777777" w:rsidR="00C024D5" w:rsidRPr="00C2468A" w:rsidRDefault="00C024D5" w:rsidP="00A54C12">
            <w:pPr>
              <w:jc w:val="center"/>
              <w:rPr>
                <w:sz w:val="20"/>
                <w:szCs w:val="20"/>
                <w:lang w:eastAsia="ja-JP"/>
              </w:rPr>
            </w:pPr>
            <w:r w:rsidRPr="00C2468A">
              <w:rPr>
                <w:sz w:val="20"/>
                <w:szCs w:val="20"/>
                <w:lang w:eastAsia="ja-JP"/>
              </w:rPr>
              <w:t>10.3%</w:t>
            </w:r>
          </w:p>
        </w:tc>
        <w:tc>
          <w:tcPr>
            <w:tcW w:w="2597" w:type="pct"/>
            <w:shd w:val="clear" w:color="auto" w:fill="auto"/>
          </w:tcPr>
          <w:p w14:paraId="08A03BC9" w14:textId="77777777" w:rsidR="00C024D5" w:rsidRPr="00C2468A" w:rsidRDefault="00C024D5" w:rsidP="00A54C12">
            <w:pPr>
              <w:jc w:val="center"/>
              <w:rPr>
                <w:sz w:val="20"/>
                <w:szCs w:val="20"/>
                <w:lang w:eastAsia="ja-JP"/>
              </w:rPr>
            </w:pPr>
            <w:r w:rsidRPr="00C2468A">
              <w:rPr>
                <w:color w:val="000000"/>
                <w:sz w:val="22"/>
                <w:szCs w:val="22"/>
              </w:rPr>
              <w:t>7.0%</w:t>
            </w:r>
          </w:p>
        </w:tc>
      </w:tr>
      <w:tr w:rsidR="00C024D5" w:rsidRPr="00C2468A" w14:paraId="52F6CBB2" w14:textId="77777777" w:rsidTr="00A54C12">
        <w:trPr>
          <w:trHeight w:val="20"/>
          <w:jc w:val="center"/>
        </w:trPr>
        <w:tc>
          <w:tcPr>
            <w:tcW w:w="671" w:type="pct"/>
            <w:shd w:val="clear" w:color="auto" w:fill="auto"/>
            <w:noWrap/>
            <w:hideMark/>
          </w:tcPr>
          <w:p w14:paraId="6A2942F7"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40-44</w:t>
            </w:r>
          </w:p>
        </w:tc>
        <w:tc>
          <w:tcPr>
            <w:tcW w:w="1732" w:type="pct"/>
            <w:shd w:val="clear" w:color="auto" w:fill="auto"/>
            <w:hideMark/>
          </w:tcPr>
          <w:p w14:paraId="4BFADADE" w14:textId="77777777" w:rsidR="00C024D5" w:rsidRPr="00C2468A" w:rsidRDefault="00C024D5" w:rsidP="00A54C12">
            <w:pPr>
              <w:jc w:val="center"/>
              <w:rPr>
                <w:sz w:val="20"/>
                <w:szCs w:val="20"/>
                <w:lang w:eastAsia="ja-JP"/>
              </w:rPr>
            </w:pPr>
            <w:r w:rsidRPr="00C2468A">
              <w:rPr>
                <w:sz w:val="20"/>
                <w:szCs w:val="20"/>
                <w:lang w:eastAsia="ja-JP"/>
              </w:rPr>
              <w:t>11.5%</w:t>
            </w:r>
          </w:p>
        </w:tc>
        <w:tc>
          <w:tcPr>
            <w:tcW w:w="2597" w:type="pct"/>
            <w:shd w:val="clear" w:color="auto" w:fill="auto"/>
          </w:tcPr>
          <w:p w14:paraId="71AB4805" w14:textId="77777777" w:rsidR="00C024D5" w:rsidRPr="00C2468A" w:rsidRDefault="00C024D5" w:rsidP="00A54C12">
            <w:pPr>
              <w:jc w:val="center"/>
              <w:rPr>
                <w:sz w:val="20"/>
                <w:szCs w:val="20"/>
                <w:lang w:eastAsia="ja-JP"/>
              </w:rPr>
            </w:pPr>
            <w:r w:rsidRPr="00C2468A">
              <w:rPr>
                <w:color w:val="000000"/>
                <w:sz w:val="22"/>
                <w:szCs w:val="22"/>
              </w:rPr>
              <w:t>6.6%</w:t>
            </w:r>
          </w:p>
        </w:tc>
      </w:tr>
      <w:tr w:rsidR="00C024D5" w:rsidRPr="00C2468A" w14:paraId="68300C80" w14:textId="77777777" w:rsidTr="00A54C12">
        <w:trPr>
          <w:trHeight w:val="20"/>
          <w:jc w:val="center"/>
        </w:trPr>
        <w:tc>
          <w:tcPr>
            <w:tcW w:w="671" w:type="pct"/>
            <w:shd w:val="clear" w:color="auto" w:fill="auto"/>
            <w:noWrap/>
            <w:hideMark/>
          </w:tcPr>
          <w:p w14:paraId="60F14A72"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45-49</w:t>
            </w:r>
          </w:p>
        </w:tc>
        <w:tc>
          <w:tcPr>
            <w:tcW w:w="1732" w:type="pct"/>
            <w:shd w:val="clear" w:color="auto" w:fill="auto"/>
            <w:hideMark/>
          </w:tcPr>
          <w:p w14:paraId="23C1EF00" w14:textId="77777777" w:rsidR="00C024D5" w:rsidRPr="00C2468A" w:rsidRDefault="00C024D5" w:rsidP="00A54C12">
            <w:pPr>
              <w:jc w:val="center"/>
              <w:rPr>
                <w:sz w:val="20"/>
                <w:szCs w:val="20"/>
                <w:lang w:eastAsia="ja-JP"/>
              </w:rPr>
            </w:pPr>
            <w:r w:rsidRPr="00C2468A">
              <w:rPr>
                <w:sz w:val="20"/>
                <w:szCs w:val="20"/>
                <w:lang w:eastAsia="ja-JP"/>
              </w:rPr>
              <w:t>11.1%</w:t>
            </w:r>
          </w:p>
        </w:tc>
        <w:tc>
          <w:tcPr>
            <w:tcW w:w="2597" w:type="pct"/>
            <w:shd w:val="clear" w:color="auto" w:fill="auto"/>
          </w:tcPr>
          <w:p w14:paraId="61FAA8F1" w14:textId="77777777" w:rsidR="00C024D5" w:rsidRPr="00C2468A" w:rsidRDefault="00C024D5" w:rsidP="00A54C12">
            <w:pPr>
              <w:jc w:val="center"/>
              <w:rPr>
                <w:sz w:val="20"/>
                <w:szCs w:val="20"/>
                <w:lang w:eastAsia="ja-JP"/>
              </w:rPr>
            </w:pPr>
            <w:r w:rsidRPr="00C2468A">
              <w:rPr>
                <w:color w:val="000000"/>
                <w:sz w:val="22"/>
                <w:szCs w:val="22"/>
              </w:rPr>
              <w:t>6.3%</w:t>
            </w:r>
          </w:p>
        </w:tc>
      </w:tr>
      <w:tr w:rsidR="00C024D5" w:rsidRPr="00C2468A" w14:paraId="05B844FE" w14:textId="77777777" w:rsidTr="00A54C12">
        <w:trPr>
          <w:trHeight w:val="20"/>
          <w:jc w:val="center"/>
        </w:trPr>
        <w:tc>
          <w:tcPr>
            <w:tcW w:w="671" w:type="pct"/>
            <w:shd w:val="clear" w:color="auto" w:fill="auto"/>
            <w:noWrap/>
            <w:hideMark/>
          </w:tcPr>
          <w:p w14:paraId="165C7A5F"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50-54</w:t>
            </w:r>
          </w:p>
        </w:tc>
        <w:tc>
          <w:tcPr>
            <w:tcW w:w="1732" w:type="pct"/>
            <w:shd w:val="clear" w:color="auto" w:fill="auto"/>
            <w:hideMark/>
          </w:tcPr>
          <w:p w14:paraId="74CF4941" w14:textId="77777777" w:rsidR="00C024D5" w:rsidRPr="00C2468A" w:rsidRDefault="00C024D5" w:rsidP="00A54C12">
            <w:pPr>
              <w:jc w:val="center"/>
              <w:rPr>
                <w:sz w:val="20"/>
                <w:szCs w:val="20"/>
                <w:lang w:eastAsia="ja-JP"/>
              </w:rPr>
            </w:pPr>
            <w:r w:rsidRPr="00C2468A">
              <w:rPr>
                <w:sz w:val="20"/>
                <w:szCs w:val="20"/>
                <w:lang w:eastAsia="ja-JP"/>
              </w:rPr>
              <w:t>11.7%</w:t>
            </w:r>
          </w:p>
        </w:tc>
        <w:tc>
          <w:tcPr>
            <w:tcW w:w="2597" w:type="pct"/>
            <w:shd w:val="clear" w:color="auto" w:fill="auto"/>
          </w:tcPr>
          <w:p w14:paraId="4F3A2C09" w14:textId="77777777" w:rsidR="00C024D5" w:rsidRPr="00C2468A" w:rsidRDefault="00C024D5" w:rsidP="00A54C12">
            <w:pPr>
              <w:jc w:val="center"/>
              <w:rPr>
                <w:sz w:val="20"/>
                <w:szCs w:val="20"/>
                <w:lang w:eastAsia="ja-JP"/>
              </w:rPr>
            </w:pPr>
            <w:r w:rsidRPr="00C2468A">
              <w:rPr>
                <w:color w:val="000000"/>
                <w:sz w:val="22"/>
                <w:szCs w:val="22"/>
              </w:rPr>
              <w:t>6.8%</w:t>
            </w:r>
          </w:p>
        </w:tc>
      </w:tr>
      <w:tr w:rsidR="00C024D5" w:rsidRPr="00C2468A" w14:paraId="079CB04F" w14:textId="77777777" w:rsidTr="00A54C12">
        <w:trPr>
          <w:trHeight w:val="20"/>
          <w:jc w:val="center"/>
        </w:trPr>
        <w:tc>
          <w:tcPr>
            <w:tcW w:w="671" w:type="pct"/>
            <w:shd w:val="clear" w:color="auto" w:fill="auto"/>
            <w:noWrap/>
            <w:hideMark/>
          </w:tcPr>
          <w:p w14:paraId="093B7116" w14:textId="2A227357" w:rsidR="00C024D5" w:rsidRPr="00C2468A" w:rsidRDefault="005F6B92" w:rsidP="00A54C12">
            <w:pPr>
              <w:jc w:val="center"/>
              <w:rPr>
                <w:rFonts w:eastAsia="Arial Unicode MS"/>
                <w:sz w:val="20"/>
                <w:szCs w:val="20"/>
                <w:lang w:eastAsia="ja-JP"/>
              </w:rPr>
            </w:pPr>
            <w:r w:rsidRPr="00C2468A">
              <w:rPr>
                <w:rFonts w:eastAsia="Arial Unicode MS"/>
                <w:sz w:val="20"/>
                <w:szCs w:val="20"/>
                <w:lang w:eastAsia="ja-JP"/>
              </w:rPr>
              <w:t>c</w:t>
            </w:r>
            <w:r w:rsidR="00C024D5" w:rsidRPr="00C2468A">
              <w:rPr>
                <w:rFonts w:eastAsia="Arial Unicode MS"/>
                <w:sz w:val="20"/>
                <w:szCs w:val="20"/>
                <w:lang w:eastAsia="ja-JP"/>
              </w:rPr>
              <w:t>55-59</w:t>
            </w:r>
          </w:p>
        </w:tc>
        <w:tc>
          <w:tcPr>
            <w:tcW w:w="1732" w:type="pct"/>
            <w:shd w:val="clear" w:color="auto" w:fill="auto"/>
            <w:hideMark/>
          </w:tcPr>
          <w:p w14:paraId="486DFDEF" w14:textId="77777777" w:rsidR="00C024D5" w:rsidRPr="00C2468A" w:rsidRDefault="00C024D5" w:rsidP="00A54C12">
            <w:pPr>
              <w:jc w:val="center"/>
              <w:rPr>
                <w:sz w:val="20"/>
                <w:szCs w:val="20"/>
                <w:lang w:eastAsia="ja-JP"/>
              </w:rPr>
            </w:pPr>
            <w:r w:rsidRPr="00C2468A">
              <w:rPr>
                <w:sz w:val="20"/>
                <w:szCs w:val="20"/>
                <w:lang w:eastAsia="ja-JP"/>
              </w:rPr>
              <w:t>12.0%</w:t>
            </w:r>
          </w:p>
        </w:tc>
        <w:tc>
          <w:tcPr>
            <w:tcW w:w="2597" w:type="pct"/>
            <w:shd w:val="clear" w:color="auto" w:fill="auto"/>
          </w:tcPr>
          <w:p w14:paraId="3EB3825B" w14:textId="77777777" w:rsidR="00C024D5" w:rsidRPr="00C2468A" w:rsidRDefault="00C024D5" w:rsidP="00A54C12">
            <w:pPr>
              <w:jc w:val="center"/>
              <w:rPr>
                <w:sz w:val="20"/>
                <w:szCs w:val="20"/>
                <w:lang w:eastAsia="ja-JP"/>
              </w:rPr>
            </w:pPr>
            <w:r w:rsidRPr="00C2468A">
              <w:rPr>
                <w:color w:val="000000"/>
                <w:sz w:val="22"/>
                <w:szCs w:val="22"/>
              </w:rPr>
              <w:t>6.7%</w:t>
            </w:r>
          </w:p>
        </w:tc>
      </w:tr>
      <w:tr w:rsidR="00C024D5" w:rsidRPr="00C2468A" w14:paraId="7D5221FF" w14:textId="77777777" w:rsidTr="00A54C12">
        <w:trPr>
          <w:trHeight w:val="20"/>
          <w:jc w:val="center"/>
        </w:trPr>
        <w:tc>
          <w:tcPr>
            <w:tcW w:w="671" w:type="pct"/>
            <w:shd w:val="clear" w:color="auto" w:fill="auto"/>
            <w:noWrap/>
            <w:hideMark/>
          </w:tcPr>
          <w:p w14:paraId="2124729C"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60-64</w:t>
            </w:r>
          </w:p>
        </w:tc>
        <w:tc>
          <w:tcPr>
            <w:tcW w:w="1732" w:type="pct"/>
            <w:shd w:val="clear" w:color="auto" w:fill="auto"/>
            <w:hideMark/>
          </w:tcPr>
          <w:p w14:paraId="0E4D8F16" w14:textId="77777777" w:rsidR="00C024D5" w:rsidRPr="00C2468A" w:rsidRDefault="00C024D5" w:rsidP="00A54C12">
            <w:pPr>
              <w:jc w:val="center"/>
              <w:rPr>
                <w:sz w:val="20"/>
                <w:szCs w:val="20"/>
                <w:lang w:eastAsia="ja-JP"/>
              </w:rPr>
            </w:pPr>
            <w:r w:rsidRPr="00C2468A">
              <w:rPr>
                <w:sz w:val="20"/>
                <w:szCs w:val="20"/>
                <w:lang w:eastAsia="ja-JP"/>
              </w:rPr>
              <w:t>10.2%</w:t>
            </w:r>
          </w:p>
        </w:tc>
        <w:tc>
          <w:tcPr>
            <w:tcW w:w="2597" w:type="pct"/>
            <w:shd w:val="clear" w:color="auto" w:fill="auto"/>
          </w:tcPr>
          <w:p w14:paraId="5076EC40" w14:textId="77777777" w:rsidR="00C024D5" w:rsidRPr="00C2468A" w:rsidRDefault="00C024D5" w:rsidP="00A54C12">
            <w:pPr>
              <w:jc w:val="center"/>
              <w:rPr>
                <w:sz w:val="20"/>
                <w:szCs w:val="20"/>
                <w:lang w:eastAsia="ja-JP"/>
              </w:rPr>
            </w:pPr>
            <w:r w:rsidRPr="00C2468A">
              <w:rPr>
                <w:color w:val="000000"/>
                <w:sz w:val="22"/>
                <w:szCs w:val="22"/>
              </w:rPr>
              <w:t>5.6%</w:t>
            </w:r>
          </w:p>
        </w:tc>
      </w:tr>
      <w:tr w:rsidR="00C024D5" w:rsidRPr="00C2468A" w14:paraId="5E7FB0A5" w14:textId="77777777" w:rsidTr="00A54C12">
        <w:trPr>
          <w:trHeight w:val="20"/>
          <w:jc w:val="center"/>
        </w:trPr>
        <w:tc>
          <w:tcPr>
            <w:tcW w:w="671" w:type="pct"/>
            <w:shd w:val="clear" w:color="auto" w:fill="auto"/>
            <w:noWrap/>
            <w:hideMark/>
          </w:tcPr>
          <w:p w14:paraId="52EF302B" w14:textId="77777777" w:rsidR="00C024D5" w:rsidRPr="00C2468A" w:rsidRDefault="00C024D5" w:rsidP="00A54C12">
            <w:pPr>
              <w:jc w:val="center"/>
              <w:rPr>
                <w:rFonts w:eastAsia="Arial Unicode MS"/>
                <w:sz w:val="20"/>
                <w:szCs w:val="20"/>
                <w:lang w:eastAsia="ja-JP"/>
              </w:rPr>
            </w:pPr>
            <w:r w:rsidRPr="00C2468A">
              <w:rPr>
                <w:rFonts w:eastAsia="Arial Unicode MS"/>
                <w:sz w:val="20"/>
                <w:szCs w:val="20"/>
                <w:lang w:eastAsia="ja-JP"/>
              </w:rPr>
              <w:t>65 and over</w:t>
            </w:r>
          </w:p>
        </w:tc>
        <w:tc>
          <w:tcPr>
            <w:tcW w:w="1732" w:type="pct"/>
            <w:shd w:val="clear" w:color="auto" w:fill="auto"/>
            <w:hideMark/>
          </w:tcPr>
          <w:p w14:paraId="3D17B744" w14:textId="77777777" w:rsidR="00C024D5" w:rsidRPr="00C2468A" w:rsidRDefault="00C024D5" w:rsidP="00A54C12">
            <w:pPr>
              <w:jc w:val="center"/>
              <w:rPr>
                <w:sz w:val="20"/>
                <w:szCs w:val="20"/>
                <w:lang w:eastAsia="ja-JP"/>
              </w:rPr>
            </w:pPr>
            <w:r w:rsidRPr="00C2468A">
              <w:rPr>
                <w:sz w:val="20"/>
                <w:szCs w:val="20"/>
                <w:lang w:eastAsia="ja-JP"/>
              </w:rPr>
              <w:t>8.1%</w:t>
            </w:r>
          </w:p>
        </w:tc>
        <w:tc>
          <w:tcPr>
            <w:tcW w:w="2597" w:type="pct"/>
            <w:shd w:val="clear" w:color="auto" w:fill="auto"/>
          </w:tcPr>
          <w:p w14:paraId="51DE76C8" w14:textId="77777777" w:rsidR="00C024D5" w:rsidRPr="00C2468A" w:rsidRDefault="00C024D5" w:rsidP="00A54C12">
            <w:pPr>
              <w:jc w:val="center"/>
              <w:rPr>
                <w:sz w:val="20"/>
                <w:szCs w:val="20"/>
                <w:lang w:eastAsia="ja-JP"/>
              </w:rPr>
            </w:pPr>
            <w:r w:rsidRPr="00C2468A">
              <w:rPr>
                <w:sz w:val="20"/>
                <w:szCs w:val="20"/>
                <w:lang w:eastAsia="ja-JP"/>
              </w:rPr>
              <w:t>-</w:t>
            </w:r>
          </w:p>
        </w:tc>
      </w:tr>
    </w:tbl>
    <w:p w14:paraId="1FE4C5A6" w14:textId="37A0EB1A" w:rsidR="00C024D5" w:rsidRPr="00C2468A" w:rsidRDefault="009E33F7" w:rsidP="005B7332">
      <w:pPr>
        <w:tabs>
          <w:tab w:val="left" w:pos="1000"/>
          <w:tab w:val="left" w:pos="1100"/>
        </w:tabs>
        <w:ind w:right="-1044"/>
      </w:pPr>
      <w:r w:rsidRPr="00C2468A">
        <w:rPr>
          <w:bCs/>
          <w:sz w:val="18"/>
          <w:szCs w:val="18"/>
        </w:rPr>
        <w:tab/>
      </w:r>
      <w:r w:rsidRPr="00C2468A">
        <w:rPr>
          <w:bCs/>
          <w:sz w:val="18"/>
          <w:szCs w:val="18"/>
        </w:rPr>
        <w:tab/>
      </w:r>
      <w:r w:rsidR="00C2468A">
        <w:rPr>
          <w:bCs/>
          <w:sz w:val="18"/>
          <w:szCs w:val="18"/>
        </w:rPr>
        <w:t xml:space="preserve">     </w:t>
      </w:r>
      <w:r w:rsidR="00C024D5" w:rsidRPr="00C2468A">
        <w:rPr>
          <w:bCs/>
          <w:sz w:val="18"/>
          <w:szCs w:val="18"/>
        </w:rPr>
        <w:t xml:space="preserve">Source: </w:t>
      </w:r>
      <w:r w:rsidR="00C024D5" w:rsidRPr="00C2468A">
        <w:rPr>
          <w:bCs/>
          <w:sz w:val="18"/>
          <w:szCs w:val="22"/>
        </w:rPr>
        <w:t>Medway Council workforce monitoring January 2024 and Census 2021</w:t>
      </w:r>
    </w:p>
    <w:p w14:paraId="4B460436" w14:textId="77777777" w:rsidR="00634ECF" w:rsidRPr="00C2468A" w:rsidRDefault="00634ECF" w:rsidP="005B7332">
      <w:pPr>
        <w:ind w:right="-567"/>
      </w:pPr>
    </w:p>
    <w:p w14:paraId="7B854189" w14:textId="1E240610" w:rsidR="00CE4967" w:rsidRDefault="00C024D5" w:rsidP="00634ECF">
      <w:pPr>
        <w:ind w:right="-567"/>
      </w:pPr>
      <w:r w:rsidRPr="0029022B">
        <w:t>Some of the positive measures undertaken to increase this demographic include a graduate scheme and apprenticeships which could lead to permanent employment, as well as an internship programme for students.</w:t>
      </w:r>
    </w:p>
    <w:p w14:paraId="0652492B" w14:textId="77777777" w:rsidR="008132C6" w:rsidRDefault="008132C6" w:rsidP="00634ECF">
      <w:pPr>
        <w:ind w:right="-567"/>
      </w:pPr>
    </w:p>
    <w:p w14:paraId="544AA1E6" w14:textId="1B6DEFD0" w:rsidR="00BF305E" w:rsidRPr="0029022B" w:rsidRDefault="00BF305E" w:rsidP="00180BC2">
      <w:pPr>
        <w:pStyle w:val="Heading3"/>
      </w:pPr>
      <w:r w:rsidRPr="0029022B">
        <w:t xml:space="preserve">Medway Council workforce: </w:t>
      </w:r>
      <w:r>
        <w:t>Ethnicity</w:t>
      </w:r>
    </w:p>
    <w:p w14:paraId="409D5ABB" w14:textId="77777777" w:rsidR="007E5B47" w:rsidRPr="005B7332" w:rsidRDefault="007E5B47" w:rsidP="00634ECF">
      <w:pPr>
        <w:rPr>
          <w:bCs/>
        </w:rPr>
      </w:pPr>
    </w:p>
    <w:p w14:paraId="3DCD807B" w14:textId="5F4E5369" w:rsidR="009021DF" w:rsidRDefault="009021DF" w:rsidP="005B7332">
      <w:pPr>
        <w:jc w:val="center"/>
        <w:rPr>
          <w:bCs/>
          <w:sz w:val="18"/>
          <w:szCs w:val="18"/>
        </w:rPr>
      </w:pPr>
      <w:r w:rsidRPr="0029022B">
        <w:rPr>
          <w:bCs/>
          <w:sz w:val="18"/>
          <w:szCs w:val="18"/>
        </w:rPr>
        <w:t xml:space="preserve">Table </w:t>
      </w:r>
      <w:bookmarkStart w:id="12" w:name="_Hlk130281510"/>
      <w:r w:rsidR="00E332B5">
        <w:rPr>
          <w:bCs/>
          <w:sz w:val="18"/>
          <w:szCs w:val="18"/>
        </w:rPr>
        <w:t>1</w:t>
      </w:r>
      <w:r w:rsidR="00157DFD">
        <w:rPr>
          <w:bCs/>
          <w:sz w:val="18"/>
          <w:szCs w:val="18"/>
        </w:rPr>
        <w:t>2</w:t>
      </w:r>
      <w:r w:rsidR="00E332B5" w:rsidRPr="0029022B">
        <w:rPr>
          <w:bCs/>
          <w:sz w:val="18"/>
          <w:szCs w:val="18"/>
        </w:rPr>
        <w:t xml:space="preserve"> </w:t>
      </w:r>
      <w:r w:rsidRPr="0029022B">
        <w:rPr>
          <w:bCs/>
          <w:sz w:val="18"/>
          <w:szCs w:val="18"/>
        </w:rPr>
        <w:t xml:space="preserve">Medway residents and Medway Council (non-school based staff) </w:t>
      </w:r>
      <w:bookmarkEnd w:id="12"/>
      <w:r w:rsidRPr="0029022B">
        <w:rPr>
          <w:bCs/>
          <w:sz w:val="18"/>
          <w:szCs w:val="18"/>
        </w:rPr>
        <w:t>ethnicity structure</w:t>
      </w:r>
    </w:p>
    <w:tbl>
      <w:tblPr>
        <w:tblStyle w:val="TableGrid"/>
        <w:tblW w:w="5108" w:type="pct"/>
        <w:tblLook w:val="04A0" w:firstRow="1" w:lastRow="0" w:firstColumn="1" w:lastColumn="0" w:noHBand="0" w:noVBand="1"/>
        <w:tblCaption w:val="Table 12 Medway residents and Medway Council (non-school based staff) ethnicity structure"/>
        <w:tblDescription w:val="Table 12 shows that the White (British, Irish and other White) community is very similar in the council and in the community."/>
      </w:tblPr>
      <w:tblGrid>
        <w:gridCol w:w="3300"/>
        <w:gridCol w:w="2733"/>
        <w:gridCol w:w="3225"/>
      </w:tblGrid>
      <w:tr w:rsidR="009021DF" w:rsidRPr="00CD3A3A" w14:paraId="16A05AC1" w14:textId="77777777" w:rsidTr="00A54C12">
        <w:trPr>
          <w:trHeight w:val="196"/>
        </w:trPr>
        <w:tc>
          <w:tcPr>
            <w:tcW w:w="1782" w:type="pct"/>
            <w:shd w:val="clear" w:color="auto" w:fill="D9D9D9" w:themeFill="background1" w:themeFillShade="D9"/>
            <w:noWrap/>
          </w:tcPr>
          <w:p w14:paraId="0FC6D663" w14:textId="77777777" w:rsidR="009021DF" w:rsidRPr="00CD3A3A" w:rsidRDefault="009021DF" w:rsidP="00DD1F72">
            <w:pPr>
              <w:keepNext/>
              <w:jc w:val="center"/>
              <w:outlineLvl w:val="8"/>
              <w:rPr>
                <w:rFonts w:eastAsia="Arial Unicode MS"/>
                <w:b/>
                <w:bCs/>
                <w:lang w:eastAsia="ja-JP"/>
              </w:rPr>
            </w:pPr>
            <w:bookmarkStart w:id="13" w:name="_Hlk160617379"/>
          </w:p>
        </w:tc>
        <w:tc>
          <w:tcPr>
            <w:tcW w:w="1476" w:type="pct"/>
            <w:shd w:val="clear" w:color="auto" w:fill="D9D9D9" w:themeFill="background1" w:themeFillShade="D9"/>
            <w:hideMark/>
          </w:tcPr>
          <w:p w14:paraId="73923867" w14:textId="77777777" w:rsidR="00A70BF9" w:rsidRPr="00A70BF9" w:rsidRDefault="00A70BF9" w:rsidP="00DD1F72">
            <w:pPr>
              <w:tabs>
                <w:tab w:val="right" w:pos="2879"/>
              </w:tabs>
              <w:jc w:val="center"/>
              <w:rPr>
                <w:bCs/>
                <w:lang w:eastAsia="ja-JP"/>
              </w:rPr>
            </w:pPr>
            <w:r w:rsidRPr="00A70BF9">
              <w:rPr>
                <w:bCs/>
                <w:lang w:eastAsia="ja-JP"/>
              </w:rPr>
              <w:t>Medway Council Staff</w:t>
            </w:r>
          </w:p>
          <w:p w14:paraId="65CF71DB" w14:textId="061627B5" w:rsidR="009021DF" w:rsidRPr="00CD3A3A" w:rsidRDefault="00A70BF9" w:rsidP="00DD1F72">
            <w:pPr>
              <w:jc w:val="center"/>
              <w:rPr>
                <w:rFonts w:eastAsia="Arial Unicode MS"/>
                <w:bCs/>
                <w:lang w:eastAsia="ja-JP"/>
              </w:rPr>
            </w:pPr>
            <w:r w:rsidRPr="00A70BF9">
              <w:rPr>
                <w:bCs/>
                <w:lang w:eastAsia="ja-JP"/>
              </w:rPr>
              <w:t>(Jan 24)</w:t>
            </w:r>
          </w:p>
        </w:tc>
        <w:tc>
          <w:tcPr>
            <w:tcW w:w="1742" w:type="pct"/>
            <w:shd w:val="clear" w:color="auto" w:fill="D9D9D9" w:themeFill="background1" w:themeFillShade="D9"/>
            <w:hideMark/>
          </w:tcPr>
          <w:p w14:paraId="342E9862" w14:textId="77777777" w:rsidR="00044745" w:rsidRPr="00CD3A3A" w:rsidRDefault="00044745" w:rsidP="00DD1F72">
            <w:pPr>
              <w:jc w:val="center"/>
              <w:rPr>
                <w:lang w:eastAsia="ja-JP"/>
              </w:rPr>
            </w:pPr>
            <w:r w:rsidRPr="00CD3A3A">
              <w:rPr>
                <w:lang w:eastAsia="ja-JP"/>
              </w:rPr>
              <w:t>Medway Residents</w:t>
            </w:r>
          </w:p>
          <w:p w14:paraId="2A47915D" w14:textId="7A98BC0B" w:rsidR="009021DF" w:rsidRPr="00CD3A3A" w:rsidRDefault="00044745" w:rsidP="00DD1F72">
            <w:pPr>
              <w:tabs>
                <w:tab w:val="right" w:pos="2879"/>
              </w:tabs>
              <w:jc w:val="center"/>
              <w:rPr>
                <w:bCs/>
                <w:lang w:eastAsia="ja-JP"/>
              </w:rPr>
            </w:pPr>
            <w:r w:rsidRPr="00CD3A3A">
              <w:rPr>
                <w:bCs/>
                <w:lang w:eastAsia="ja-JP"/>
              </w:rPr>
              <w:t>(Aged 16 to 64, 2021)</w:t>
            </w:r>
          </w:p>
        </w:tc>
      </w:tr>
      <w:tr w:rsidR="00A70BF9" w:rsidRPr="00CD3A3A" w14:paraId="2B56920F" w14:textId="77777777" w:rsidTr="00A54C12">
        <w:trPr>
          <w:trHeight w:hRule="exact" w:val="307"/>
        </w:trPr>
        <w:tc>
          <w:tcPr>
            <w:tcW w:w="1782" w:type="pct"/>
            <w:noWrap/>
            <w:hideMark/>
          </w:tcPr>
          <w:p w14:paraId="20C659E9" w14:textId="77777777" w:rsidR="00A70BF9" w:rsidRPr="00CD3A3A" w:rsidRDefault="00A70BF9" w:rsidP="00A70BF9">
            <w:pPr>
              <w:rPr>
                <w:rFonts w:eastAsia="Arial Unicode MS"/>
                <w:lang w:eastAsia="ja-JP"/>
              </w:rPr>
            </w:pPr>
            <w:bookmarkStart w:id="14" w:name="_Hlk160617433"/>
            <w:r w:rsidRPr="00CD3A3A">
              <w:rPr>
                <w:rFonts w:eastAsia="Arial Unicode MS"/>
                <w:lang w:eastAsia="ja-JP"/>
              </w:rPr>
              <w:t>White British, Irish, other</w:t>
            </w:r>
          </w:p>
        </w:tc>
        <w:tc>
          <w:tcPr>
            <w:tcW w:w="1476" w:type="pct"/>
            <w:hideMark/>
          </w:tcPr>
          <w:p w14:paraId="7473F12B" w14:textId="5CB06152" w:rsidR="00A70BF9" w:rsidRPr="00CD3A3A" w:rsidRDefault="00A70BF9" w:rsidP="00A70BF9">
            <w:pPr>
              <w:jc w:val="center"/>
              <w:rPr>
                <w:rFonts w:eastAsia="Arial Unicode MS"/>
                <w:lang w:eastAsia="ja-JP"/>
              </w:rPr>
            </w:pPr>
            <w:r>
              <w:rPr>
                <w:rFonts w:eastAsia="Arial Unicode MS"/>
                <w:lang w:eastAsia="ja-JP"/>
              </w:rPr>
              <w:t>77.88</w:t>
            </w:r>
            <w:r w:rsidRPr="00CD3A3A">
              <w:rPr>
                <w:rFonts w:eastAsia="Arial Unicode MS"/>
                <w:lang w:eastAsia="ja-JP"/>
              </w:rPr>
              <w:t>%</w:t>
            </w:r>
          </w:p>
        </w:tc>
        <w:tc>
          <w:tcPr>
            <w:tcW w:w="1742" w:type="pct"/>
            <w:hideMark/>
          </w:tcPr>
          <w:p w14:paraId="1EF8014C" w14:textId="7E4E26E8" w:rsidR="00A70BF9" w:rsidRPr="00CD3A3A" w:rsidRDefault="00A70BF9" w:rsidP="00A70BF9">
            <w:pPr>
              <w:jc w:val="center"/>
              <w:rPr>
                <w:rFonts w:eastAsia="Arial Unicode MS"/>
                <w:lang w:eastAsia="ja-JP"/>
              </w:rPr>
            </w:pPr>
            <w:r w:rsidRPr="00CD3A3A">
              <w:rPr>
                <w:lang w:eastAsia="ja-JP"/>
              </w:rPr>
              <w:t>84.3%</w:t>
            </w:r>
          </w:p>
        </w:tc>
      </w:tr>
      <w:tr w:rsidR="00A70BF9" w:rsidRPr="00CD3A3A" w14:paraId="43AE7242" w14:textId="77777777" w:rsidTr="00A54C12">
        <w:trPr>
          <w:trHeight w:hRule="exact" w:val="307"/>
        </w:trPr>
        <w:tc>
          <w:tcPr>
            <w:tcW w:w="1782" w:type="pct"/>
            <w:noWrap/>
            <w:hideMark/>
          </w:tcPr>
          <w:p w14:paraId="332E0DEF" w14:textId="77777777" w:rsidR="00A70BF9" w:rsidRPr="00CD3A3A" w:rsidRDefault="00A70BF9" w:rsidP="00A70BF9">
            <w:pPr>
              <w:rPr>
                <w:rFonts w:eastAsia="Arial Unicode MS"/>
                <w:lang w:eastAsia="ja-JP"/>
              </w:rPr>
            </w:pPr>
            <w:r w:rsidRPr="00CD3A3A">
              <w:rPr>
                <w:lang w:eastAsia="ja-JP"/>
              </w:rPr>
              <w:t>Multi ethnic</w:t>
            </w:r>
          </w:p>
        </w:tc>
        <w:tc>
          <w:tcPr>
            <w:tcW w:w="1476" w:type="pct"/>
            <w:hideMark/>
          </w:tcPr>
          <w:p w14:paraId="08D9646B" w14:textId="462D90F2" w:rsidR="00A70BF9" w:rsidRPr="00CD3A3A" w:rsidRDefault="00A70BF9" w:rsidP="00A70BF9">
            <w:pPr>
              <w:jc w:val="center"/>
              <w:rPr>
                <w:rFonts w:eastAsia="Arial Unicode MS"/>
                <w:lang w:eastAsia="ja-JP"/>
              </w:rPr>
            </w:pPr>
            <w:r>
              <w:rPr>
                <w:rFonts w:eastAsia="Arial Unicode MS"/>
                <w:lang w:eastAsia="ja-JP"/>
              </w:rPr>
              <w:t>1.5</w:t>
            </w:r>
            <w:r w:rsidRPr="00CD3A3A">
              <w:rPr>
                <w:rFonts w:eastAsia="Arial Unicode MS"/>
                <w:lang w:eastAsia="ja-JP"/>
              </w:rPr>
              <w:t>%</w:t>
            </w:r>
          </w:p>
        </w:tc>
        <w:tc>
          <w:tcPr>
            <w:tcW w:w="1742" w:type="pct"/>
            <w:hideMark/>
          </w:tcPr>
          <w:p w14:paraId="16EE0124" w14:textId="482F857C" w:rsidR="00A70BF9" w:rsidRPr="00CD3A3A" w:rsidRDefault="00A70BF9" w:rsidP="00A70BF9">
            <w:pPr>
              <w:jc w:val="center"/>
              <w:rPr>
                <w:rFonts w:eastAsia="Arial Unicode MS"/>
                <w:lang w:eastAsia="ja-JP"/>
              </w:rPr>
            </w:pPr>
            <w:r w:rsidRPr="00CD3A3A">
              <w:rPr>
                <w:lang w:eastAsia="ja-JP"/>
              </w:rPr>
              <w:t>2.8%</w:t>
            </w:r>
          </w:p>
        </w:tc>
      </w:tr>
      <w:tr w:rsidR="00A70BF9" w:rsidRPr="00CD3A3A" w14:paraId="38296564" w14:textId="77777777" w:rsidTr="00A54C12">
        <w:trPr>
          <w:trHeight w:hRule="exact" w:val="307"/>
        </w:trPr>
        <w:tc>
          <w:tcPr>
            <w:tcW w:w="1782" w:type="pct"/>
            <w:noWrap/>
            <w:hideMark/>
          </w:tcPr>
          <w:p w14:paraId="16621FF3" w14:textId="77777777" w:rsidR="00A70BF9" w:rsidRPr="00CD3A3A" w:rsidRDefault="00A70BF9" w:rsidP="00A70BF9">
            <w:pPr>
              <w:rPr>
                <w:rFonts w:eastAsia="Arial Unicode MS"/>
                <w:lang w:eastAsia="ja-JP"/>
              </w:rPr>
            </w:pPr>
            <w:r w:rsidRPr="00CD3A3A">
              <w:rPr>
                <w:lang w:eastAsia="ja-JP"/>
              </w:rPr>
              <w:t>Asian or Asian British</w:t>
            </w:r>
          </w:p>
        </w:tc>
        <w:tc>
          <w:tcPr>
            <w:tcW w:w="1476" w:type="pct"/>
            <w:hideMark/>
          </w:tcPr>
          <w:p w14:paraId="4D707C2D" w14:textId="5EC55FF5" w:rsidR="00A70BF9" w:rsidRPr="00CD3A3A" w:rsidRDefault="00A70BF9" w:rsidP="00A70BF9">
            <w:pPr>
              <w:jc w:val="center"/>
              <w:rPr>
                <w:rFonts w:eastAsia="Arial Unicode MS"/>
                <w:lang w:eastAsia="ja-JP"/>
              </w:rPr>
            </w:pPr>
            <w:r>
              <w:rPr>
                <w:rFonts w:eastAsia="Arial Unicode MS"/>
                <w:lang w:eastAsia="ja-JP"/>
              </w:rPr>
              <w:t>4.8</w:t>
            </w:r>
            <w:r w:rsidRPr="00CD3A3A">
              <w:rPr>
                <w:rFonts w:eastAsia="Arial Unicode MS"/>
                <w:lang w:eastAsia="ja-JP"/>
              </w:rPr>
              <w:t>%</w:t>
            </w:r>
          </w:p>
        </w:tc>
        <w:tc>
          <w:tcPr>
            <w:tcW w:w="1742" w:type="pct"/>
            <w:hideMark/>
          </w:tcPr>
          <w:p w14:paraId="6F58AE73" w14:textId="1F7C4179" w:rsidR="00A70BF9" w:rsidRPr="00CD3A3A" w:rsidRDefault="00A70BF9" w:rsidP="00A70BF9">
            <w:pPr>
              <w:jc w:val="center"/>
              <w:rPr>
                <w:rFonts w:eastAsia="Arial Unicode MS"/>
                <w:lang w:eastAsia="ja-JP"/>
              </w:rPr>
            </w:pPr>
            <w:r w:rsidRPr="00CD3A3A">
              <w:rPr>
                <w:lang w:eastAsia="ja-JP"/>
              </w:rPr>
              <w:t>5.9%</w:t>
            </w:r>
          </w:p>
        </w:tc>
      </w:tr>
      <w:tr w:rsidR="00A70BF9" w:rsidRPr="00CD3A3A" w14:paraId="15A553D5" w14:textId="77777777" w:rsidTr="00A54C12">
        <w:trPr>
          <w:trHeight w:hRule="exact" w:val="307"/>
        </w:trPr>
        <w:tc>
          <w:tcPr>
            <w:tcW w:w="1782" w:type="pct"/>
            <w:noWrap/>
            <w:hideMark/>
          </w:tcPr>
          <w:p w14:paraId="272391A9" w14:textId="77777777" w:rsidR="00A70BF9" w:rsidRPr="00CD3A3A" w:rsidRDefault="00A70BF9" w:rsidP="00A70BF9">
            <w:pPr>
              <w:rPr>
                <w:rFonts w:eastAsia="Arial Unicode MS"/>
                <w:lang w:eastAsia="ja-JP"/>
              </w:rPr>
            </w:pPr>
            <w:r w:rsidRPr="00CD3A3A">
              <w:rPr>
                <w:lang w:eastAsia="ja-JP"/>
              </w:rPr>
              <w:t>Black or Black British</w:t>
            </w:r>
          </w:p>
        </w:tc>
        <w:tc>
          <w:tcPr>
            <w:tcW w:w="1476" w:type="pct"/>
            <w:hideMark/>
          </w:tcPr>
          <w:p w14:paraId="1A97BC31" w14:textId="09B95B07" w:rsidR="00A70BF9" w:rsidRPr="00CD3A3A" w:rsidRDefault="00A70BF9" w:rsidP="00A70BF9">
            <w:pPr>
              <w:jc w:val="center"/>
              <w:rPr>
                <w:rFonts w:eastAsia="Arial Unicode MS"/>
                <w:lang w:eastAsia="ja-JP"/>
              </w:rPr>
            </w:pPr>
            <w:r>
              <w:rPr>
                <w:rFonts w:eastAsia="Arial Unicode MS"/>
                <w:lang w:eastAsia="ja-JP"/>
              </w:rPr>
              <w:t>6.9</w:t>
            </w:r>
            <w:r w:rsidRPr="00CD3A3A">
              <w:rPr>
                <w:rFonts w:eastAsia="Arial Unicode MS"/>
                <w:lang w:eastAsia="ja-JP"/>
              </w:rPr>
              <w:t>%</w:t>
            </w:r>
          </w:p>
        </w:tc>
        <w:tc>
          <w:tcPr>
            <w:tcW w:w="1742" w:type="pct"/>
            <w:hideMark/>
          </w:tcPr>
          <w:p w14:paraId="4A1B5554" w14:textId="7E60A823" w:rsidR="00A70BF9" w:rsidRPr="00CD3A3A" w:rsidRDefault="00A70BF9" w:rsidP="00A70BF9">
            <w:pPr>
              <w:jc w:val="center"/>
              <w:rPr>
                <w:rFonts w:eastAsia="Arial Unicode MS"/>
                <w:lang w:eastAsia="ja-JP"/>
              </w:rPr>
            </w:pPr>
            <w:r w:rsidRPr="00CD3A3A">
              <w:rPr>
                <w:lang w:eastAsia="ja-JP"/>
              </w:rPr>
              <w:t>5.6%</w:t>
            </w:r>
          </w:p>
        </w:tc>
      </w:tr>
      <w:tr w:rsidR="00A70BF9" w:rsidRPr="00CD3A3A" w14:paraId="0BA3312D" w14:textId="77777777" w:rsidTr="00A54C12">
        <w:trPr>
          <w:trHeight w:hRule="exact" w:val="307"/>
        </w:trPr>
        <w:tc>
          <w:tcPr>
            <w:tcW w:w="1782" w:type="pct"/>
            <w:hideMark/>
          </w:tcPr>
          <w:p w14:paraId="028DBD77" w14:textId="77777777" w:rsidR="00A70BF9" w:rsidRPr="00CD3A3A" w:rsidRDefault="00A70BF9" w:rsidP="00A70BF9">
            <w:pPr>
              <w:rPr>
                <w:rFonts w:eastAsia="Arial Unicode MS"/>
                <w:lang w:eastAsia="ja-JP"/>
              </w:rPr>
            </w:pPr>
            <w:r w:rsidRPr="00CD3A3A">
              <w:rPr>
                <w:lang w:eastAsia="ja-JP"/>
              </w:rPr>
              <w:t>Other</w:t>
            </w:r>
          </w:p>
        </w:tc>
        <w:tc>
          <w:tcPr>
            <w:tcW w:w="1476" w:type="pct"/>
            <w:hideMark/>
          </w:tcPr>
          <w:p w14:paraId="12AA42B8" w14:textId="2F34A495" w:rsidR="00A70BF9" w:rsidRPr="00CD3A3A" w:rsidRDefault="00A70BF9" w:rsidP="00A70BF9">
            <w:pPr>
              <w:jc w:val="center"/>
              <w:rPr>
                <w:rFonts w:eastAsia="Arial Unicode MS"/>
                <w:lang w:eastAsia="ja-JP"/>
              </w:rPr>
            </w:pPr>
            <w:r>
              <w:rPr>
                <w:rFonts w:eastAsia="Arial Unicode MS"/>
                <w:lang w:eastAsia="ja-JP"/>
              </w:rPr>
              <w:t>0.7</w:t>
            </w:r>
            <w:r w:rsidRPr="00CD3A3A">
              <w:rPr>
                <w:rFonts w:eastAsia="Arial Unicode MS"/>
                <w:lang w:eastAsia="ja-JP"/>
              </w:rPr>
              <w:t>%</w:t>
            </w:r>
          </w:p>
        </w:tc>
        <w:tc>
          <w:tcPr>
            <w:tcW w:w="1742" w:type="pct"/>
            <w:hideMark/>
          </w:tcPr>
          <w:p w14:paraId="28CE4113" w14:textId="12FF01FC" w:rsidR="00A70BF9" w:rsidRPr="00CD3A3A" w:rsidRDefault="00A70BF9" w:rsidP="00A70BF9">
            <w:pPr>
              <w:jc w:val="center"/>
              <w:rPr>
                <w:rFonts w:eastAsia="Arial Unicode MS"/>
                <w:lang w:eastAsia="ja-JP"/>
              </w:rPr>
            </w:pPr>
            <w:r w:rsidRPr="00CD3A3A">
              <w:rPr>
                <w:lang w:eastAsia="ja-JP"/>
              </w:rPr>
              <w:t>1.4%</w:t>
            </w:r>
          </w:p>
        </w:tc>
      </w:tr>
      <w:tr w:rsidR="00A70BF9" w:rsidRPr="00CD3A3A" w14:paraId="6C269C43" w14:textId="77777777" w:rsidTr="00A54C12">
        <w:trPr>
          <w:trHeight w:hRule="exact" w:val="307"/>
        </w:trPr>
        <w:tc>
          <w:tcPr>
            <w:tcW w:w="1782" w:type="pct"/>
            <w:noWrap/>
            <w:hideMark/>
          </w:tcPr>
          <w:p w14:paraId="0EA23277" w14:textId="77777777" w:rsidR="00A70BF9" w:rsidRPr="00CD3A3A" w:rsidRDefault="00A70BF9" w:rsidP="00A70BF9">
            <w:pPr>
              <w:rPr>
                <w:rFonts w:eastAsia="Arial Unicode MS"/>
                <w:lang w:eastAsia="ja-JP"/>
              </w:rPr>
            </w:pPr>
            <w:r w:rsidRPr="00CD3A3A">
              <w:rPr>
                <w:lang w:eastAsia="ja-JP"/>
              </w:rPr>
              <w:t>Not Given or Refused</w:t>
            </w:r>
          </w:p>
        </w:tc>
        <w:tc>
          <w:tcPr>
            <w:tcW w:w="1476" w:type="pct"/>
            <w:hideMark/>
          </w:tcPr>
          <w:p w14:paraId="7F76ABA9" w14:textId="26E57226" w:rsidR="00A70BF9" w:rsidRPr="00CD3A3A" w:rsidRDefault="00A70BF9" w:rsidP="00A70BF9">
            <w:pPr>
              <w:jc w:val="center"/>
              <w:rPr>
                <w:rFonts w:eastAsia="Arial Unicode MS"/>
                <w:lang w:eastAsia="ja-JP"/>
              </w:rPr>
            </w:pPr>
            <w:r>
              <w:rPr>
                <w:rFonts w:eastAsia="Arial Unicode MS"/>
                <w:lang w:eastAsia="ja-JP"/>
              </w:rPr>
              <w:t>8.2</w:t>
            </w:r>
            <w:r w:rsidRPr="00CD3A3A">
              <w:rPr>
                <w:rFonts w:eastAsia="Arial Unicode MS"/>
                <w:lang w:eastAsia="ja-JP"/>
              </w:rPr>
              <w:t>%</w:t>
            </w:r>
          </w:p>
        </w:tc>
        <w:tc>
          <w:tcPr>
            <w:tcW w:w="1742" w:type="pct"/>
            <w:hideMark/>
          </w:tcPr>
          <w:p w14:paraId="06A46796" w14:textId="681E4F0C" w:rsidR="00A70BF9" w:rsidRPr="00CD3A3A" w:rsidRDefault="00A70BF9" w:rsidP="00A70BF9">
            <w:pPr>
              <w:jc w:val="center"/>
              <w:rPr>
                <w:rFonts w:eastAsia="Arial Unicode MS"/>
                <w:lang w:eastAsia="ja-JP"/>
              </w:rPr>
            </w:pPr>
            <w:r w:rsidRPr="00CD3A3A">
              <w:rPr>
                <w:rFonts w:eastAsia="Arial Unicode MS"/>
                <w:lang w:eastAsia="ja-JP"/>
              </w:rPr>
              <w:t>N/A</w:t>
            </w:r>
          </w:p>
        </w:tc>
      </w:tr>
    </w:tbl>
    <w:bookmarkEnd w:id="13"/>
    <w:bookmarkEnd w:id="14"/>
    <w:p w14:paraId="50C1A8AC" w14:textId="341D66C5" w:rsidR="00815679" w:rsidRDefault="009021DF" w:rsidP="00815679">
      <w:pPr>
        <w:jc w:val="center"/>
        <w:rPr>
          <w:bCs/>
          <w:sz w:val="18"/>
          <w:szCs w:val="22"/>
        </w:rPr>
      </w:pPr>
      <w:r w:rsidRPr="0029022B">
        <w:rPr>
          <w:sz w:val="18"/>
          <w:szCs w:val="18"/>
        </w:rPr>
        <w:t xml:space="preserve">Source: </w:t>
      </w:r>
      <w:r w:rsidRPr="00D32AD3">
        <w:rPr>
          <w:sz w:val="18"/>
          <w:szCs w:val="18"/>
        </w:rPr>
        <w:t xml:space="preserve">Census 2021 </w:t>
      </w:r>
      <w:r w:rsidRPr="0029022B">
        <w:rPr>
          <w:sz w:val="18"/>
          <w:szCs w:val="18"/>
        </w:rPr>
        <w:t xml:space="preserve">and </w:t>
      </w:r>
      <w:r w:rsidRPr="0029022B">
        <w:rPr>
          <w:bCs/>
          <w:sz w:val="18"/>
          <w:szCs w:val="22"/>
        </w:rPr>
        <w:t xml:space="preserve">Medway Council workforce monitoring </w:t>
      </w:r>
      <w:r w:rsidRPr="000D2C68">
        <w:rPr>
          <w:bCs/>
          <w:sz w:val="18"/>
          <w:szCs w:val="22"/>
        </w:rPr>
        <w:t xml:space="preserve">January </w:t>
      </w:r>
      <w:r w:rsidR="00510EC3" w:rsidRPr="000D2C68">
        <w:rPr>
          <w:bCs/>
          <w:sz w:val="18"/>
          <w:szCs w:val="22"/>
        </w:rPr>
        <w:t>2</w:t>
      </w:r>
      <w:r w:rsidR="00510EC3">
        <w:rPr>
          <w:bCs/>
          <w:sz w:val="18"/>
          <w:szCs w:val="22"/>
        </w:rPr>
        <w:t>024</w:t>
      </w:r>
    </w:p>
    <w:p w14:paraId="294B8668" w14:textId="77777777" w:rsidR="00634ECF" w:rsidRDefault="00634ECF" w:rsidP="00815679">
      <w:pPr>
        <w:rPr>
          <w:kern w:val="32"/>
        </w:rPr>
      </w:pPr>
    </w:p>
    <w:p w14:paraId="0BAC64C5" w14:textId="352B675C" w:rsidR="009021DF" w:rsidRDefault="00157DFD" w:rsidP="00815679">
      <w:pPr>
        <w:rPr>
          <w:kern w:val="32"/>
        </w:rPr>
      </w:pPr>
      <w:r>
        <w:rPr>
          <w:kern w:val="32"/>
        </w:rPr>
        <w:t>T</w:t>
      </w:r>
      <w:r w:rsidR="009021DF" w:rsidRPr="00292A57">
        <w:rPr>
          <w:kern w:val="32"/>
        </w:rPr>
        <w:t>able</w:t>
      </w:r>
      <w:r>
        <w:rPr>
          <w:kern w:val="32"/>
        </w:rPr>
        <w:t xml:space="preserve"> 12</w:t>
      </w:r>
      <w:r w:rsidR="009021DF" w:rsidRPr="00292A57">
        <w:rPr>
          <w:kern w:val="32"/>
        </w:rPr>
        <w:t xml:space="preserve"> above shows that the White (</w:t>
      </w:r>
      <w:r w:rsidR="009021DF" w:rsidRPr="00292A57">
        <w:t>British, Irish and other White)</w:t>
      </w:r>
      <w:r w:rsidR="009021DF" w:rsidRPr="00292A57">
        <w:rPr>
          <w:kern w:val="32"/>
        </w:rPr>
        <w:t xml:space="preserve"> community is very similar in the council and in the community, and the </w:t>
      </w:r>
      <w:r w:rsidR="009021DF" w:rsidRPr="00292A57">
        <w:t xml:space="preserve">Black </w:t>
      </w:r>
      <w:r w:rsidR="009021DF" w:rsidRPr="00292A57">
        <w:rPr>
          <w:kern w:val="32"/>
        </w:rPr>
        <w:t>ethnic group is slightly overrepresented among the council workforces. On</w:t>
      </w:r>
      <w:r w:rsidR="009021DF">
        <w:rPr>
          <w:kern w:val="32"/>
        </w:rPr>
        <w:t xml:space="preserve"> the</w:t>
      </w:r>
      <w:r w:rsidR="009021DF" w:rsidRPr="00292A57">
        <w:rPr>
          <w:kern w:val="32"/>
        </w:rPr>
        <w:t xml:space="preserve"> other hand, the Asian ethnic group is underrepresented among the council workforces.</w:t>
      </w:r>
    </w:p>
    <w:p w14:paraId="32ED83D5" w14:textId="77777777" w:rsidR="00C062DA" w:rsidRPr="005B7332" w:rsidRDefault="00C062DA" w:rsidP="00815679">
      <w:pPr>
        <w:rPr>
          <w:bCs/>
          <w:szCs w:val="32"/>
        </w:rPr>
      </w:pPr>
    </w:p>
    <w:p w14:paraId="0640B5D0" w14:textId="74F3C7AD" w:rsidR="008C4A58" w:rsidRDefault="00815679" w:rsidP="00180BC2">
      <w:pPr>
        <w:pStyle w:val="Heading3"/>
      </w:pPr>
      <w:r w:rsidRPr="0029022B">
        <w:t>Other protected characteristics</w:t>
      </w:r>
    </w:p>
    <w:p w14:paraId="0966EE95" w14:textId="77777777" w:rsidR="002230EE" w:rsidRDefault="002230EE">
      <w:pPr>
        <w:rPr>
          <w:szCs w:val="22"/>
        </w:rPr>
      </w:pPr>
    </w:p>
    <w:p w14:paraId="470C41D5" w14:textId="192DB434" w:rsidR="00815679" w:rsidRDefault="00815679" w:rsidP="005B7332">
      <w:pPr>
        <w:rPr>
          <w:szCs w:val="22"/>
        </w:rPr>
      </w:pPr>
      <w:r w:rsidRPr="0029022B">
        <w:rPr>
          <w:szCs w:val="22"/>
        </w:rPr>
        <w:t xml:space="preserve">Due to low declaration levels on the HR </w:t>
      </w:r>
      <w:r w:rsidRPr="005F2EC2">
        <w:rPr>
          <w:szCs w:val="22"/>
        </w:rPr>
        <w:t>My</w:t>
      </w:r>
      <w:r>
        <w:rPr>
          <w:szCs w:val="22"/>
        </w:rPr>
        <w:t>V</w:t>
      </w:r>
      <w:r w:rsidRPr="005F2EC2">
        <w:rPr>
          <w:szCs w:val="22"/>
        </w:rPr>
        <w:t>iew</w:t>
      </w:r>
      <w:r w:rsidRPr="0029022B">
        <w:rPr>
          <w:szCs w:val="22"/>
        </w:rPr>
        <w:t xml:space="preserve"> system, data relating to the other protected characteristics such as sexual orientation and religion is not sufficient to enable any meaningful analysis. However, these figures are gradually increasing because of proactive measures that have been undertaken. These are highlighted in the section below.</w:t>
      </w:r>
    </w:p>
    <w:p w14:paraId="3444EBF6" w14:textId="77777777" w:rsidR="00467CD5" w:rsidRDefault="00467CD5" w:rsidP="005B7332">
      <w:pPr>
        <w:rPr>
          <w:szCs w:val="22"/>
        </w:rPr>
      </w:pPr>
    </w:p>
    <w:p w14:paraId="7903715F" w14:textId="77777777" w:rsidR="00815679" w:rsidRPr="000F3118" w:rsidRDefault="00815679" w:rsidP="00D37C37">
      <w:pPr>
        <w:pStyle w:val="Heading2"/>
        <w:rPr>
          <w:sz w:val="28"/>
          <w:szCs w:val="28"/>
        </w:rPr>
      </w:pPr>
      <w:r w:rsidRPr="000F3118">
        <w:rPr>
          <w:sz w:val="28"/>
          <w:szCs w:val="28"/>
        </w:rPr>
        <w:t>Medway Council Staff: Key differences compared with the Medway community profile.</w:t>
      </w:r>
    </w:p>
    <w:p w14:paraId="439967ED" w14:textId="77777777" w:rsidR="00157DFD" w:rsidRDefault="00157DFD" w:rsidP="00157DFD">
      <w:pPr>
        <w:rPr>
          <w:lang w:val="en-US" w:eastAsia="en-US"/>
        </w:rPr>
      </w:pPr>
    </w:p>
    <w:p w14:paraId="142147FE" w14:textId="09AF69A6" w:rsidR="00815679" w:rsidRDefault="00157DFD" w:rsidP="00D50962">
      <w:r w:rsidRPr="00A70BF9">
        <w:t>26% of the workforce (non-school) are male compared to 49% of the community (taking into consideration males between 16 and 64).</w:t>
      </w:r>
    </w:p>
    <w:p w14:paraId="7D352A16" w14:textId="77777777" w:rsidR="00157DFD" w:rsidRDefault="00157DFD" w:rsidP="00D50962">
      <w:pPr>
        <w:rPr>
          <w:lang w:val="en-US"/>
        </w:rPr>
      </w:pPr>
    </w:p>
    <w:p w14:paraId="23C9AE00" w14:textId="0B24F89D" w:rsidR="00157DFD" w:rsidRDefault="00157DFD" w:rsidP="00D50962">
      <w:r w:rsidRPr="00883C3E">
        <w:t>74% of the workforce (non-school) are female compared to 51% of the community.</w:t>
      </w:r>
    </w:p>
    <w:p w14:paraId="6DC47D93" w14:textId="77777777" w:rsidR="00157DFD" w:rsidRDefault="00157DFD" w:rsidP="00D50962"/>
    <w:p w14:paraId="2A90F1FD" w14:textId="2FFB0D4A" w:rsidR="00157DFD" w:rsidRDefault="00157DFD" w:rsidP="00D50962">
      <w:r w:rsidRPr="00A70BF9">
        <w:t>Only 5.3% of the council’s non-school staff has reported a disability, and there are 13% of residents who have reported a disability.</w:t>
      </w:r>
    </w:p>
    <w:p w14:paraId="5A5503EB" w14:textId="77777777" w:rsidR="00157DFD" w:rsidRDefault="00157DFD" w:rsidP="00D50962"/>
    <w:p w14:paraId="0AF07254" w14:textId="39B055E8" w:rsidR="00157DFD" w:rsidRDefault="00157DFD" w:rsidP="00D50962">
      <w:r w:rsidRPr="00184EDC">
        <w:t>Percentages of council’s staff in age brackets from 16 to 24 are lower than in the community.</w:t>
      </w:r>
      <w:r w:rsidRPr="00184EDC">
        <w:rPr>
          <w:color w:val="FF0000"/>
        </w:rPr>
        <w:t xml:space="preserve"> </w:t>
      </w:r>
      <w:r w:rsidRPr="00184EDC">
        <w:t xml:space="preserve">The larger difference is in the age group 16-19, which includes 5.8% of the community, compared to only 1.99% of the council’s non-school-based staff. </w:t>
      </w:r>
      <w:r>
        <w:t>All other age brackets are over represented in council staff</w:t>
      </w:r>
      <w:r w:rsidRPr="00184EDC">
        <w:t>.</w:t>
      </w:r>
    </w:p>
    <w:p w14:paraId="510F96A4" w14:textId="77777777" w:rsidR="00157DFD" w:rsidRDefault="00157DFD" w:rsidP="00D50962"/>
    <w:p w14:paraId="1ED078EB" w14:textId="77777777" w:rsidR="00157DFD" w:rsidRDefault="00157DFD" w:rsidP="00157DFD">
      <w:r w:rsidRPr="00D13BB1">
        <w:t>While the white and multi-ethnic populations are very similar in both – council and community – environments, there are some significant differences when comparing Asian and Black ethnicities.</w:t>
      </w:r>
    </w:p>
    <w:p w14:paraId="3EBB7F67" w14:textId="77777777" w:rsidR="00157DFD" w:rsidRPr="00D13BB1" w:rsidRDefault="00157DFD" w:rsidP="00157DFD"/>
    <w:p w14:paraId="1A8FEEFF" w14:textId="3A135674" w:rsidR="00157DFD" w:rsidRDefault="00157DFD" w:rsidP="00157DFD">
      <w:pPr>
        <w:rPr>
          <w:kern w:val="32"/>
        </w:rPr>
      </w:pPr>
      <w:r w:rsidRPr="008E5F2B">
        <w:t xml:space="preserve">Black </w:t>
      </w:r>
      <w:r w:rsidRPr="008E5F2B">
        <w:rPr>
          <w:kern w:val="32"/>
        </w:rPr>
        <w:t xml:space="preserve">ethnic groups are slightly overrepresented among the council workforce, with </w:t>
      </w:r>
      <w:r>
        <w:rPr>
          <w:kern w:val="32"/>
        </w:rPr>
        <w:t>6.9</w:t>
      </w:r>
      <w:r w:rsidRPr="008E5F2B">
        <w:rPr>
          <w:kern w:val="32"/>
        </w:rPr>
        <w:t xml:space="preserve">% of Black workforce versus 5.6% of Black population in the Medway community. On the other hand, the Asian ethnic group is underrepresented, with Asian staff making up </w:t>
      </w:r>
      <w:r>
        <w:rPr>
          <w:kern w:val="32"/>
        </w:rPr>
        <w:t>4.8</w:t>
      </w:r>
      <w:r w:rsidRPr="008E5F2B">
        <w:rPr>
          <w:kern w:val="32"/>
        </w:rPr>
        <w:t>% of the council’s workforce compared to 5.9% of the community.</w:t>
      </w:r>
    </w:p>
    <w:p w14:paraId="1DF6A525" w14:textId="77777777" w:rsidR="00815679" w:rsidRPr="005B7332" w:rsidRDefault="00815679" w:rsidP="005B7332">
      <w:pPr>
        <w:rPr>
          <w:bCs/>
        </w:rPr>
      </w:pPr>
    </w:p>
    <w:p w14:paraId="481CBF53" w14:textId="77777777" w:rsidR="00815679" w:rsidRPr="000F3118" w:rsidRDefault="00815679" w:rsidP="000F3118">
      <w:pPr>
        <w:pStyle w:val="Heading2"/>
        <w:rPr>
          <w:sz w:val="28"/>
          <w:szCs w:val="28"/>
          <w:highlight w:val="yellow"/>
        </w:rPr>
      </w:pPr>
      <w:r w:rsidRPr="000F3118">
        <w:rPr>
          <w:sz w:val="28"/>
          <w:szCs w:val="28"/>
        </w:rPr>
        <w:t>Proactive Measures toward an inclusive workforce</w:t>
      </w:r>
    </w:p>
    <w:p w14:paraId="4E0978B7" w14:textId="77777777" w:rsidR="008C4A58" w:rsidRDefault="008C4A58" w:rsidP="006B3BEC">
      <w:pPr>
        <w:jc w:val="both"/>
        <w:rPr>
          <w:szCs w:val="22"/>
        </w:rPr>
      </w:pPr>
    </w:p>
    <w:p w14:paraId="11E4BEAD" w14:textId="1188F41B" w:rsidR="00815679" w:rsidRDefault="00815679" w:rsidP="006B3BEC">
      <w:pPr>
        <w:jc w:val="both"/>
        <w:rPr>
          <w:szCs w:val="22"/>
        </w:rPr>
      </w:pPr>
      <w:r w:rsidRPr="00635946">
        <w:rPr>
          <w:szCs w:val="22"/>
        </w:rPr>
        <w:t>The council is taking pro-active measures toward building a supportive and inclusive workforce, some examples are as follows:</w:t>
      </w:r>
    </w:p>
    <w:p w14:paraId="4852AC95" w14:textId="77777777" w:rsidR="00E857F9" w:rsidRDefault="00E857F9" w:rsidP="006B3BEC">
      <w:pPr>
        <w:jc w:val="both"/>
        <w:rPr>
          <w:szCs w:val="22"/>
        </w:rPr>
      </w:pPr>
    </w:p>
    <w:p w14:paraId="21B29BEE" w14:textId="71F74403" w:rsidR="00DE2F9B" w:rsidRDefault="00E857F9" w:rsidP="00D37C37">
      <w:pPr>
        <w:pStyle w:val="ListParagraph"/>
        <w:numPr>
          <w:ilvl w:val="0"/>
          <w:numId w:val="3"/>
        </w:numPr>
        <w:ind w:left="360"/>
        <w:rPr>
          <w:szCs w:val="22"/>
        </w:rPr>
      </w:pPr>
      <w:r>
        <w:rPr>
          <w:szCs w:val="22"/>
        </w:rPr>
        <w:t>We use data from the bi-annual employee survey to help inform policy and process changes and shape future equality related initiatives.</w:t>
      </w:r>
    </w:p>
    <w:p w14:paraId="170D880B" w14:textId="77777777" w:rsidR="00DE2F9B" w:rsidRPr="00DE2F9B" w:rsidRDefault="00DE2F9B" w:rsidP="00D37C37">
      <w:pPr>
        <w:pStyle w:val="ListParagraph"/>
        <w:ind w:left="360"/>
        <w:rPr>
          <w:szCs w:val="22"/>
        </w:rPr>
      </w:pPr>
    </w:p>
    <w:p w14:paraId="17BB41FD" w14:textId="4C2C3A79" w:rsidR="00E857F9" w:rsidRDefault="00DE2F9B" w:rsidP="00D37C37">
      <w:pPr>
        <w:pStyle w:val="ListParagraph"/>
        <w:numPr>
          <w:ilvl w:val="0"/>
          <w:numId w:val="3"/>
        </w:numPr>
        <w:ind w:left="360"/>
      </w:pPr>
      <w:r>
        <w:t xml:space="preserve">The </w:t>
      </w:r>
      <w:r w:rsidRPr="00B966DD">
        <w:rPr>
          <w:bCs/>
        </w:rPr>
        <w:t>Medpay</w:t>
      </w:r>
      <w:r>
        <w:t xml:space="preserve"> performance related pay scheme seeks to reward those who are actively engaged in equality work over and above their normal duties (providing all normal targets have been met).</w:t>
      </w:r>
    </w:p>
    <w:p w14:paraId="09B8A21C" w14:textId="77777777" w:rsidR="00DE2F9B" w:rsidRPr="00DE2F9B" w:rsidRDefault="00DE2F9B" w:rsidP="00D37C37">
      <w:pPr>
        <w:pStyle w:val="ListParagraph"/>
        <w:ind w:left="360"/>
        <w:rPr>
          <w:szCs w:val="22"/>
        </w:rPr>
      </w:pPr>
    </w:p>
    <w:p w14:paraId="665298B1" w14:textId="65A403C5" w:rsidR="00DE2F9B" w:rsidRDefault="000D117E" w:rsidP="00D37C37">
      <w:pPr>
        <w:pStyle w:val="ListParagraph"/>
        <w:numPr>
          <w:ilvl w:val="0"/>
          <w:numId w:val="3"/>
        </w:numPr>
        <w:ind w:left="360"/>
        <w:rPr>
          <w:szCs w:val="22"/>
        </w:rPr>
      </w:pPr>
      <w:r>
        <w:rPr>
          <w:szCs w:val="22"/>
        </w:rPr>
        <w:t xml:space="preserve">The </w:t>
      </w:r>
      <w:r w:rsidRPr="00B966DD">
        <w:rPr>
          <w:szCs w:val="22"/>
        </w:rPr>
        <w:t>Make a Difference</w:t>
      </w:r>
      <w:r>
        <w:rPr>
          <w:szCs w:val="22"/>
        </w:rPr>
        <w:t xml:space="preserve"> employee recognition awards scheme, through the Inclusion and Diversity Award recognises excellence in those who have demonstrated how they have improved the access, participation, achievements, or life chances for the communities we serve and for the employees of Medway Council. </w:t>
      </w:r>
    </w:p>
    <w:p w14:paraId="6B3C079B" w14:textId="77777777" w:rsidR="000D117E" w:rsidRPr="000D117E" w:rsidRDefault="000D117E" w:rsidP="00D37C37">
      <w:pPr>
        <w:pStyle w:val="ListParagraph"/>
        <w:ind w:left="360"/>
        <w:rPr>
          <w:szCs w:val="22"/>
        </w:rPr>
      </w:pPr>
    </w:p>
    <w:p w14:paraId="0E47956C" w14:textId="0645F043" w:rsidR="000D117E" w:rsidRDefault="00270906" w:rsidP="00D37C37">
      <w:pPr>
        <w:pStyle w:val="ListParagraph"/>
        <w:numPr>
          <w:ilvl w:val="0"/>
          <w:numId w:val="3"/>
        </w:numPr>
        <w:ind w:left="360"/>
        <w:rPr>
          <w:szCs w:val="22"/>
        </w:rPr>
      </w:pPr>
      <w:r>
        <w:rPr>
          <w:szCs w:val="22"/>
        </w:rPr>
        <w:t xml:space="preserve">Employees are offered a comprehensive training facility on equality and diversity via </w:t>
      </w:r>
      <w:r w:rsidRPr="00B966DD">
        <w:rPr>
          <w:szCs w:val="22"/>
        </w:rPr>
        <w:t>e-learning</w:t>
      </w:r>
      <w:r>
        <w:rPr>
          <w:szCs w:val="22"/>
        </w:rPr>
        <w:t>.</w:t>
      </w:r>
    </w:p>
    <w:p w14:paraId="374FC40A" w14:textId="77777777" w:rsidR="00270906" w:rsidRPr="00270906" w:rsidRDefault="00270906" w:rsidP="00D37C37">
      <w:pPr>
        <w:pStyle w:val="ListParagraph"/>
        <w:ind w:left="360"/>
        <w:rPr>
          <w:szCs w:val="22"/>
        </w:rPr>
      </w:pPr>
    </w:p>
    <w:p w14:paraId="141CFE2D" w14:textId="6C3DCDA6" w:rsidR="00270906" w:rsidRDefault="00D71ED7" w:rsidP="00D37C37">
      <w:pPr>
        <w:pStyle w:val="ListParagraph"/>
        <w:numPr>
          <w:ilvl w:val="0"/>
          <w:numId w:val="3"/>
        </w:numPr>
        <w:ind w:left="360"/>
        <w:rPr>
          <w:szCs w:val="22"/>
        </w:rPr>
      </w:pPr>
      <w:r>
        <w:rPr>
          <w:szCs w:val="22"/>
        </w:rPr>
        <w:t>Employees are offered support via the Disabled network group.</w:t>
      </w:r>
    </w:p>
    <w:p w14:paraId="0BDFFB45" w14:textId="77777777" w:rsidR="00C15368" w:rsidRPr="00C15368" w:rsidRDefault="00C15368" w:rsidP="00D37C37">
      <w:pPr>
        <w:pStyle w:val="ListParagraph"/>
        <w:ind w:left="360"/>
        <w:rPr>
          <w:szCs w:val="22"/>
        </w:rPr>
      </w:pPr>
    </w:p>
    <w:p w14:paraId="5954236D" w14:textId="7DEC9365" w:rsidR="00C15368" w:rsidRDefault="00C412CA" w:rsidP="00D37C37">
      <w:pPr>
        <w:pStyle w:val="ListParagraph"/>
        <w:numPr>
          <w:ilvl w:val="0"/>
          <w:numId w:val="3"/>
        </w:numPr>
        <w:ind w:left="360"/>
        <w:rPr>
          <w:szCs w:val="22"/>
        </w:rPr>
      </w:pPr>
      <w:r>
        <w:rPr>
          <w:szCs w:val="22"/>
        </w:rPr>
        <w:t xml:space="preserve">In 2017 we became ‘Disability Confident’ – replacing </w:t>
      </w:r>
      <w:r w:rsidR="00DA023F">
        <w:rPr>
          <w:szCs w:val="22"/>
        </w:rPr>
        <w:t>the previous Positive About Disability scheme the Disability Confident scheme aims to help employers make the most of the opportunities provided by employing disabled people. It is voluntary and has been developed by employers and disabled people’s representatives.</w:t>
      </w:r>
    </w:p>
    <w:p w14:paraId="1931BFDD" w14:textId="77777777" w:rsidR="00C109DF" w:rsidRPr="00C109DF" w:rsidRDefault="00C109DF" w:rsidP="00D37C37">
      <w:pPr>
        <w:pStyle w:val="ListParagraph"/>
        <w:ind w:left="360"/>
        <w:rPr>
          <w:szCs w:val="22"/>
        </w:rPr>
      </w:pPr>
    </w:p>
    <w:p w14:paraId="1AA7248C" w14:textId="443608E3" w:rsidR="00C109DF" w:rsidRPr="00E857F9" w:rsidRDefault="00C109DF" w:rsidP="00D37C37">
      <w:pPr>
        <w:pStyle w:val="ListParagraph"/>
        <w:numPr>
          <w:ilvl w:val="0"/>
          <w:numId w:val="3"/>
        </w:numPr>
        <w:ind w:left="360"/>
        <w:rPr>
          <w:szCs w:val="22"/>
        </w:rPr>
      </w:pPr>
      <w:r>
        <w:rPr>
          <w:szCs w:val="22"/>
        </w:rPr>
        <w:t xml:space="preserve">We commit to working toward the principles of the </w:t>
      </w:r>
      <w:r w:rsidRPr="00B966DD">
        <w:rPr>
          <w:szCs w:val="22"/>
        </w:rPr>
        <w:t>Mindful Employer Charter</w:t>
      </w:r>
      <w:r>
        <w:rPr>
          <w:szCs w:val="22"/>
        </w:rPr>
        <w:t xml:space="preserve"> for employers who are positive about mental health.</w:t>
      </w:r>
    </w:p>
    <w:p w14:paraId="17942364" w14:textId="1C19B5A8" w:rsidR="005809AF" w:rsidRDefault="005809AF" w:rsidP="0018796A"/>
    <w:sectPr w:rsidR="005809AF" w:rsidSect="00E0173E">
      <w:footerReference w:type="default" r:id="rId14"/>
      <w:pgSz w:w="11906" w:h="16838"/>
      <w:pgMar w:top="1134"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7452" w14:textId="77777777" w:rsidR="00E0173E" w:rsidRDefault="00E0173E">
      <w:r>
        <w:separator/>
      </w:r>
    </w:p>
  </w:endnote>
  <w:endnote w:type="continuationSeparator" w:id="0">
    <w:p w14:paraId="2AE9BD46" w14:textId="77777777" w:rsidR="00E0173E" w:rsidRDefault="00E0173E">
      <w:r>
        <w:continuationSeparator/>
      </w:r>
    </w:p>
  </w:endnote>
  <w:endnote w:type="continuationNotice" w:id="1">
    <w:p w14:paraId="2E172DEA" w14:textId="77777777" w:rsidR="00E0173E" w:rsidRDefault="00E0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2854" w14:textId="0949F4D4" w:rsidR="00FC06C5" w:rsidRDefault="001A28BF" w:rsidP="00FC06C5">
    <w:pPr>
      <w:pStyle w:val="Default"/>
      <w:jc w:val="right"/>
      <w:rPr>
        <w:color w:val="auto"/>
        <w:sz w:val="16"/>
        <w:szCs w:val="16"/>
      </w:rPr>
    </w:pPr>
    <w:r>
      <w:rPr>
        <w:rFonts w:ascii="Tahoma" w:hAnsi="Tahoma" w:cs="Tahoma"/>
        <w:noProof/>
        <w:lang w:val="en"/>
      </w:rPr>
      <w:drawing>
        <wp:inline distT="0" distB="0" distL="0" distR="0" wp14:anchorId="2A0828B5" wp14:editId="000506A3">
          <wp:extent cx="786765" cy="560705"/>
          <wp:effectExtent l="0" t="0" r="0" b="0"/>
          <wp:docPr id="13460540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5409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560705"/>
                  </a:xfrm>
                  <a:prstGeom prst="rect">
                    <a:avLst/>
                  </a:prstGeom>
                  <a:noFill/>
                </pic:spPr>
              </pic:pic>
            </a:graphicData>
          </a:graphic>
        </wp:inline>
      </w:drawing>
    </w:r>
  </w:p>
  <w:p w14:paraId="183E7BED" w14:textId="754213CC" w:rsidR="00FC06C5" w:rsidRDefault="002C23F9" w:rsidP="00FC06C5">
    <w:pPr>
      <w:pStyle w:val="Default"/>
      <w:rPr>
        <w:color w:val="auto"/>
        <w:sz w:val="16"/>
        <w:szCs w:val="16"/>
      </w:rPr>
    </w:pPr>
    <w:r w:rsidRPr="0078403D">
      <w:rPr>
        <w:color w:val="auto"/>
        <w:sz w:val="16"/>
        <w:szCs w:val="16"/>
      </w:rPr>
      <w:t>HR &amp; Organisational Culture</w:t>
    </w:r>
    <w:r w:rsidR="00FC06C5">
      <w:rPr>
        <w:color w:val="auto"/>
        <w:sz w:val="16"/>
        <w:szCs w:val="16"/>
      </w:rPr>
      <w:t xml:space="preserve"> </w:t>
    </w:r>
  </w:p>
  <w:p w14:paraId="784F485C" w14:textId="621E848C" w:rsidR="0078403D" w:rsidRDefault="00FC06C5" w:rsidP="00384BF0">
    <w:pPr>
      <w:pStyle w:val="Default"/>
      <w:rPr>
        <w:color w:val="auto"/>
        <w:sz w:val="16"/>
        <w:szCs w:val="16"/>
      </w:rPr>
    </w:pPr>
    <w:r>
      <w:rPr>
        <w:color w:val="auto"/>
        <w:sz w:val="16"/>
        <w:szCs w:val="16"/>
      </w:rPr>
      <w:t>Medway Council</w:t>
    </w:r>
    <w:r w:rsidR="003119DD">
      <w:rPr>
        <w:color w:val="auto"/>
        <w:sz w:val="16"/>
        <w:szCs w:val="16"/>
      </w:rPr>
      <w:t>,</w:t>
    </w:r>
    <w:r>
      <w:rPr>
        <w:color w:val="auto"/>
        <w:sz w:val="16"/>
        <w:szCs w:val="16"/>
      </w:rPr>
      <w:t xml:space="preserve"> Gun Wharf, Dock Road, Chatham. </w:t>
    </w:r>
    <w:smartTag w:uri="urn:schemas-microsoft-com:office:smarttags" w:element="place">
      <w:smartTag w:uri="urn:schemas-microsoft-com:office:smarttags" w:element="country-region">
        <w:r>
          <w:rPr>
            <w:color w:val="auto"/>
            <w:sz w:val="16"/>
            <w:szCs w:val="16"/>
          </w:rPr>
          <w:t>Kent</w:t>
        </w:r>
      </w:smartTag>
    </w:smartTag>
    <w:r>
      <w:rPr>
        <w:color w:val="auto"/>
        <w:sz w:val="16"/>
        <w:szCs w:val="16"/>
      </w:rPr>
      <w:t>. ME4 4TR.</w:t>
    </w:r>
    <w:r w:rsidR="00384BF0">
      <w:rPr>
        <w:color w:val="auto"/>
        <w:sz w:val="16"/>
        <w:szCs w:val="16"/>
      </w:rPr>
      <w:tab/>
    </w:r>
    <w:r w:rsidR="003119DD">
      <w:rPr>
        <w:color w:val="auto"/>
        <w:sz w:val="16"/>
        <w:szCs w:val="16"/>
      </w:rPr>
      <w:tab/>
    </w:r>
    <w:r w:rsidR="003119DD">
      <w:rPr>
        <w:color w:val="auto"/>
        <w:sz w:val="16"/>
        <w:szCs w:val="16"/>
      </w:rPr>
      <w:tab/>
      <w:t>Published May 2024</w:t>
    </w:r>
    <w:r w:rsidR="00384BF0">
      <w:rPr>
        <w:color w:val="auto"/>
        <w:sz w:val="16"/>
        <w:szCs w:val="16"/>
      </w:rPr>
      <w:tab/>
    </w:r>
  </w:p>
  <w:p w14:paraId="31C206B2" w14:textId="77777777" w:rsidR="003119DD" w:rsidRDefault="00384BF0" w:rsidP="00384BF0">
    <w:pPr>
      <w:pStyle w:val="Default"/>
      <w:rPr>
        <w:color w:val="auto"/>
        <w:sz w:val="16"/>
        <w:szCs w:val="16"/>
      </w:rPr>
    </w:pPr>
    <w:r>
      <w:rPr>
        <w:color w:val="auto"/>
        <w:sz w:val="16"/>
        <w:szCs w:val="16"/>
      </w:rPr>
      <w:t xml:space="preserve">01634 332472 </w:t>
    </w:r>
  </w:p>
  <w:p w14:paraId="431B79FA" w14:textId="02FE6E73" w:rsidR="000C6D37" w:rsidRDefault="00C2468A" w:rsidP="009E33F7">
    <w:pPr>
      <w:ind w:left="-284" w:right="-709" w:firstLine="284"/>
      <w:rPr>
        <w:rFonts w:ascii="Tahoma" w:hAnsi="Tahoma" w:cs="Tahoma"/>
        <w:color w:val="000000"/>
        <w:lang w:val="en"/>
      </w:rPr>
    </w:pPr>
    <w:hyperlink r:id="rId2" w:history="1">
      <w:r w:rsidR="003119DD" w:rsidRPr="00F50FF4">
        <w:rPr>
          <w:rStyle w:val="Hyperlink"/>
          <w:color w:val="auto"/>
          <w:sz w:val="16"/>
          <w:szCs w:val="16"/>
          <w:lang w:val="en"/>
        </w:rPr>
        <w:t>Medway Council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AA87" w14:textId="77777777" w:rsidR="00E0173E" w:rsidRDefault="00E0173E">
      <w:bookmarkStart w:id="0" w:name="_Hlk167112424"/>
      <w:bookmarkEnd w:id="0"/>
      <w:r>
        <w:separator/>
      </w:r>
    </w:p>
  </w:footnote>
  <w:footnote w:type="continuationSeparator" w:id="0">
    <w:p w14:paraId="0202C3D2" w14:textId="77777777" w:rsidR="00E0173E" w:rsidRDefault="00E0173E">
      <w:r>
        <w:continuationSeparator/>
      </w:r>
    </w:p>
  </w:footnote>
  <w:footnote w:type="continuationNotice" w:id="1">
    <w:p w14:paraId="22191DA2" w14:textId="77777777" w:rsidR="00E0173E" w:rsidRDefault="00E01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881"/>
    <w:multiLevelType w:val="hybridMultilevel"/>
    <w:tmpl w:val="DA465790"/>
    <w:lvl w:ilvl="0" w:tplc="8EB4202A">
      <w:start w:val="1"/>
      <w:numFmt w:val="bullet"/>
      <w:lvlText w:val=""/>
      <w:lvlJc w:val="left"/>
      <w:pPr>
        <w:ind w:left="720" w:hanging="360"/>
      </w:pPr>
      <w:rPr>
        <w:rFonts w:ascii="Symbol" w:hAnsi="Symbol"/>
      </w:rPr>
    </w:lvl>
    <w:lvl w:ilvl="1" w:tplc="562097E2">
      <w:start w:val="1"/>
      <w:numFmt w:val="bullet"/>
      <w:lvlText w:val=""/>
      <w:lvlJc w:val="left"/>
      <w:pPr>
        <w:ind w:left="720" w:hanging="360"/>
      </w:pPr>
      <w:rPr>
        <w:rFonts w:ascii="Symbol" w:hAnsi="Symbol"/>
      </w:rPr>
    </w:lvl>
    <w:lvl w:ilvl="2" w:tplc="3C7AA036">
      <w:start w:val="1"/>
      <w:numFmt w:val="bullet"/>
      <w:lvlText w:val=""/>
      <w:lvlJc w:val="left"/>
      <w:pPr>
        <w:ind w:left="720" w:hanging="360"/>
      </w:pPr>
      <w:rPr>
        <w:rFonts w:ascii="Symbol" w:hAnsi="Symbol"/>
      </w:rPr>
    </w:lvl>
    <w:lvl w:ilvl="3" w:tplc="D64CB61E">
      <w:start w:val="1"/>
      <w:numFmt w:val="bullet"/>
      <w:lvlText w:val=""/>
      <w:lvlJc w:val="left"/>
      <w:pPr>
        <w:ind w:left="720" w:hanging="360"/>
      </w:pPr>
      <w:rPr>
        <w:rFonts w:ascii="Symbol" w:hAnsi="Symbol"/>
      </w:rPr>
    </w:lvl>
    <w:lvl w:ilvl="4" w:tplc="4B1E35D8">
      <w:start w:val="1"/>
      <w:numFmt w:val="bullet"/>
      <w:lvlText w:val=""/>
      <w:lvlJc w:val="left"/>
      <w:pPr>
        <w:ind w:left="720" w:hanging="360"/>
      </w:pPr>
      <w:rPr>
        <w:rFonts w:ascii="Symbol" w:hAnsi="Symbol"/>
      </w:rPr>
    </w:lvl>
    <w:lvl w:ilvl="5" w:tplc="1EBA40FE">
      <w:start w:val="1"/>
      <w:numFmt w:val="bullet"/>
      <w:lvlText w:val=""/>
      <w:lvlJc w:val="left"/>
      <w:pPr>
        <w:ind w:left="720" w:hanging="360"/>
      </w:pPr>
      <w:rPr>
        <w:rFonts w:ascii="Symbol" w:hAnsi="Symbol"/>
      </w:rPr>
    </w:lvl>
    <w:lvl w:ilvl="6" w:tplc="B31E19F8">
      <w:start w:val="1"/>
      <w:numFmt w:val="bullet"/>
      <w:lvlText w:val=""/>
      <w:lvlJc w:val="left"/>
      <w:pPr>
        <w:ind w:left="720" w:hanging="360"/>
      </w:pPr>
      <w:rPr>
        <w:rFonts w:ascii="Symbol" w:hAnsi="Symbol"/>
      </w:rPr>
    </w:lvl>
    <w:lvl w:ilvl="7" w:tplc="865C0060">
      <w:start w:val="1"/>
      <w:numFmt w:val="bullet"/>
      <w:lvlText w:val=""/>
      <w:lvlJc w:val="left"/>
      <w:pPr>
        <w:ind w:left="720" w:hanging="360"/>
      </w:pPr>
      <w:rPr>
        <w:rFonts w:ascii="Symbol" w:hAnsi="Symbol"/>
      </w:rPr>
    </w:lvl>
    <w:lvl w:ilvl="8" w:tplc="E4B6CB40">
      <w:start w:val="1"/>
      <w:numFmt w:val="bullet"/>
      <w:lvlText w:val=""/>
      <w:lvlJc w:val="left"/>
      <w:pPr>
        <w:ind w:left="720" w:hanging="360"/>
      </w:pPr>
      <w:rPr>
        <w:rFonts w:ascii="Symbol" w:hAnsi="Symbol"/>
      </w:rPr>
    </w:lvl>
  </w:abstractNum>
  <w:abstractNum w:abstractNumId="1" w15:restartNumberingAfterBreak="0">
    <w:nsid w:val="1C2B5162"/>
    <w:multiLevelType w:val="hybridMultilevel"/>
    <w:tmpl w:val="C1DEECD6"/>
    <w:lvl w:ilvl="0" w:tplc="50F661D6">
      <w:start w:val="1"/>
      <w:numFmt w:val="bullet"/>
      <w:lvlText w:val=""/>
      <w:lvlJc w:val="left"/>
      <w:pPr>
        <w:ind w:left="1440" w:hanging="360"/>
      </w:pPr>
      <w:rPr>
        <w:rFonts w:ascii="Symbol" w:hAnsi="Symbol"/>
      </w:rPr>
    </w:lvl>
    <w:lvl w:ilvl="1" w:tplc="E76CB21E">
      <w:start w:val="1"/>
      <w:numFmt w:val="bullet"/>
      <w:lvlText w:val=""/>
      <w:lvlJc w:val="left"/>
      <w:pPr>
        <w:ind w:left="1440" w:hanging="360"/>
      </w:pPr>
      <w:rPr>
        <w:rFonts w:ascii="Symbol" w:hAnsi="Symbol"/>
      </w:rPr>
    </w:lvl>
    <w:lvl w:ilvl="2" w:tplc="A64AD0D6">
      <w:start w:val="1"/>
      <w:numFmt w:val="bullet"/>
      <w:lvlText w:val=""/>
      <w:lvlJc w:val="left"/>
      <w:pPr>
        <w:ind w:left="1440" w:hanging="360"/>
      </w:pPr>
      <w:rPr>
        <w:rFonts w:ascii="Symbol" w:hAnsi="Symbol"/>
      </w:rPr>
    </w:lvl>
    <w:lvl w:ilvl="3" w:tplc="46A0FB0C">
      <w:start w:val="1"/>
      <w:numFmt w:val="bullet"/>
      <w:lvlText w:val=""/>
      <w:lvlJc w:val="left"/>
      <w:pPr>
        <w:ind w:left="1440" w:hanging="360"/>
      </w:pPr>
      <w:rPr>
        <w:rFonts w:ascii="Symbol" w:hAnsi="Symbol"/>
      </w:rPr>
    </w:lvl>
    <w:lvl w:ilvl="4" w:tplc="9DB80BA6">
      <w:start w:val="1"/>
      <w:numFmt w:val="bullet"/>
      <w:lvlText w:val=""/>
      <w:lvlJc w:val="left"/>
      <w:pPr>
        <w:ind w:left="1440" w:hanging="360"/>
      </w:pPr>
      <w:rPr>
        <w:rFonts w:ascii="Symbol" w:hAnsi="Symbol"/>
      </w:rPr>
    </w:lvl>
    <w:lvl w:ilvl="5" w:tplc="37C6FAD0">
      <w:start w:val="1"/>
      <w:numFmt w:val="bullet"/>
      <w:lvlText w:val=""/>
      <w:lvlJc w:val="left"/>
      <w:pPr>
        <w:ind w:left="1440" w:hanging="360"/>
      </w:pPr>
      <w:rPr>
        <w:rFonts w:ascii="Symbol" w:hAnsi="Symbol"/>
      </w:rPr>
    </w:lvl>
    <w:lvl w:ilvl="6" w:tplc="B35AF30A">
      <w:start w:val="1"/>
      <w:numFmt w:val="bullet"/>
      <w:lvlText w:val=""/>
      <w:lvlJc w:val="left"/>
      <w:pPr>
        <w:ind w:left="1440" w:hanging="360"/>
      </w:pPr>
      <w:rPr>
        <w:rFonts w:ascii="Symbol" w:hAnsi="Symbol"/>
      </w:rPr>
    </w:lvl>
    <w:lvl w:ilvl="7" w:tplc="85884218">
      <w:start w:val="1"/>
      <w:numFmt w:val="bullet"/>
      <w:lvlText w:val=""/>
      <w:lvlJc w:val="left"/>
      <w:pPr>
        <w:ind w:left="1440" w:hanging="360"/>
      </w:pPr>
      <w:rPr>
        <w:rFonts w:ascii="Symbol" w:hAnsi="Symbol"/>
      </w:rPr>
    </w:lvl>
    <w:lvl w:ilvl="8" w:tplc="190063B6">
      <w:start w:val="1"/>
      <w:numFmt w:val="bullet"/>
      <w:lvlText w:val=""/>
      <w:lvlJc w:val="left"/>
      <w:pPr>
        <w:ind w:left="1440" w:hanging="360"/>
      </w:pPr>
      <w:rPr>
        <w:rFonts w:ascii="Symbol" w:hAnsi="Symbol"/>
      </w:rPr>
    </w:lvl>
  </w:abstractNum>
  <w:abstractNum w:abstractNumId="2" w15:restartNumberingAfterBreak="0">
    <w:nsid w:val="3EE34E94"/>
    <w:multiLevelType w:val="hybridMultilevel"/>
    <w:tmpl w:val="75D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33C42"/>
    <w:multiLevelType w:val="hybridMultilevel"/>
    <w:tmpl w:val="08424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F6E8A"/>
    <w:multiLevelType w:val="hybridMultilevel"/>
    <w:tmpl w:val="CA5A7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52690C"/>
    <w:multiLevelType w:val="hybridMultilevel"/>
    <w:tmpl w:val="962ED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7109373">
    <w:abstractNumId w:val="4"/>
  </w:num>
  <w:num w:numId="2" w16cid:durableId="2100447448">
    <w:abstractNumId w:val="2"/>
  </w:num>
  <w:num w:numId="3" w16cid:durableId="1752119606">
    <w:abstractNumId w:val="3"/>
  </w:num>
  <w:num w:numId="4" w16cid:durableId="2087721013">
    <w:abstractNumId w:val="5"/>
  </w:num>
  <w:num w:numId="5" w16cid:durableId="1799377971">
    <w:abstractNumId w:val="1"/>
  </w:num>
  <w:num w:numId="6" w16cid:durableId="18508304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F8"/>
    <w:rsid w:val="00000472"/>
    <w:rsid w:val="00000564"/>
    <w:rsid w:val="00004397"/>
    <w:rsid w:val="00005159"/>
    <w:rsid w:val="00005DE0"/>
    <w:rsid w:val="000061BB"/>
    <w:rsid w:val="000106D5"/>
    <w:rsid w:val="000111E8"/>
    <w:rsid w:val="00012FAA"/>
    <w:rsid w:val="00013DCC"/>
    <w:rsid w:val="000166B3"/>
    <w:rsid w:val="000169C1"/>
    <w:rsid w:val="0002331E"/>
    <w:rsid w:val="0002494B"/>
    <w:rsid w:val="00025BDF"/>
    <w:rsid w:val="000304DF"/>
    <w:rsid w:val="00032EAE"/>
    <w:rsid w:val="00040119"/>
    <w:rsid w:val="00040235"/>
    <w:rsid w:val="00044745"/>
    <w:rsid w:val="00050FD1"/>
    <w:rsid w:val="000512C6"/>
    <w:rsid w:val="00051EB6"/>
    <w:rsid w:val="0005232B"/>
    <w:rsid w:val="0005465F"/>
    <w:rsid w:val="00056A2D"/>
    <w:rsid w:val="00061066"/>
    <w:rsid w:val="00061E36"/>
    <w:rsid w:val="000631A9"/>
    <w:rsid w:val="00063F1C"/>
    <w:rsid w:val="000705C8"/>
    <w:rsid w:val="00072B40"/>
    <w:rsid w:val="00080DCE"/>
    <w:rsid w:val="00080EB2"/>
    <w:rsid w:val="000813E7"/>
    <w:rsid w:val="00084D60"/>
    <w:rsid w:val="00087B06"/>
    <w:rsid w:val="00087DAD"/>
    <w:rsid w:val="000903F1"/>
    <w:rsid w:val="0009137C"/>
    <w:rsid w:val="000925DB"/>
    <w:rsid w:val="00092C67"/>
    <w:rsid w:val="00096BEF"/>
    <w:rsid w:val="00097F18"/>
    <w:rsid w:val="000A0938"/>
    <w:rsid w:val="000A24FC"/>
    <w:rsid w:val="000A40E0"/>
    <w:rsid w:val="000A4272"/>
    <w:rsid w:val="000A4414"/>
    <w:rsid w:val="000A6006"/>
    <w:rsid w:val="000A6584"/>
    <w:rsid w:val="000B0804"/>
    <w:rsid w:val="000B0B74"/>
    <w:rsid w:val="000B57C0"/>
    <w:rsid w:val="000C0592"/>
    <w:rsid w:val="000C3373"/>
    <w:rsid w:val="000C41AB"/>
    <w:rsid w:val="000C6D37"/>
    <w:rsid w:val="000D0A8B"/>
    <w:rsid w:val="000D117E"/>
    <w:rsid w:val="000D2C68"/>
    <w:rsid w:val="000D66FE"/>
    <w:rsid w:val="000D722A"/>
    <w:rsid w:val="000E0CD3"/>
    <w:rsid w:val="000E34C3"/>
    <w:rsid w:val="000E35BD"/>
    <w:rsid w:val="000E4C29"/>
    <w:rsid w:val="000E5E4D"/>
    <w:rsid w:val="000F1777"/>
    <w:rsid w:val="000F3118"/>
    <w:rsid w:val="000F661D"/>
    <w:rsid w:val="00101F99"/>
    <w:rsid w:val="001049ED"/>
    <w:rsid w:val="00104DF5"/>
    <w:rsid w:val="001050FF"/>
    <w:rsid w:val="00106975"/>
    <w:rsid w:val="0011135D"/>
    <w:rsid w:val="001118BC"/>
    <w:rsid w:val="00117723"/>
    <w:rsid w:val="001207B4"/>
    <w:rsid w:val="001243B9"/>
    <w:rsid w:val="0012541A"/>
    <w:rsid w:val="00125422"/>
    <w:rsid w:val="00127328"/>
    <w:rsid w:val="001305BF"/>
    <w:rsid w:val="001308D8"/>
    <w:rsid w:val="00130FFF"/>
    <w:rsid w:val="00134901"/>
    <w:rsid w:val="0013650A"/>
    <w:rsid w:val="0014427A"/>
    <w:rsid w:val="0014441F"/>
    <w:rsid w:val="00144D15"/>
    <w:rsid w:val="00144F13"/>
    <w:rsid w:val="00147DED"/>
    <w:rsid w:val="00155F8F"/>
    <w:rsid w:val="001569AF"/>
    <w:rsid w:val="00157DFD"/>
    <w:rsid w:val="001619F2"/>
    <w:rsid w:val="001629FA"/>
    <w:rsid w:val="00164C6B"/>
    <w:rsid w:val="00165A0A"/>
    <w:rsid w:val="00165E7B"/>
    <w:rsid w:val="0017255A"/>
    <w:rsid w:val="00173E34"/>
    <w:rsid w:val="00177F93"/>
    <w:rsid w:val="00180BC2"/>
    <w:rsid w:val="00180D94"/>
    <w:rsid w:val="00183298"/>
    <w:rsid w:val="0018796A"/>
    <w:rsid w:val="00192422"/>
    <w:rsid w:val="0019247B"/>
    <w:rsid w:val="00192C0D"/>
    <w:rsid w:val="001941AA"/>
    <w:rsid w:val="00195D41"/>
    <w:rsid w:val="00196D39"/>
    <w:rsid w:val="001A1BB7"/>
    <w:rsid w:val="001A28BF"/>
    <w:rsid w:val="001A2CB5"/>
    <w:rsid w:val="001B0ADD"/>
    <w:rsid w:val="001B1979"/>
    <w:rsid w:val="001B26C0"/>
    <w:rsid w:val="001B3DCC"/>
    <w:rsid w:val="001B51F0"/>
    <w:rsid w:val="001B55C6"/>
    <w:rsid w:val="001B5E8D"/>
    <w:rsid w:val="001C2C1E"/>
    <w:rsid w:val="001C30BB"/>
    <w:rsid w:val="001C325D"/>
    <w:rsid w:val="001C513B"/>
    <w:rsid w:val="001D0647"/>
    <w:rsid w:val="001D2A0F"/>
    <w:rsid w:val="001D3EAA"/>
    <w:rsid w:val="001D4F55"/>
    <w:rsid w:val="001D62F7"/>
    <w:rsid w:val="001D6793"/>
    <w:rsid w:val="001D6F35"/>
    <w:rsid w:val="001D7434"/>
    <w:rsid w:val="001E1227"/>
    <w:rsid w:val="001E377D"/>
    <w:rsid w:val="001E3DF0"/>
    <w:rsid w:val="001E4C7B"/>
    <w:rsid w:val="001E57B3"/>
    <w:rsid w:val="001E64BB"/>
    <w:rsid w:val="001E7E35"/>
    <w:rsid w:val="001F03F5"/>
    <w:rsid w:val="001F0C30"/>
    <w:rsid w:val="001F0D5B"/>
    <w:rsid w:val="001F3348"/>
    <w:rsid w:val="001F3A23"/>
    <w:rsid w:val="001F3C86"/>
    <w:rsid w:val="001F5F60"/>
    <w:rsid w:val="001F617C"/>
    <w:rsid w:val="00200184"/>
    <w:rsid w:val="002005F8"/>
    <w:rsid w:val="002012DA"/>
    <w:rsid w:val="00206DBD"/>
    <w:rsid w:val="002178E6"/>
    <w:rsid w:val="002203FB"/>
    <w:rsid w:val="002230EE"/>
    <w:rsid w:val="00226392"/>
    <w:rsid w:val="00227590"/>
    <w:rsid w:val="00230BC5"/>
    <w:rsid w:val="002321F5"/>
    <w:rsid w:val="002330C5"/>
    <w:rsid w:val="0023439A"/>
    <w:rsid w:val="00234A23"/>
    <w:rsid w:val="00235175"/>
    <w:rsid w:val="00237C61"/>
    <w:rsid w:val="002405A9"/>
    <w:rsid w:val="00245A56"/>
    <w:rsid w:val="0025062F"/>
    <w:rsid w:val="002518F8"/>
    <w:rsid w:val="00252F69"/>
    <w:rsid w:val="0026333F"/>
    <w:rsid w:val="00264832"/>
    <w:rsid w:val="00265A8D"/>
    <w:rsid w:val="00270906"/>
    <w:rsid w:val="00281A7D"/>
    <w:rsid w:val="0028206E"/>
    <w:rsid w:val="00282EFA"/>
    <w:rsid w:val="00287F08"/>
    <w:rsid w:val="0029022B"/>
    <w:rsid w:val="00292CA6"/>
    <w:rsid w:val="002A1DF4"/>
    <w:rsid w:val="002A73A6"/>
    <w:rsid w:val="002A7769"/>
    <w:rsid w:val="002A7D9F"/>
    <w:rsid w:val="002B272E"/>
    <w:rsid w:val="002B2DE1"/>
    <w:rsid w:val="002B4A12"/>
    <w:rsid w:val="002B6282"/>
    <w:rsid w:val="002C1257"/>
    <w:rsid w:val="002C23F9"/>
    <w:rsid w:val="002C2FF6"/>
    <w:rsid w:val="002C72BE"/>
    <w:rsid w:val="002D0A76"/>
    <w:rsid w:val="002D4277"/>
    <w:rsid w:val="002E1034"/>
    <w:rsid w:val="002E1A74"/>
    <w:rsid w:val="002E2FEA"/>
    <w:rsid w:val="002E4E6E"/>
    <w:rsid w:val="002E722B"/>
    <w:rsid w:val="002E7BBC"/>
    <w:rsid w:val="002F350D"/>
    <w:rsid w:val="002F41A4"/>
    <w:rsid w:val="002F4A7B"/>
    <w:rsid w:val="002F5892"/>
    <w:rsid w:val="003007AD"/>
    <w:rsid w:val="003015DB"/>
    <w:rsid w:val="0030171D"/>
    <w:rsid w:val="003031A6"/>
    <w:rsid w:val="003042D1"/>
    <w:rsid w:val="00306C44"/>
    <w:rsid w:val="00306F27"/>
    <w:rsid w:val="003104F5"/>
    <w:rsid w:val="003118C4"/>
    <w:rsid w:val="003119DD"/>
    <w:rsid w:val="00314379"/>
    <w:rsid w:val="00314477"/>
    <w:rsid w:val="003200E1"/>
    <w:rsid w:val="003201DD"/>
    <w:rsid w:val="00320877"/>
    <w:rsid w:val="003214D1"/>
    <w:rsid w:val="003214D7"/>
    <w:rsid w:val="00321E67"/>
    <w:rsid w:val="0032421C"/>
    <w:rsid w:val="0032671A"/>
    <w:rsid w:val="00326CD8"/>
    <w:rsid w:val="00334810"/>
    <w:rsid w:val="00337A29"/>
    <w:rsid w:val="003427FE"/>
    <w:rsid w:val="00342AC0"/>
    <w:rsid w:val="00343318"/>
    <w:rsid w:val="00345239"/>
    <w:rsid w:val="0034542D"/>
    <w:rsid w:val="003455D4"/>
    <w:rsid w:val="0035040E"/>
    <w:rsid w:val="0035407F"/>
    <w:rsid w:val="00355261"/>
    <w:rsid w:val="00357EB6"/>
    <w:rsid w:val="00360522"/>
    <w:rsid w:val="00363905"/>
    <w:rsid w:val="00364AC7"/>
    <w:rsid w:val="00366300"/>
    <w:rsid w:val="0037029C"/>
    <w:rsid w:val="0037198A"/>
    <w:rsid w:val="0037576A"/>
    <w:rsid w:val="00377AA5"/>
    <w:rsid w:val="00380139"/>
    <w:rsid w:val="00383FD5"/>
    <w:rsid w:val="00384082"/>
    <w:rsid w:val="00384BF0"/>
    <w:rsid w:val="00385D14"/>
    <w:rsid w:val="00386433"/>
    <w:rsid w:val="00390BB1"/>
    <w:rsid w:val="00392609"/>
    <w:rsid w:val="00393523"/>
    <w:rsid w:val="00397875"/>
    <w:rsid w:val="003A3032"/>
    <w:rsid w:val="003A3C34"/>
    <w:rsid w:val="003A4DC9"/>
    <w:rsid w:val="003A6F47"/>
    <w:rsid w:val="003B0739"/>
    <w:rsid w:val="003B0DD8"/>
    <w:rsid w:val="003B143A"/>
    <w:rsid w:val="003B1B1D"/>
    <w:rsid w:val="003B4352"/>
    <w:rsid w:val="003B552E"/>
    <w:rsid w:val="003B74B4"/>
    <w:rsid w:val="003B78DF"/>
    <w:rsid w:val="003C259A"/>
    <w:rsid w:val="003C58D9"/>
    <w:rsid w:val="003C62CE"/>
    <w:rsid w:val="003D062C"/>
    <w:rsid w:val="003D234F"/>
    <w:rsid w:val="003D5912"/>
    <w:rsid w:val="003D6391"/>
    <w:rsid w:val="003D7CE5"/>
    <w:rsid w:val="003E05EE"/>
    <w:rsid w:val="003E2E70"/>
    <w:rsid w:val="003E4349"/>
    <w:rsid w:val="003E4B27"/>
    <w:rsid w:val="003E4E2C"/>
    <w:rsid w:val="003E62C1"/>
    <w:rsid w:val="003F0C85"/>
    <w:rsid w:val="003F3D26"/>
    <w:rsid w:val="003F3E21"/>
    <w:rsid w:val="003F4AC8"/>
    <w:rsid w:val="003F742A"/>
    <w:rsid w:val="00400F9F"/>
    <w:rsid w:val="00411A45"/>
    <w:rsid w:val="004121E7"/>
    <w:rsid w:val="00413D67"/>
    <w:rsid w:val="00414F36"/>
    <w:rsid w:val="0042010D"/>
    <w:rsid w:val="00420E2E"/>
    <w:rsid w:val="00423FD8"/>
    <w:rsid w:val="00424DA6"/>
    <w:rsid w:val="0042505E"/>
    <w:rsid w:val="0043265F"/>
    <w:rsid w:val="004329EB"/>
    <w:rsid w:val="00435228"/>
    <w:rsid w:val="004409F6"/>
    <w:rsid w:val="0044189D"/>
    <w:rsid w:val="00441945"/>
    <w:rsid w:val="004469C4"/>
    <w:rsid w:val="004541D2"/>
    <w:rsid w:val="00455310"/>
    <w:rsid w:val="00455DBB"/>
    <w:rsid w:val="004608FC"/>
    <w:rsid w:val="00461151"/>
    <w:rsid w:val="00461E85"/>
    <w:rsid w:val="00467CD5"/>
    <w:rsid w:val="00471C31"/>
    <w:rsid w:val="004767DC"/>
    <w:rsid w:val="00483762"/>
    <w:rsid w:val="004866EF"/>
    <w:rsid w:val="0049004E"/>
    <w:rsid w:val="00491D5D"/>
    <w:rsid w:val="004932D8"/>
    <w:rsid w:val="00494945"/>
    <w:rsid w:val="0049644D"/>
    <w:rsid w:val="00497360"/>
    <w:rsid w:val="004A0714"/>
    <w:rsid w:val="004A1BBC"/>
    <w:rsid w:val="004A5316"/>
    <w:rsid w:val="004A6CBE"/>
    <w:rsid w:val="004B150B"/>
    <w:rsid w:val="004B1F1D"/>
    <w:rsid w:val="004B363B"/>
    <w:rsid w:val="004B3896"/>
    <w:rsid w:val="004B7D24"/>
    <w:rsid w:val="004C47C7"/>
    <w:rsid w:val="004C66A7"/>
    <w:rsid w:val="004D1006"/>
    <w:rsid w:val="004D2C76"/>
    <w:rsid w:val="004D3983"/>
    <w:rsid w:val="004D52F1"/>
    <w:rsid w:val="004D7289"/>
    <w:rsid w:val="004E3C2D"/>
    <w:rsid w:val="004E4805"/>
    <w:rsid w:val="004E5A21"/>
    <w:rsid w:val="004F2EA7"/>
    <w:rsid w:val="004F59E5"/>
    <w:rsid w:val="004F629D"/>
    <w:rsid w:val="00500735"/>
    <w:rsid w:val="00500ADE"/>
    <w:rsid w:val="005010F3"/>
    <w:rsid w:val="005043B3"/>
    <w:rsid w:val="00507C89"/>
    <w:rsid w:val="00510EC3"/>
    <w:rsid w:val="00511FF2"/>
    <w:rsid w:val="00514571"/>
    <w:rsid w:val="00516C2B"/>
    <w:rsid w:val="00520978"/>
    <w:rsid w:val="00521C84"/>
    <w:rsid w:val="00522186"/>
    <w:rsid w:val="0052539B"/>
    <w:rsid w:val="00526C27"/>
    <w:rsid w:val="00530F2D"/>
    <w:rsid w:val="00531ACC"/>
    <w:rsid w:val="0053251C"/>
    <w:rsid w:val="00534D0B"/>
    <w:rsid w:val="00535110"/>
    <w:rsid w:val="005372FB"/>
    <w:rsid w:val="00540D92"/>
    <w:rsid w:val="005424A2"/>
    <w:rsid w:val="005424F9"/>
    <w:rsid w:val="00543FAB"/>
    <w:rsid w:val="005446E3"/>
    <w:rsid w:val="005450F3"/>
    <w:rsid w:val="00547DA0"/>
    <w:rsid w:val="00552C0C"/>
    <w:rsid w:val="00555F14"/>
    <w:rsid w:val="005570FE"/>
    <w:rsid w:val="00560C81"/>
    <w:rsid w:val="005661F7"/>
    <w:rsid w:val="00566EF9"/>
    <w:rsid w:val="0057352C"/>
    <w:rsid w:val="00573D9A"/>
    <w:rsid w:val="00576DC6"/>
    <w:rsid w:val="0057751E"/>
    <w:rsid w:val="005809AF"/>
    <w:rsid w:val="005825A8"/>
    <w:rsid w:val="00582842"/>
    <w:rsid w:val="00582A90"/>
    <w:rsid w:val="0058321A"/>
    <w:rsid w:val="005832D4"/>
    <w:rsid w:val="00585103"/>
    <w:rsid w:val="00585708"/>
    <w:rsid w:val="00587F77"/>
    <w:rsid w:val="00591581"/>
    <w:rsid w:val="005924FA"/>
    <w:rsid w:val="00593547"/>
    <w:rsid w:val="005948AF"/>
    <w:rsid w:val="00596582"/>
    <w:rsid w:val="005A13AB"/>
    <w:rsid w:val="005A6039"/>
    <w:rsid w:val="005A68E8"/>
    <w:rsid w:val="005B2BAA"/>
    <w:rsid w:val="005B30D5"/>
    <w:rsid w:val="005B3B09"/>
    <w:rsid w:val="005B5037"/>
    <w:rsid w:val="005B54F4"/>
    <w:rsid w:val="005B7332"/>
    <w:rsid w:val="005B7DF7"/>
    <w:rsid w:val="005C33B7"/>
    <w:rsid w:val="005C6351"/>
    <w:rsid w:val="005D2281"/>
    <w:rsid w:val="005D350F"/>
    <w:rsid w:val="005D544D"/>
    <w:rsid w:val="005E3819"/>
    <w:rsid w:val="005E4B81"/>
    <w:rsid w:val="005F2703"/>
    <w:rsid w:val="005F2EC2"/>
    <w:rsid w:val="005F4E8A"/>
    <w:rsid w:val="005F6B92"/>
    <w:rsid w:val="005F6F03"/>
    <w:rsid w:val="005F7B02"/>
    <w:rsid w:val="0060115C"/>
    <w:rsid w:val="00603953"/>
    <w:rsid w:val="00607B00"/>
    <w:rsid w:val="006175F8"/>
    <w:rsid w:val="00626451"/>
    <w:rsid w:val="00632FC2"/>
    <w:rsid w:val="0063323E"/>
    <w:rsid w:val="006333CE"/>
    <w:rsid w:val="0063475D"/>
    <w:rsid w:val="00634E69"/>
    <w:rsid w:val="00634ECF"/>
    <w:rsid w:val="00635946"/>
    <w:rsid w:val="00643BE7"/>
    <w:rsid w:val="006441B5"/>
    <w:rsid w:val="006445F2"/>
    <w:rsid w:val="0064569F"/>
    <w:rsid w:val="00646EA7"/>
    <w:rsid w:val="0064745D"/>
    <w:rsid w:val="00650A56"/>
    <w:rsid w:val="0065187C"/>
    <w:rsid w:val="00651F31"/>
    <w:rsid w:val="0066164E"/>
    <w:rsid w:val="006617F7"/>
    <w:rsid w:val="00662181"/>
    <w:rsid w:val="006646D5"/>
    <w:rsid w:val="00665741"/>
    <w:rsid w:val="00667613"/>
    <w:rsid w:val="00671DB8"/>
    <w:rsid w:val="0067306C"/>
    <w:rsid w:val="00673A79"/>
    <w:rsid w:val="00673C53"/>
    <w:rsid w:val="006756BB"/>
    <w:rsid w:val="006778D0"/>
    <w:rsid w:val="006841D5"/>
    <w:rsid w:val="0068594F"/>
    <w:rsid w:val="00685D5F"/>
    <w:rsid w:val="0068663A"/>
    <w:rsid w:val="00686FDE"/>
    <w:rsid w:val="00687037"/>
    <w:rsid w:val="00687F0D"/>
    <w:rsid w:val="006900BF"/>
    <w:rsid w:val="00694A5F"/>
    <w:rsid w:val="006A2C67"/>
    <w:rsid w:val="006A469E"/>
    <w:rsid w:val="006A63A7"/>
    <w:rsid w:val="006B12C0"/>
    <w:rsid w:val="006B131E"/>
    <w:rsid w:val="006B3685"/>
    <w:rsid w:val="006B3BEC"/>
    <w:rsid w:val="006B647F"/>
    <w:rsid w:val="006B72A5"/>
    <w:rsid w:val="006C4CAE"/>
    <w:rsid w:val="006C6F5C"/>
    <w:rsid w:val="006C71F6"/>
    <w:rsid w:val="006C73C7"/>
    <w:rsid w:val="006D1342"/>
    <w:rsid w:val="006D1C60"/>
    <w:rsid w:val="006D23AE"/>
    <w:rsid w:val="006D2607"/>
    <w:rsid w:val="006D3F30"/>
    <w:rsid w:val="006D44E8"/>
    <w:rsid w:val="006D67A1"/>
    <w:rsid w:val="006D71CB"/>
    <w:rsid w:val="006D7B58"/>
    <w:rsid w:val="006D7EA0"/>
    <w:rsid w:val="006E1726"/>
    <w:rsid w:val="006E2B77"/>
    <w:rsid w:val="006E3762"/>
    <w:rsid w:val="006E399B"/>
    <w:rsid w:val="006E613A"/>
    <w:rsid w:val="006F0783"/>
    <w:rsid w:val="006F2525"/>
    <w:rsid w:val="006F4BF3"/>
    <w:rsid w:val="006F6A56"/>
    <w:rsid w:val="00701393"/>
    <w:rsid w:val="00704180"/>
    <w:rsid w:val="00704D1D"/>
    <w:rsid w:val="0070660A"/>
    <w:rsid w:val="0070729D"/>
    <w:rsid w:val="00707AF8"/>
    <w:rsid w:val="00707E35"/>
    <w:rsid w:val="007122CC"/>
    <w:rsid w:val="007140F5"/>
    <w:rsid w:val="00714D07"/>
    <w:rsid w:val="00715C70"/>
    <w:rsid w:val="00716BBE"/>
    <w:rsid w:val="007173BF"/>
    <w:rsid w:val="007233DD"/>
    <w:rsid w:val="007259BB"/>
    <w:rsid w:val="00730A63"/>
    <w:rsid w:val="00730CE7"/>
    <w:rsid w:val="00737669"/>
    <w:rsid w:val="00737754"/>
    <w:rsid w:val="00742BAC"/>
    <w:rsid w:val="007438E2"/>
    <w:rsid w:val="00743A94"/>
    <w:rsid w:val="007461D3"/>
    <w:rsid w:val="00746698"/>
    <w:rsid w:val="0074680F"/>
    <w:rsid w:val="00747163"/>
    <w:rsid w:val="00747588"/>
    <w:rsid w:val="007479B5"/>
    <w:rsid w:val="00747F52"/>
    <w:rsid w:val="0075107F"/>
    <w:rsid w:val="007549FE"/>
    <w:rsid w:val="00755AF8"/>
    <w:rsid w:val="007571FD"/>
    <w:rsid w:val="00763333"/>
    <w:rsid w:val="007711C3"/>
    <w:rsid w:val="00782924"/>
    <w:rsid w:val="0078403D"/>
    <w:rsid w:val="0078515C"/>
    <w:rsid w:val="00785BDD"/>
    <w:rsid w:val="00793F51"/>
    <w:rsid w:val="00795C42"/>
    <w:rsid w:val="007A24F2"/>
    <w:rsid w:val="007A31D8"/>
    <w:rsid w:val="007A3C2C"/>
    <w:rsid w:val="007A45CE"/>
    <w:rsid w:val="007A5C1F"/>
    <w:rsid w:val="007A5ED1"/>
    <w:rsid w:val="007B2C56"/>
    <w:rsid w:val="007B5CF5"/>
    <w:rsid w:val="007C2D19"/>
    <w:rsid w:val="007C43BB"/>
    <w:rsid w:val="007C4A1B"/>
    <w:rsid w:val="007D12AF"/>
    <w:rsid w:val="007D243B"/>
    <w:rsid w:val="007D45EA"/>
    <w:rsid w:val="007D5217"/>
    <w:rsid w:val="007D5B2C"/>
    <w:rsid w:val="007D5E2D"/>
    <w:rsid w:val="007D6775"/>
    <w:rsid w:val="007D7D48"/>
    <w:rsid w:val="007E0A55"/>
    <w:rsid w:val="007E3550"/>
    <w:rsid w:val="007E3CDB"/>
    <w:rsid w:val="007E442F"/>
    <w:rsid w:val="007E5B47"/>
    <w:rsid w:val="007E74E1"/>
    <w:rsid w:val="007E7F64"/>
    <w:rsid w:val="007F20D9"/>
    <w:rsid w:val="007F2B6C"/>
    <w:rsid w:val="007F3734"/>
    <w:rsid w:val="007F4659"/>
    <w:rsid w:val="00810327"/>
    <w:rsid w:val="008129B5"/>
    <w:rsid w:val="008132C6"/>
    <w:rsid w:val="0081522A"/>
    <w:rsid w:val="00815679"/>
    <w:rsid w:val="008179A8"/>
    <w:rsid w:val="00821EA1"/>
    <w:rsid w:val="0082753A"/>
    <w:rsid w:val="00827DE5"/>
    <w:rsid w:val="00830997"/>
    <w:rsid w:val="00834C73"/>
    <w:rsid w:val="00835BFC"/>
    <w:rsid w:val="00835C0D"/>
    <w:rsid w:val="00835EEF"/>
    <w:rsid w:val="00837218"/>
    <w:rsid w:val="00837A67"/>
    <w:rsid w:val="0084203C"/>
    <w:rsid w:val="008420F3"/>
    <w:rsid w:val="00842B19"/>
    <w:rsid w:val="00844A62"/>
    <w:rsid w:val="008453B2"/>
    <w:rsid w:val="00855280"/>
    <w:rsid w:val="00856998"/>
    <w:rsid w:val="00860A20"/>
    <w:rsid w:val="00861E2B"/>
    <w:rsid w:val="00864554"/>
    <w:rsid w:val="00865812"/>
    <w:rsid w:val="00866CA1"/>
    <w:rsid w:val="00872244"/>
    <w:rsid w:val="00872605"/>
    <w:rsid w:val="00872FE7"/>
    <w:rsid w:val="00874C3F"/>
    <w:rsid w:val="0087500D"/>
    <w:rsid w:val="00876B79"/>
    <w:rsid w:val="008775CE"/>
    <w:rsid w:val="00877C3C"/>
    <w:rsid w:val="00877D90"/>
    <w:rsid w:val="00880A85"/>
    <w:rsid w:val="00882E07"/>
    <w:rsid w:val="00883C3E"/>
    <w:rsid w:val="00884416"/>
    <w:rsid w:val="0089028A"/>
    <w:rsid w:val="00890949"/>
    <w:rsid w:val="0089119B"/>
    <w:rsid w:val="00891C17"/>
    <w:rsid w:val="008937D2"/>
    <w:rsid w:val="00893DBF"/>
    <w:rsid w:val="008944C7"/>
    <w:rsid w:val="00894DB2"/>
    <w:rsid w:val="008954B1"/>
    <w:rsid w:val="00897ECB"/>
    <w:rsid w:val="008A23A9"/>
    <w:rsid w:val="008A2A90"/>
    <w:rsid w:val="008B090F"/>
    <w:rsid w:val="008B1FFA"/>
    <w:rsid w:val="008B3F20"/>
    <w:rsid w:val="008C0180"/>
    <w:rsid w:val="008C1B0E"/>
    <w:rsid w:val="008C201C"/>
    <w:rsid w:val="008C20AB"/>
    <w:rsid w:val="008C4A58"/>
    <w:rsid w:val="008C4C62"/>
    <w:rsid w:val="008C4DBF"/>
    <w:rsid w:val="008C726D"/>
    <w:rsid w:val="008D055C"/>
    <w:rsid w:val="008D3577"/>
    <w:rsid w:val="008D470C"/>
    <w:rsid w:val="008D50FF"/>
    <w:rsid w:val="008D64D5"/>
    <w:rsid w:val="008D6E67"/>
    <w:rsid w:val="008F0D28"/>
    <w:rsid w:val="008F55B4"/>
    <w:rsid w:val="00900D9D"/>
    <w:rsid w:val="009021DF"/>
    <w:rsid w:val="00902D68"/>
    <w:rsid w:val="00912651"/>
    <w:rsid w:val="00913625"/>
    <w:rsid w:val="00913D3D"/>
    <w:rsid w:val="00915439"/>
    <w:rsid w:val="00917AA1"/>
    <w:rsid w:val="0092057F"/>
    <w:rsid w:val="00921BB3"/>
    <w:rsid w:val="00923908"/>
    <w:rsid w:val="009251E5"/>
    <w:rsid w:val="00927E48"/>
    <w:rsid w:val="00930434"/>
    <w:rsid w:val="00931F9A"/>
    <w:rsid w:val="00936181"/>
    <w:rsid w:val="009401A4"/>
    <w:rsid w:val="00945D46"/>
    <w:rsid w:val="00946BBF"/>
    <w:rsid w:val="00946CED"/>
    <w:rsid w:val="00947A76"/>
    <w:rsid w:val="0095156F"/>
    <w:rsid w:val="00953B72"/>
    <w:rsid w:val="009543F2"/>
    <w:rsid w:val="0095515C"/>
    <w:rsid w:val="00957599"/>
    <w:rsid w:val="00961705"/>
    <w:rsid w:val="0096192D"/>
    <w:rsid w:val="00961C33"/>
    <w:rsid w:val="00962B5C"/>
    <w:rsid w:val="00964234"/>
    <w:rsid w:val="009732A5"/>
    <w:rsid w:val="009736FD"/>
    <w:rsid w:val="00983F9C"/>
    <w:rsid w:val="00984E6C"/>
    <w:rsid w:val="0098585A"/>
    <w:rsid w:val="0098623E"/>
    <w:rsid w:val="00986385"/>
    <w:rsid w:val="00986DD1"/>
    <w:rsid w:val="00993B9E"/>
    <w:rsid w:val="009975F2"/>
    <w:rsid w:val="009A0942"/>
    <w:rsid w:val="009A0B04"/>
    <w:rsid w:val="009A1198"/>
    <w:rsid w:val="009A1E24"/>
    <w:rsid w:val="009A7132"/>
    <w:rsid w:val="009B06EE"/>
    <w:rsid w:val="009B0903"/>
    <w:rsid w:val="009B2D40"/>
    <w:rsid w:val="009B3D14"/>
    <w:rsid w:val="009C1405"/>
    <w:rsid w:val="009C2AE2"/>
    <w:rsid w:val="009C2EE1"/>
    <w:rsid w:val="009C35DB"/>
    <w:rsid w:val="009C43F1"/>
    <w:rsid w:val="009C4AF4"/>
    <w:rsid w:val="009C7BFB"/>
    <w:rsid w:val="009C7D30"/>
    <w:rsid w:val="009D0841"/>
    <w:rsid w:val="009D0C1D"/>
    <w:rsid w:val="009D2C36"/>
    <w:rsid w:val="009D366F"/>
    <w:rsid w:val="009D5CA2"/>
    <w:rsid w:val="009E1F65"/>
    <w:rsid w:val="009E33F7"/>
    <w:rsid w:val="009E4D98"/>
    <w:rsid w:val="009F40FB"/>
    <w:rsid w:val="009F4996"/>
    <w:rsid w:val="009F5FD6"/>
    <w:rsid w:val="00A0168E"/>
    <w:rsid w:val="00A01DBA"/>
    <w:rsid w:val="00A037C5"/>
    <w:rsid w:val="00A0496C"/>
    <w:rsid w:val="00A10914"/>
    <w:rsid w:val="00A17023"/>
    <w:rsid w:val="00A215DB"/>
    <w:rsid w:val="00A240AF"/>
    <w:rsid w:val="00A324C7"/>
    <w:rsid w:val="00A33779"/>
    <w:rsid w:val="00A33CE4"/>
    <w:rsid w:val="00A37635"/>
    <w:rsid w:val="00A41A8F"/>
    <w:rsid w:val="00A4531E"/>
    <w:rsid w:val="00A462BA"/>
    <w:rsid w:val="00A47456"/>
    <w:rsid w:val="00A50AE7"/>
    <w:rsid w:val="00A54C12"/>
    <w:rsid w:val="00A57E92"/>
    <w:rsid w:val="00A600F8"/>
    <w:rsid w:val="00A70BF9"/>
    <w:rsid w:val="00A71957"/>
    <w:rsid w:val="00A7362D"/>
    <w:rsid w:val="00A740E9"/>
    <w:rsid w:val="00A819B7"/>
    <w:rsid w:val="00A82A0D"/>
    <w:rsid w:val="00A82FC1"/>
    <w:rsid w:val="00A83ED6"/>
    <w:rsid w:val="00A83F0F"/>
    <w:rsid w:val="00A85C48"/>
    <w:rsid w:val="00A87592"/>
    <w:rsid w:val="00A90D55"/>
    <w:rsid w:val="00A91BDB"/>
    <w:rsid w:val="00A91E9D"/>
    <w:rsid w:val="00A9377A"/>
    <w:rsid w:val="00A94B91"/>
    <w:rsid w:val="00A95ECC"/>
    <w:rsid w:val="00A960F1"/>
    <w:rsid w:val="00A96488"/>
    <w:rsid w:val="00AA4166"/>
    <w:rsid w:val="00AA48FD"/>
    <w:rsid w:val="00AB0947"/>
    <w:rsid w:val="00AB1F5C"/>
    <w:rsid w:val="00AB338C"/>
    <w:rsid w:val="00AB3CFD"/>
    <w:rsid w:val="00AB462A"/>
    <w:rsid w:val="00AC1FCE"/>
    <w:rsid w:val="00AC6D95"/>
    <w:rsid w:val="00AD147B"/>
    <w:rsid w:val="00AD51A0"/>
    <w:rsid w:val="00AE19B8"/>
    <w:rsid w:val="00AE3F1F"/>
    <w:rsid w:val="00AE7A6A"/>
    <w:rsid w:val="00AE7E01"/>
    <w:rsid w:val="00AF0D05"/>
    <w:rsid w:val="00AF2C43"/>
    <w:rsid w:val="00AF3D63"/>
    <w:rsid w:val="00AF5F19"/>
    <w:rsid w:val="00AF74ED"/>
    <w:rsid w:val="00AF74F7"/>
    <w:rsid w:val="00B018DC"/>
    <w:rsid w:val="00B01EB3"/>
    <w:rsid w:val="00B061E2"/>
    <w:rsid w:val="00B073E8"/>
    <w:rsid w:val="00B101D7"/>
    <w:rsid w:val="00B10BE6"/>
    <w:rsid w:val="00B123E5"/>
    <w:rsid w:val="00B139F6"/>
    <w:rsid w:val="00B16839"/>
    <w:rsid w:val="00B17A47"/>
    <w:rsid w:val="00B21C5D"/>
    <w:rsid w:val="00B2392D"/>
    <w:rsid w:val="00B2464E"/>
    <w:rsid w:val="00B24E69"/>
    <w:rsid w:val="00B26266"/>
    <w:rsid w:val="00B31262"/>
    <w:rsid w:val="00B32C8F"/>
    <w:rsid w:val="00B33A16"/>
    <w:rsid w:val="00B449B8"/>
    <w:rsid w:val="00B45CF3"/>
    <w:rsid w:val="00B51404"/>
    <w:rsid w:val="00B521BC"/>
    <w:rsid w:val="00B569E0"/>
    <w:rsid w:val="00B56B9A"/>
    <w:rsid w:val="00B60AFA"/>
    <w:rsid w:val="00B625E1"/>
    <w:rsid w:val="00B66D5E"/>
    <w:rsid w:val="00B72AD4"/>
    <w:rsid w:val="00B742BA"/>
    <w:rsid w:val="00B760D1"/>
    <w:rsid w:val="00B76BFF"/>
    <w:rsid w:val="00B77218"/>
    <w:rsid w:val="00B77DA3"/>
    <w:rsid w:val="00B824E3"/>
    <w:rsid w:val="00B83309"/>
    <w:rsid w:val="00B84CD1"/>
    <w:rsid w:val="00B86C41"/>
    <w:rsid w:val="00B93837"/>
    <w:rsid w:val="00B93A3E"/>
    <w:rsid w:val="00B94182"/>
    <w:rsid w:val="00B94B4B"/>
    <w:rsid w:val="00B966DD"/>
    <w:rsid w:val="00BA3A07"/>
    <w:rsid w:val="00BB3253"/>
    <w:rsid w:val="00BB34D5"/>
    <w:rsid w:val="00BB37BE"/>
    <w:rsid w:val="00BB4727"/>
    <w:rsid w:val="00BC1F25"/>
    <w:rsid w:val="00BC3210"/>
    <w:rsid w:val="00BC7320"/>
    <w:rsid w:val="00BC7D3B"/>
    <w:rsid w:val="00BD54FE"/>
    <w:rsid w:val="00BE422C"/>
    <w:rsid w:val="00BE5384"/>
    <w:rsid w:val="00BE6D95"/>
    <w:rsid w:val="00BE7BDF"/>
    <w:rsid w:val="00BF305E"/>
    <w:rsid w:val="00BF3E20"/>
    <w:rsid w:val="00BF4004"/>
    <w:rsid w:val="00BF4D4D"/>
    <w:rsid w:val="00BF58CC"/>
    <w:rsid w:val="00BF68F6"/>
    <w:rsid w:val="00C017BC"/>
    <w:rsid w:val="00C02332"/>
    <w:rsid w:val="00C024D5"/>
    <w:rsid w:val="00C05311"/>
    <w:rsid w:val="00C062DA"/>
    <w:rsid w:val="00C109DF"/>
    <w:rsid w:val="00C15368"/>
    <w:rsid w:val="00C17435"/>
    <w:rsid w:val="00C20E01"/>
    <w:rsid w:val="00C2468A"/>
    <w:rsid w:val="00C2609B"/>
    <w:rsid w:val="00C26342"/>
    <w:rsid w:val="00C27BA2"/>
    <w:rsid w:val="00C302AF"/>
    <w:rsid w:val="00C324BB"/>
    <w:rsid w:val="00C332FC"/>
    <w:rsid w:val="00C3379C"/>
    <w:rsid w:val="00C33FAD"/>
    <w:rsid w:val="00C3484B"/>
    <w:rsid w:val="00C36E26"/>
    <w:rsid w:val="00C40662"/>
    <w:rsid w:val="00C412CA"/>
    <w:rsid w:val="00C41E14"/>
    <w:rsid w:val="00C43D34"/>
    <w:rsid w:val="00C45B9B"/>
    <w:rsid w:val="00C46202"/>
    <w:rsid w:val="00C50107"/>
    <w:rsid w:val="00C51334"/>
    <w:rsid w:val="00C61115"/>
    <w:rsid w:val="00C6315E"/>
    <w:rsid w:val="00C67995"/>
    <w:rsid w:val="00C7191D"/>
    <w:rsid w:val="00C72803"/>
    <w:rsid w:val="00C73CE1"/>
    <w:rsid w:val="00C75CDD"/>
    <w:rsid w:val="00C7630E"/>
    <w:rsid w:val="00C76626"/>
    <w:rsid w:val="00C77FF7"/>
    <w:rsid w:val="00C8446D"/>
    <w:rsid w:val="00C84CF9"/>
    <w:rsid w:val="00C91E8D"/>
    <w:rsid w:val="00C947B2"/>
    <w:rsid w:val="00C95996"/>
    <w:rsid w:val="00C95C24"/>
    <w:rsid w:val="00C964A3"/>
    <w:rsid w:val="00C968E5"/>
    <w:rsid w:val="00C9753A"/>
    <w:rsid w:val="00CA0830"/>
    <w:rsid w:val="00CA2B5B"/>
    <w:rsid w:val="00CA3FF5"/>
    <w:rsid w:val="00CA45D2"/>
    <w:rsid w:val="00CA5C6C"/>
    <w:rsid w:val="00CA5DBD"/>
    <w:rsid w:val="00CB1EF8"/>
    <w:rsid w:val="00CB6C6F"/>
    <w:rsid w:val="00CC2487"/>
    <w:rsid w:val="00CC26C0"/>
    <w:rsid w:val="00CC4487"/>
    <w:rsid w:val="00CC4EE1"/>
    <w:rsid w:val="00CC5E91"/>
    <w:rsid w:val="00CD3A1A"/>
    <w:rsid w:val="00CD3D3D"/>
    <w:rsid w:val="00CD4AC5"/>
    <w:rsid w:val="00CD55FF"/>
    <w:rsid w:val="00CD5E2C"/>
    <w:rsid w:val="00CE1B8C"/>
    <w:rsid w:val="00CE4967"/>
    <w:rsid w:val="00CE6BFA"/>
    <w:rsid w:val="00CF036B"/>
    <w:rsid w:val="00CF10D7"/>
    <w:rsid w:val="00CF27B4"/>
    <w:rsid w:val="00CF53E4"/>
    <w:rsid w:val="00D01664"/>
    <w:rsid w:val="00D02DD9"/>
    <w:rsid w:val="00D035FE"/>
    <w:rsid w:val="00D06F8A"/>
    <w:rsid w:val="00D07499"/>
    <w:rsid w:val="00D12AB3"/>
    <w:rsid w:val="00D16A8F"/>
    <w:rsid w:val="00D20370"/>
    <w:rsid w:val="00D217E7"/>
    <w:rsid w:val="00D22804"/>
    <w:rsid w:val="00D35144"/>
    <w:rsid w:val="00D35ADB"/>
    <w:rsid w:val="00D377E9"/>
    <w:rsid w:val="00D37C37"/>
    <w:rsid w:val="00D37ECC"/>
    <w:rsid w:val="00D4056F"/>
    <w:rsid w:val="00D45F8C"/>
    <w:rsid w:val="00D47CE2"/>
    <w:rsid w:val="00D50962"/>
    <w:rsid w:val="00D51A0C"/>
    <w:rsid w:val="00D53B5E"/>
    <w:rsid w:val="00D558E2"/>
    <w:rsid w:val="00D55C15"/>
    <w:rsid w:val="00D564C7"/>
    <w:rsid w:val="00D574B4"/>
    <w:rsid w:val="00D6195E"/>
    <w:rsid w:val="00D660C4"/>
    <w:rsid w:val="00D71A9C"/>
    <w:rsid w:val="00D71ED7"/>
    <w:rsid w:val="00D73AA6"/>
    <w:rsid w:val="00D77A62"/>
    <w:rsid w:val="00D81CC7"/>
    <w:rsid w:val="00D8262E"/>
    <w:rsid w:val="00D83E51"/>
    <w:rsid w:val="00D85ED9"/>
    <w:rsid w:val="00D863D8"/>
    <w:rsid w:val="00D87917"/>
    <w:rsid w:val="00D921AD"/>
    <w:rsid w:val="00D93F45"/>
    <w:rsid w:val="00D95B8C"/>
    <w:rsid w:val="00D96FC2"/>
    <w:rsid w:val="00DA023F"/>
    <w:rsid w:val="00DA76BE"/>
    <w:rsid w:val="00DB0384"/>
    <w:rsid w:val="00DC1ED4"/>
    <w:rsid w:val="00DC529E"/>
    <w:rsid w:val="00DC5765"/>
    <w:rsid w:val="00DD19E3"/>
    <w:rsid w:val="00DD1F72"/>
    <w:rsid w:val="00DD232E"/>
    <w:rsid w:val="00DD44EE"/>
    <w:rsid w:val="00DE024E"/>
    <w:rsid w:val="00DE0841"/>
    <w:rsid w:val="00DE0A77"/>
    <w:rsid w:val="00DE2F9B"/>
    <w:rsid w:val="00DE42D4"/>
    <w:rsid w:val="00DE4DD3"/>
    <w:rsid w:val="00DE6E86"/>
    <w:rsid w:val="00DE7B37"/>
    <w:rsid w:val="00DE7EFF"/>
    <w:rsid w:val="00DF55FB"/>
    <w:rsid w:val="00E0173E"/>
    <w:rsid w:val="00E04640"/>
    <w:rsid w:val="00E055CF"/>
    <w:rsid w:val="00E06521"/>
    <w:rsid w:val="00E07919"/>
    <w:rsid w:val="00E1111D"/>
    <w:rsid w:val="00E1235D"/>
    <w:rsid w:val="00E12FB8"/>
    <w:rsid w:val="00E13D1D"/>
    <w:rsid w:val="00E16251"/>
    <w:rsid w:val="00E22625"/>
    <w:rsid w:val="00E2603D"/>
    <w:rsid w:val="00E321BE"/>
    <w:rsid w:val="00E332B5"/>
    <w:rsid w:val="00E3341F"/>
    <w:rsid w:val="00E35B9D"/>
    <w:rsid w:val="00E425F3"/>
    <w:rsid w:val="00E44EC3"/>
    <w:rsid w:val="00E46205"/>
    <w:rsid w:val="00E46B80"/>
    <w:rsid w:val="00E475B6"/>
    <w:rsid w:val="00E51D2B"/>
    <w:rsid w:val="00E520B7"/>
    <w:rsid w:val="00E53C90"/>
    <w:rsid w:val="00E541F3"/>
    <w:rsid w:val="00E56040"/>
    <w:rsid w:val="00E62AAD"/>
    <w:rsid w:val="00E64333"/>
    <w:rsid w:val="00E64E18"/>
    <w:rsid w:val="00E65154"/>
    <w:rsid w:val="00E6627A"/>
    <w:rsid w:val="00E665CD"/>
    <w:rsid w:val="00E713C9"/>
    <w:rsid w:val="00E7436B"/>
    <w:rsid w:val="00E747A6"/>
    <w:rsid w:val="00E77C01"/>
    <w:rsid w:val="00E82517"/>
    <w:rsid w:val="00E857F9"/>
    <w:rsid w:val="00E861DA"/>
    <w:rsid w:val="00E86F45"/>
    <w:rsid w:val="00E92C99"/>
    <w:rsid w:val="00E93E2C"/>
    <w:rsid w:val="00E94394"/>
    <w:rsid w:val="00E96018"/>
    <w:rsid w:val="00E97EFE"/>
    <w:rsid w:val="00EA07F1"/>
    <w:rsid w:val="00EA10BE"/>
    <w:rsid w:val="00EA26F8"/>
    <w:rsid w:val="00EA2879"/>
    <w:rsid w:val="00EA64B1"/>
    <w:rsid w:val="00EB06FF"/>
    <w:rsid w:val="00EB34E7"/>
    <w:rsid w:val="00EB398C"/>
    <w:rsid w:val="00EB593A"/>
    <w:rsid w:val="00EC20D1"/>
    <w:rsid w:val="00EC27FB"/>
    <w:rsid w:val="00EC35E8"/>
    <w:rsid w:val="00EC55B4"/>
    <w:rsid w:val="00EC6B6F"/>
    <w:rsid w:val="00ED10B4"/>
    <w:rsid w:val="00ED2A09"/>
    <w:rsid w:val="00ED355F"/>
    <w:rsid w:val="00ED45D8"/>
    <w:rsid w:val="00EE0D51"/>
    <w:rsid w:val="00EE4059"/>
    <w:rsid w:val="00EE4357"/>
    <w:rsid w:val="00EE4CF4"/>
    <w:rsid w:val="00EE4F2D"/>
    <w:rsid w:val="00EE5282"/>
    <w:rsid w:val="00EE7D4B"/>
    <w:rsid w:val="00F0247F"/>
    <w:rsid w:val="00F02A1B"/>
    <w:rsid w:val="00F05268"/>
    <w:rsid w:val="00F05647"/>
    <w:rsid w:val="00F059CE"/>
    <w:rsid w:val="00F05C8C"/>
    <w:rsid w:val="00F06CB6"/>
    <w:rsid w:val="00F10815"/>
    <w:rsid w:val="00F1138C"/>
    <w:rsid w:val="00F1588B"/>
    <w:rsid w:val="00F15B4F"/>
    <w:rsid w:val="00F17F63"/>
    <w:rsid w:val="00F210C9"/>
    <w:rsid w:val="00F220BD"/>
    <w:rsid w:val="00F22317"/>
    <w:rsid w:val="00F2343D"/>
    <w:rsid w:val="00F254C0"/>
    <w:rsid w:val="00F3057E"/>
    <w:rsid w:val="00F309C2"/>
    <w:rsid w:val="00F318F4"/>
    <w:rsid w:val="00F33327"/>
    <w:rsid w:val="00F34375"/>
    <w:rsid w:val="00F34839"/>
    <w:rsid w:val="00F36DF5"/>
    <w:rsid w:val="00F37CEC"/>
    <w:rsid w:val="00F42169"/>
    <w:rsid w:val="00F475A2"/>
    <w:rsid w:val="00F505AE"/>
    <w:rsid w:val="00F6691A"/>
    <w:rsid w:val="00F671E5"/>
    <w:rsid w:val="00F67313"/>
    <w:rsid w:val="00F73645"/>
    <w:rsid w:val="00F7444D"/>
    <w:rsid w:val="00F74888"/>
    <w:rsid w:val="00F75810"/>
    <w:rsid w:val="00F76B3F"/>
    <w:rsid w:val="00F860B2"/>
    <w:rsid w:val="00F86D1F"/>
    <w:rsid w:val="00F91BFA"/>
    <w:rsid w:val="00F92DA5"/>
    <w:rsid w:val="00F92F74"/>
    <w:rsid w:val="00F94650"/>
    <w:rsid w:val="00F95B28"/>
    <w:rsid w:val="00F96838"/>
    <w:rsid w:val="00F96C8E"/>
    <w:rsid w:val="00F9716A"/>
    <w:rsid w:val="00F9756F"/>
    <w:rsid w:val="00FA098D"/>
    <w:rsid w:val="00FA160A"/>
    <w:rsid w:val="00FA2990"/>
    <w:rsid w:val="00FA7119"/>
    <w:rsid w:val="00FB1744"/>
    <w:rsid w:val="00FB1CEF"/>
    <w:rsid w:val="00FB4577"/>
    <w:rsid w:val="00FB762D"/>
    <w:rsid w:val="00FC06C5"/>
    <w:rsid w:val="00FC0E2A"/>
    <w:rsid w:val="00FC11F6"/>
    <w:rsid w:val="00FC6719"/>
    <w:rsid w:val="00FC67C9"/>
    <w:rsid w:val="00FD0A0F"/>
    <w:rsid w:val="00FD18BE"/>
    <w:rsid w:val="00FD2865"/>
    <w:rsid w:val="00FD5EEF"/>
    <w:rsid w:val="00FE0D8F"/>
    <w:rsid w:val="00FE2417"/>
    <w:rsid w:val="00FE6C9A"/>
    <w:rsid w:val="00FE75FD"/>
    <w:rsid w:val="00FE7C74"/>
    <w:rsid w:val="00FE7CEA"/>
    <w:rsid w:val="00FE7F10"/>
    <w:rsid w:val="00FF250B"/>
    <w:rsid w:val="00FF3076"/>
    <w:rsid w:val="00FF5413"/>
    <w:rsid w:val="00FF646D"/>
    <w:rsid w:val="00FF7117"/>
    <w:rsid w:val="00FF72BA"/>
    <w:rsid w:val="00FF7BE2"/>
    <w:rsid w:val="00FF7BF5"/>
    <w:rsid w:val="07B7FE59"/>
    <w:rsid w:val="0B2D096A"/>
    <w:rsid w:val="11FE16D2"/>
    <w:rsid w:val="126FAA76"/>
    <w:rsid w:val="1AD3F473"/>
    <w:rsid w:val="1F95A4B6"/>
    <w:rsid w:val="242E3FFC"/>
    <w:rsid w:val="2B1CCCB9"/>
    <w:rsid w:val="328E5041"/>
    <w:rsid w:val="3B0D0B90"/>
    <w:rsid w:val="3C112F90"/>
    <w:rsid w:val="3DEFA97C"/>
    <w:rsid w:val="42F0AFC3"/>
    <w:rsid w:val="432EA9EA"/>
    <w:rsid w:val="4D459638"/>
    <w:rsid w:val="503F34B0"/>
    <w:rsid w:val="52D4EE27"/>
    <w:rsid w:val="534853D7"/>
    <w:rsid w:val="5581ADB4"/>
    <w:rsid w:val="5F5F79CC"/>
    <w:rsid w:val="67D117C9"/>
    <w:rsid w:val="7326997D"/>
    <w:rsid w:val="770094CF"/>
    <w:rsid w:val="797A2294"/>
    <w:rsid w:val="7C1642B0"/>
    <w:rsid w:val="7C884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1B7476"/>
  <w15:chartTrackingRefBased/>
  <w15:docId w15:val="{1AB4C9BE-CCB1-4117-B77A-98648E0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30"/>
    <w:rPr>
      <w:rFonts w:ascii="Arial" w:hAnsi="Arial" w:cs="Arial"/>
      <w:sz w:val="24"/>
      <w:szCs w:val="24"/>
      <w:lang w:eastAsia="en-GB"/>
    </w:rPr>
  </w:style>
  <w:style w:type="paragraph" w:styleId="Heading1">
    <w:name w:val="heading 1"/>
    <w:basedOn w:val="Normal"/>
    <w:next w:val="Normal"/>
    <w:link w:val="Heading1Char"/>
    <w:qFormat/>
    <w:pPr>
      <w:keepNext/>
      <w:tabs>
        <w:tab w:val="left" w:pos="426"/>
      </w:tabs>
      <w:jc w:val="center"/>
      <w:outlineLvl w:val="0"/>
    </w:pPr>
    <w:rPr>
      <w:b/>
      <w:bCs/>
      <w:color w:val="FFFFFF"/>
      <w:sz w:val="36"/>
      <w:szCs w:val="36"/>
    </w:rPr>
  </w:style>
  <w:style w:type="paragraph" w:styleId="Heading2">
    <w:name w:val="heading 2"/>
    <w:basedOn w:val="Normal"/>
    <w:next w:val="Normal"/>
    <w:link w:val="Heading2Char"/>
    <w:qFormat/>
    <w:pPr>
      <w:keepNext/>
      <w:outlineLvl w:val="1"/>
    </w:pPr>
    <w:rPr>
      <w:b/>
      <w:bCs/>
      <w:lang w:val="en-US" w:eastAsia="en-US"/>
    </w:rPr>
  </w:style>
  <w:style w:type="paragraph" w:styleId="Heading3">
    <w:name w:val="heading 3"/>
    <w:basedOn w:val="Normal"/>
    <w:next w:val="Normal"/>
    <w:link w:val="Heading3Char"/>
    <w:qFormat/>
    <w:pPr>
      <w:keepNext/>
      <w:tabs>
        <w:tab w:val="left" w:pos="1440"/>
      </w:tabs>
      <w:jc w:val="both"/>
      <w:outlineLvl w:val="2"/>
    </w:pPr>
    <w:rPr>
      <w:b/>
      <w:bCs/>
    </w:rPr>
  </w:style>
  <w:style w:type="paragraph" w:styleId="Heading4">
    <w:name w:val="heading 4"/>
    <w:basedOn w:val="Normal"/>
    <w:next w:val="Normal"/>
    <w:link w:val="Heading4Char"/>
    <w:qFormat/>
    <w:rsid w:val="00C40662"/>
    <w:pPr>
      <w:keepNext/>
      <w:jc w:val="center"/>
      <w:outlineLvl w:val="3"/>
    </w:pPr>
    <w:rPr>
      <w:b/>
      <w:bCs/>
      <w:sz w:val="20"/>
      <w:szCs w:val="20"/>
    </w:rPr>
  </w:style>
  <w:style w:type="paragraph" w:styleId="Heading5">
    <w:name w:val="heading 5"/>
    <w:basedOn w:val="Normal"/>
    <w:next w:val="Normal"/>
    <w:link w:val="Heading5Char"/>
    <w:qFormat/>
    <w:pPr>
      <w:keepNext/>
      <w:autoSpaceDE w:val="0"/>
      <w:autoSpaceDN w:val="0"/>
      <w:adjustRightInd w:val="0"/>
      <w:outlineLvl w:val="4"/>
    </w:pPr>
    <w:rPr>
      <w:b/>
      <w:bCs/>
      <w:sz w:val="28"/>
      <w:szCs w:val="28"/>
    </w:rPr>
  </w:style>
  <w:style w:type="paragraph" w:styleId="Heading6">
    <w:name w:val="heading 6"/>
    <w:basedOn w:val="Normal"/>
    <w:next w:val="Normal"/>
    <w:link w:val="Heading6Char"/>
    <w:unhideWhenUsed/>
    <w:qFormat/>
    <w:rsid w:val="00C40662"/>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C40662"/>
    <w:pPr>
      <w:keepNext/>
      <w:tabs>
        <w:tab w:val="right" w:pos="2879"/>
      </w:tabs>
      <w:spacing w:before="60" w:after="60"/>
      <w:jc w:val="center"/>
      <w:outlineLvl w:val="6"/>
    </w:pPr>
    <w:rPr>
      <w:b/>
      <w:bCs/>
      <w:sz w:val="22"/>
      <w:szCs w:val="22"/>
    </w:rPr>
  </w:style>
  <w:style w:type="paragraph" w:styleId="Heading9">
    <w:name w:val="heading 9"/>
    <w:basedOn w:val="Normal"/>
    <w:next w:val="Normal"/>
    <w:link w:val="Heading9Char"/>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75F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175F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175F8"/>
    <w:rPr>
      <w:rFonts w:ascii="Cambria" w:eastAsia="Times New Roman" w:hAnsi="Cambria" w:cs="Times New Roman"/>
      <w:b/>
      <w:bCs/>
      <w:sz w:val="26"/>
      <w:szCs w:val="26"/>
    </w:rPr>
  </w:style>
  <w:style w:type="character" w:customStyle="1" w:styleId="Heading4Char">
    <w:name w:val="Heading 4 Char"/>
    <w:link w:val="Heading4"/>
    <w:rsid w:val="00C40662"/>
    <w:rPr>
      <w:rFonts w:ascii="Arial" w:hAnsi="Arial" w:cs="Arial"/>
      <w:b/>
      <w:bCs/>
    </w:rPr>
  </w:style>
  <w:style w:type="character" w:customStyle="1" w:styleId="Heading5Char">
    <w:name w:val="Heading 5 Char"/>
    <w:link w:val="Heading5"/>
    <w:uiPriority w:val="9"/>
    <w:semiHidden/>
    <w:rsid w:val="006175F8"/>
    <w:rPr>
      <w:b/>
      <w:bCs/>
      <w:i/>
      <w:iCs/>
      <w:sz w:val="26"/>
      <w:szCs w:val="26"/>
    </w:rPr>
  </w:style>
  <w:style w:type="character" w:customStyle="1" w:styleId="Heading6Char">
    <w:name w:val="Heading 6 Char"/>
    <w:link w:val="Heading6"/>
    <w:uiPriority w:val="9"/>
    <w:semiHidden/>
    <w:rsid w:val="00C40662"/>
    <w:rPr>
      <w:rFonts w:ascii="Calibri" w:eastAsia="Times New Roman" w:hAnsi="Calibri" w:cs="Times New Roman"/>
      <w:b/>
      <w:bCs/>
      <w:sz w:val="22"/>
      <w:szCs w:val="22"/>
    </w:rPr>
  </w:style>
  <w:style w:type="character" w:customStyle="1" w:styleId="Heading7Char">
    <w:name w:val="Heading 7 Char"/>
    <w:link w:val="Heading7"/>
    <w:rsid w:val="00C40662"/>
    <w:rPr>
      <w:rFonts w:ascii="Arial" w:hAnsi="Arial" w:cs="Arial"/>
      <w:b/>
      <w:bCs/>
      <w:sz w:val="22"/>
      <w:szCs w:val="22"/>
    </w:rPr>
  </w:style>
  <w:style w:type="character" w:customStyle="1" w:styleId="Heading9Char">
    <w:name w:val="Heading 9 Char"/>
    <w:link w:val="Heading9"/>
    <w:uiPriority w:val="9"/>
    <w:semiHidden/>
    <w:rsid w:val="006175F8"/>
    <w:rPr>
      <w:rFonts w:ascii="Cambria" w:eastAsia="Times New Roman" w:hAnsi="Cambria" w:cs="Times New Roma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semiHidden/>
    <w:rsid w:val="006175F8"/>
    <w:rPr>
      <w:rFonts w:ascii="Arial" w:hAnsi="Arial" w:cs="Arial"/>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6175F8"/>
    <w:rPr>
      <w:rFonts w:ascii="Arial" w:hAnsi="Arial" w:cs="Arial"/>
      <w:sz w:val="24"/>
      <w:szCs w:val="24"/>
    </w:rPr>
  </w:style>
  <w:style w:type="character" w:styleId="PageNumber">
    <w:name w:val="page number"/>
    <w:basedOn w:val="DefaultParagraphFont"/>
  </w:style>
  <w:style w:type="paragraph" w:styleId="BodyText">
    <w:name w:val="Body Text"/>
    <w:basedOn w:val="Normal"/>
    <w:link w:val="BodyTextChar"/>
    <w:pPr>
      <w:tabs>
        <w:tab w:val="left" w:pos="426"/>
      </w:tabs>
      <w:jc w:val="both"/>
    </w:pPr>
  </w:style>
  <w:style w:type="character" w:customStyle="1" w:styleId="BodyTextChar">
    <w:name w:val="Body Text Char"/>
    <w:link w:val="BodyText"/>
    <w:semiHidden/>
    <w:rsid w:val="006175F8"/>
    <w:rPr>
      <w:rFonts w:ascii="Arial" w:hAnsi="Arial" w:cs="Arial"/>
      <w:sz w:val="24"/>
      <w:szCs w:val="24"/>
    </w:r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character" w:styleId="Hyperlink">
    <w:name w:val="Hyperlink"/>
    <w:rPr>
      <w:color w:val="0000FF"/>
      <w:u w:val="single"/>
    </w:rPr>
  </w:style>
  <w:style w:type="paragraph" w:styleId="ListParagraph">
    <w:name w:val="List Paragraph"/>
    <w:basedOn w:val="Normal"/>
    <w:link w:val="ListParagraphChar"/>
    <w:qFormat/>
    <w:rsid w:val="00C8446D"/>
    <w:pPr>
      <w:ind w:left="720"/>
    </w:pPr>
  </w:style>
  <w:style w:type="character" w:customStyle="1" w:styleId="ListParagraphChar">
    <w:name w:val="List Paragraph Char"/>
    <w:link w:val="ListParagraph"/>
    <w:locked/>
    <w:rsid w:val="00C40662"/>
    <w:rPr>
      <w:rFonts w:ascii="Arial" w:hAnsi="Arial" w:cs="Arial"/>
      <w:sz w:val="24"/>
      <w:szCs w:val="24"/>
    </w:rPr>
  </w:style>
  <w:style w:type="character" w:styleId="Strong">
    <w:name w:val="Strong"/>
    <w:uiPriority w:val="22"/>
    <w:qFormat/>
    <w:rsid w:val="00B93837"/>
    <w:rPr>
      <w:b/>
      <w:bCs/>
    </w:rPr>
  </w:style>
  <w:style w:type="paragraph" w:styleId="BalloonText">
    <w:name w:val="Balloon Text"/>
    <w:basedOn w:val="Normal"/>
    <w:link w:val="BalloonTextChar"/>
    <w:semiHidden/>
    <w:unhideWhenUsed/>
    <w:rsid w:val="003F0C85"/>
    <w:rPr>
      <w:rFonts w:ascii="Tahoma" w:hAnsi="Tahoma" w:cs="Tahoma"/>
      <w:sz w:val="16"/>
      <w:szCs w:val="16"/>
    </w:rPr>
  </w:style>
  <w:style w:type="character" w:customStyle="1" w:styleId="BalloonTextChar">
    <w:name w:val="Balloon Text Char"/>
    <w:link w:val="BalloonText"/>
    <w:semiHidden/>
    <w:rsid w:val="003F0C85"/>
    <w:rPr>
      <w:rFonts w:ascii="Tahoma" w:hAnsi="Tahoma" w:cs="Tahoma"/>
      <w:sz w:val="16"/>
      <w:szCs w:val="16"/>
    </w:rPr>
  </w:style>
  <w:style w:type="character" w:styleId="CommentReference">
    <w:name w:val="annotation reference"/>
    <w:semiHidden/>
    <w:unhideWhenUsed/>
    <w:rsid w:val="00C40662"/>
    <w:rPr>
      <w:sz w:val="16"/>
      <w:szCs w:val="16"/>
    </w:rPr>
  </w:style>
  <w:style w:type="paragraph" w:styleId="BodyText3">
    <w:name w:val="Body Text 3"/>
    <w:basedOn w:val="Normal"/>
    <w:link w:val="BodyText3Char"/>
    <w:semiHidden/>
    <w:unhideWhenUsed/>
    <w:rsid w:val="00C40662"/>
    <w:pPr>
      <w:spacing w:after="120"/>
    </w:pPr>
    <w:rPr>
      <w:sz w:val="16"/>
      <w:szCs w:val="16"/>
    </w:rPr>
  </w:style>
  <w:style w:type="character" w:customStyle="1" w:styleId="BodyText3Char">
    <w:name w:val="Body Text 3 Char"/>
    <w:link w:val="BodyText3"/>
    <w:uiPriority w:val="99"/>
    <w:semiHidden/>
    <w:rsid w:val="00C40662"/>
    <w:rPr>
      <w:rFonts w:ascii="Arial" w:hAnsi="Arial" w:cs="Arial"/>
      <w:sz w:val="16"/>
      <w:szCs w:val="16"/>
    </w:rPr>
  </w:style>
  <w:style w:type="paragraph" w:styleId="BodyText2">
    <w:name w:val="Body Text 2"/>
    <w:basedOn w:val="Normal"/>
    <w:link w:val="BodyText2Char"/>
    <w:semiHidden/>
    <w:unhideWhenUsed/>
    <w:rsid w:val="00C40662"/>
    <w:pPr>
      <w:spacing w:after="120" w:line="480" w:lineRule="auto"/>
    </w:pPr>
  </w:style>
  <w:style w:type="character" w:customStyle="1" w:styleId="BodyText2Char">
    <w:name w:val="Body Text 2 Char"/>
    <w:link w:val="BodyText2"/>
    <w:uiPriority w:val="99"/>
    <w:semiHidden/>
    <w:rsid w:val="00C40662"/>
    <w:rPr>
      <w:rFonts w:ascii="Arial" w:hAnsi="Arial" w:cs="Arial"/>
      <w:sz w:val="24"/>
      <w:szCs w:val="24"/>
    </w:rPr>
  </w:style>
  <w:style w:type="paragraph" w:styleId="Title">
    <w:name w:val="Title"/>
    <w:basedOn w:val="Normal"/>
    <w:link w:val="TitleChar"/>
    <w:qFormat/>
    <w:rsid w:val="00C40662"/>
    <w:pPr>
      <w:tabs>
        <w:tab w:val="center" w:pos="4510"/>
        <w:tab w:val="right" w:pos="9000"/>
      </w:tabs>
      <w:jc w:val="center"/>
    </w:pPr>
    <w:rPr>
      <w:b/>
      <w:bCs/>
      <w:sz w:val="28"/>
      <w:szCs w:val="28"/>
    </w:rPr>
  </w:style>
  <w:style w:type="character" w:customStyle="1" w:styleId="TitleChar">
    <w:name w:val="Title Char"/>
    <w:link w:val="Title"/>
    <w:rsid w:val="00C40662"/>
    <w:rPr>
      <w:rFonts w:ascii="Arial" w:hAnsi="Arial" w:cs="Arial"/>
      <w:b/>
      <w:bCs/>
      <w:sz w:val="28"/>
      <w:szCs w:val="28"/>
    </w:rPr>
  </w:style>
  <w:style w:type="paragraph" w:styleId="Subtitle">
    <w:name w:val="Subtitle"/>
    <w:basedOn w:val="Normal"/>
    <w:link w:val="SubtitleChar"/>
    <w:qFormat/>
    <w:rsid w:val="00C40662"/>
    <w:pPr>
      <w:jc w:val="center"/>
    </w:pPr>
    <w:rPr>
      <w:b/>
      <w:bCs/>
      <w:sz w:val="28"/>
    </w:rPr>
  </w:style>
  <w:style w:type="character" w:customStyle="1" w:styleId="SubtitleChar">
    <w:name w:val="Subtitle Char"/>
    <w:link w:val="Subtitle"/>
    <w:rsid w:val="00C40662"/>
    <w:rPr>
      <w:rFonts w:ascii="Arial" w:hAnsi="Arial" w:cs="Arial"/>
      <w:b/>
      <w:bCs/>
      <w:sz w:val="28"/>
      <w:szCs w:val="24"/>
    </w:rPr>
  </w:style>
  <w:style w:type="character" w:customStyle="1" w:styleId="CommentTextChar">
    <w:name w:val="Comment Text Char"/>
    <w:link w:val="CommentText"/>
    <w:semiHidden/>
    <w:rsid w:val="00C40662"/>
    <w:rPr>
      <w:rFonts w:ascii="Arial" w:hAnsi="Arial" w:cs="Arial"/>
    </w:rPr>
  </w:style>
  <w:style w:type="paragraph" w:styleId="CommentText">
    <w:name w:val="annotation text"/>
    <w:basedOn w:val="Normal"/>
    <w:link w:val="CommentTextChar"/>
    <w:semiHidden/>
    <w:rsid w:val="00C40662"/>
    <w:rPr>
      <w:sz w:val="20"/>
      <w:szCs w:val="20"/>
    </w:rPr>
  </w:style>
  <w:style w:type="character" w:customStyle="1" w:styleId="CommentSubjectChar">
    <w:name w:val="Comment Subject Char"/>
    <w:link w:val="CommentSubject"/>
    <w:semiHidden/>
    <w:rsid w:val="00C40662"/>
    <w:rPr>
      <w:rFonts w:ascii="Arial" w:hAnsi="Arial" w:cs="Arial"/>
      <w:b/>
      <w:bCs/>
    </w:rPr>
  </w:style>
  <w:style w:type="paragraph" w:styleId="CommentSubject">
    <w:name w:val="annotation subject"/>
    <w:basedOn w:val="CommentText"/>
    <w:next w:val="CommentText"/>
    <w:link w:val="CommentSubjectChar"/>
    <w:semiHidden/>
    <w:unhideWhenUsed/>
    <w:rsid w:val="00C40662"/>
    <w:rPr>
      <w:b/>
      <w:bCs/>
    </w:rPr>
  </w:style>
  <w:style w:type="paragraph" w:styleId="NoSpacing">
    <w:name w:val="No Spacing"/>
    <w:qFormat/>
    <w:rsid w:val="00C40662"/>
    <w:rPr>
      <w:rFonts w:ascii="Arial" w:hAnsi="Arial"/>
      <w:sz w:val="24"/>
      <w:szCs w:val="22"/>
      <w:lang w:eastAsia="en-US"/>
    </w:rPr>
  </w:style>
  <w:style w:type="paragraph" w:styleId="Caption">
    <w:name w:val="caption"/>
    <w:basedOn w:val="Normal"/>
    <w:next w:val="Normal"/>
    <w:qFormat/>
    <w:rsid w:val="00C40662"/>
    <w:rPr>
      <w:b/>
      <w:bCs/>
      <w:sz w:val="20"/>
      <w:szCs w:val="20"/>
    </w:rPr>
  </w:style>
  <w:style w:type="paragraph" w:styleId="FootnoteText">
    <w:name w:val="footnote text"/>
    <w:basedOn w:val="Normal"/>
    <w:link w:val="FootnoteTextChar"/>
    <w:semiHidden/>
    <w:rsid w:val="00C40662"/>
    <w:rPr>
      <w:sz w:val="20"/>
      <w:szCs w:val="20"/>
    </w:rPr>
  </w:style>
  <w:style w:type="character" w:customStyle="1" w:styleId="FootnoteTextChar">
    <w:name w:val="Footnote Text Char"/>
    <w:link w:val="FootnoteText"/>
    <w:semiHidden/>
    <w:rsid w:val="00C40662"/>
    <w:rPr>
      <w:rFonts w:ascii="Arial" w:hAnsi="Arial" w:cs="Arial"/>
    </w:rPr>
  </w:style>
  <w:style w:type="character" w:styleId="FootnoteReference">
    <w:name w:val="footnote reference"/>
    <w:semiHidden/>
    <w:rsid w:val="00C40662"/>
    <w:rPr>
      <w:vertAlign w:val="superscript"/>
    </w:rPr>
  </w:style>
  <w:style w:type="table" w:styleId="TableGrid">
    <w:name w:val="Table Grid"/>
    <w:basedOn w:val="TableNormal"/>
    <w:uiPriority w:val="39"/>
    <w:rsid w:val="00C406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29022B"/>
    <w:rPr>
      <w:color w:val="800080"/>
      <w:u w:val="single"/>
    </w:rPr>
  </w:style>
  <w:style w:type="paragraph" w:styleId="Revision">
    <w:name w:val="Revision"/>
    <w:hidden/>
    <w:uiPriority w:val="99"/>
    <w:semiHidden/>
    <w:rsid w:val="0029022B"/>
    <w:rPr>
      <w:rFonts w:ascii="Arial" w:hAnsi="Arial" w:cs="Arial"/>
      <w:sz w:val="24"/>
      <w:szCs w:val="24"/>
      <w:lang w:eastAsia="en-GB"/>
    </w:rPr>
  </w:style>
  <w:style w:type="character" w:styleId="UnresolvedMention">
    <w:name w:val="Unresolved Mention"/>
    <w:basedOn w:val="DefaultParagraphFont"/>
    <w:uiPriority w:val="99"/>
    <w:semiHidden/>
    <w:unhideWhenUsed/>
    <w:rsid w:val="001A2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4819">
      <w:bodyDiv w:val="1"/>
      <w:marLeft w:val="0"/>
      <w:marRight w:val="0"/>
      <w:marTop w:val="0"/>
      <w:marBottom w:val="0"/>
      <w:divBdr>
        <w:top w:val="none" w:sz="0" w:space="0" w:color="auto"/>
        <w:left w:val="none" w:sz="0" w:space="0" w:color="auto"/>
        <w:bottom w:val="none" w:sz="0" w:space="0" w:color="auto"/>
        <w:right w:val="none" w:sz="0" w:space="0" w:color="auto"/>
      </w:divBdr>
    </w:div>
    <w:div w:id="240872199">
      <w:bodyDiv w:val="1"/>
      <w:marLeft w:val="0"/>
      <w:marRight w:val="0"/>
      <w:marTop w:val="0"/>
      <w:marBottom w:val="0"/>
      <w:divBdr>
        <w:top w:val="none" w:sz="0" w:space="0" w:color="auto"/>
        <w:left w:val="none" w:sz="0" w:space="0" w:color="auto"/>
        <w:bottom w:val="none" w:sz="0" w:space="0" w:color="auto"/>
        <w:right w:val="none" w:sz="0" w:space="0" w:color="auto"/>
      </w:divBdr>
    </w:div>
    <w:div w:id="273902234">
      <w:bodyDiv w:val="1"/>
      <w:marLeft w:val="0"/>
      <w:marRight w:val="0"/>
      <w:marTop w:val="0"/>
      <w:marBottom w:val="0"/>
      <w:divBdr>
        <w:top w:val="none" w:sz="0" w:space="0" w:color="auto"/>
        <w:left w:val="none" w:sz="0" w:space="0" w:color="auto"/>
        <w:bottom w:val="none" w:sz="0" w:space="0" w:color="auto"/>
        <w:right w:val="none" w:sz="0" w:space="0" w:color="auto"/>
      </w:divBdr>
    </w:div>
    <w:div w:id="321392494">
      <w:bodyDiv w:val="1"/>
      <w:marLeft w:val="0"/>
      <w:marRight w:val="0"/>
      <w:marTop w:val="0"/>
      <w:marBottom w:val="0"/>
      <w:divBdr>
        <w:top w:val="none" w:sz="0" w:space="0" w:color="auto"/>
        <w:left w:val="none" w:sz="0" w:space="0" w:color="auto"/>
        <w:bottom w:val="none" w:sz="0" w:space="0" w:color="auto"/>
        <w:right w:val="none" w:sz="0" w:space="0" w:color="auto"/>
      </w:divBdr>
    </w:div>
    <w:div w:id="345449914">
      <w:bodyDiv w:val="1"/>
      <w:marLeft w:val="0"/>
      <w:marRight w:val="0"/>
      <w:marTop w:val="0"/>
      <w:marBottom w:val="0"/>
      <w:divBdr>
        <w:top w:val="none" w:sz="0" w:space="0" w:color="auto"/>
        <w:left w:val="none" w:sz="0" w:space="0" w:color="auto"/>
        <w:bottom w:val="none" w:sz="0" w:space="0" w:color="auto"/>
        <w:right w:val="none" w:sz="0" w:space="0" w:color="auto"/>
      </w:divBdr>
    </w:div>
    <w:div w:id="346834961">
      <w:bodyDiv w:val="1"/>
      <w:marLeft w:val="0"/>
      <w:marRight w:val="0"/>
      <w:marTop w:val="0"/>
      <w:marBottom w:val="0"/>
      <w:divBdr>
        <w:top w:val="none" w:sz="0" w:space="0" w:color="auto"/>
        <w:left w:val="none" w:sz="0" w:space="0" w:color="auto"/>
        <w:bottom w:val="none" w:sz="0" w:space="0" w:color="auto"/>
        <w:right w:val="none" w:sz="0" w:space="0" w:color="auto"/>
      </w:divBdr>
    </w:div>
    <w:div w:id="525488519">
      <w:bodyDiv w:val="1"/>
      <w:marLeft w:val="0"/>
      <w:marRight w:val="0"/>
      <w:marTop w:val="0"/>
      <w:marBottom w:val="0"/>
      <w:divBdr>
        <w:top w:val="none" w:sz="0" w:space="0" w:color="auto"/>
        <w:left w:val="none" w:sz="0" w:space="0" w:color="auto"/>
        <w:bottom w:val="none" w:sz="0" w:space="0" w:color="auto"/>
        <w:right w:val="none" w:sz="0" w:space="0" w:color="auto"/>
      </w:divBdr>
    </w:div>
    <w:div w:id="560599422">
      <w:bodyDiv w:val="1"/>
      <w:marLeft w:val="0"/>
      <w:marRight w:val="0"/>
      <w:marTop w:val="0"/>
      <w:marBottom w:val="0"/>
      <w:divBdr>
        <w:top w:val="none" w:sz="0" w:space="0" w:color="auto"/>
        <w:left w:val="none" w:sz="0" w:space="0" w:color="auto"/>
        <w:bottom w:val="none" w:sz="0" w:space="0" w:color="auto"/>
        <w:right w:val="none" w:sz="0" w:space="0" w:color="auto"/>
      </w:divBdr>
    </w:div>
    <w:div w:id="617416968">
      <w:bodyDiv w:val="1"/>
      <w:marLeft w:val="0"/>
      <w:marRight w:val="0"/>
      <w:marTop w:val="0"/>
      <w:marBottom w:val="0"/>
      <w:divBdr>
        <w:top w:val="none" w:sz="0" w:space="0" w:color="auto"/>
        <w:left w:val="none" w:sz="0" w:space="0" w:color="auto"/>
        <w:bottom w:val="none" w:sz="0" w:space="0" w:color="auto"/>
        <w:right w:val="none" w:sz="0" w:space="0" w:color="auto"/>
      </w:divBdr>
    </w:div>
    <w:div w:id="685208912">
      <w:bodyDiv w:val="1"/>
      <w:marLeft w:val="0"/>
      <w:marRight w:val="0"/>
      <w:marTop w:val="0"/>
      <w:marBottom w:val="0"/>
      <w:divBdr>
        <w:top w:val="none" w:sz="0" w:space="0" w:color="auto"/>
        <w:left w:val="none" w:sz="0" w:space="0" w:color="auto"/>
        <w:bottom w:val="none" w:sz="0" w:space="0" w:color="auto"/>
        <w:right w:val="none" w:sz="0" w:space="0" w:color="auto"/>
      </w:divBdr>
    </w:div>
    <w:div w:id="726956776">
      <w:bodyDiv w:val="1"/>
      <w:marLeft w:val="0"/>
      <w:marRight w:val="0"/>
      <w:marTop w:val="0"/>
      <w:marBottom w:val="0"/>
      <w:divBdr>
        <w:top w:val="none" w:sz="0" w:space="0" w:color="auto"/>
        <w:left w:val="none" w:sz="0" w:space="0" w:color="auto"/>
        <w:bottom w:val="none" w:sz="0" w:space="0" w:color="auto"/>
        <w:right w:val="none" w:sz="0" w:space="0" w:color="auto"/>
      </w:divBdr>
    </w:div>
    <w:div w:id="839662101">
      <w:bodyDiv w:val="1"/>
      <w:marLeft w:val="0"/>
      <w:marRight w:val="0"/>
      <w:marTop w:val="0"/>
      <w:marBottom w:val="0"/>
      <w:divBdr>
        <w:top w:val="none" w:sz="0" w:space="0" w:color="auto"/>
        <w:left w:val="none" w:sz="0" w:space="0" w:color="auto"/>
        <w:bottom w:val="none" w:sz="0" w:space="0" w:color="auto"/>
        <w:right w:val="none" w:sz="0" w:space="0" w:color="auto"/>
      </w:divBdr>
    </w:div>
    <w:div w:id="855576685">
      <w:bodyDiv w:val="1"/>
      <w:marLeft w:val="0"/>
      <w:marRight w:val="0"/>
      <w:marTop w:val="0"/>
      <w:marBottom w:val="0"/>
      <w:divBdr>
        <w:top w:val="none" w:sz="0" w:space="0" w:color="auto"/>
        <w:left w:val="none" w:sz="0" w:space="0" w:color="auto"/>
        <w:bottom w:val="none" w:sz="0" w:space="0" w:color="auto"/>
        <w:right w:val="none" w:sz="0" w:space="0" w:color="auto"/>
      </w:divBdr>
    </w:div>
    <w:div w:id="881014758">
      <w:bodyDiv w:val="1"/>
      <w:marLeft w:val="0"/>
      <w:marRight w:val="0"/>
      <w:marTop w:val="0"/>
      <w:marBottom w:val="0"/>
      <w:divBdr>
        <w:top w:val="none" w:sz="0" w:space="0" w:color="auto"/>
        <w:left w:val="none" w:sz="0" w:space="0" w:color="auto"/>
        <w:bottom w:val="none" w:sz="0" w:space="0" w:color="auto"/>
        <w:right w:val="none" w:sz="0" w:space="0" w:color="auto"/>
      </w:divBdr>
    </w:div>
    <w:div w:id="910654057">
      <w:bodyDiv w:val="1"/>
      <w:marLeft w:val="0"/>
      <w:marRight w:val="0"/>
      <w:marTop w:val="0"/>
      <w:marBottom w:val="0"/>
      <w:divBdr>
        <w:top w:val="none" w:sz="0" w:space="0" w:color="auto"/>
        <w:left w:val="none" w:sz="0" w:space="0" w:color="auto"/>
        <w:bottom w:val="none" w:sz="0" w:space="0" w:color="auto"/>
        <w:right w:val="none" w:sz="0" w:space="0" w:color="auto"/>
      </w:divBdr>
    </w:div>
    <w:div w:id="914433303">
      <w:bodyDiv w:val="1"/>
      <w:marLeft w:val="0"/>
      <w:marRight w:val="0"/>
      <w:marTop w:val="0"/>
      <w:marBottom w:val="0"/>
      <w:divBdr>
        <w:top w:val="none" w:sz="0" w:space="0" w:color="auto"/>
        <w:left w:val="none" w:sz="0" w:space="0" w:color="auto"/>
        <w:bottom w:val="none" w:sz="0" w:space="0" w:color="auto"/>
        <w:right w:val="none" w:sz="0" w:space="0" w:color="auto"/>
      </w:divBdr>
    </w:div>
    <w:div w:id="952520783">
      <w:bodyDiv w:val="1"/>
      <w:marLeft w:val="0"/>
      <w:marRight w:val="0"/>
      <w:marTop w:val="0"/>
      <w:marBottom w:val="0"/>
      <w:divBdr>
        <w:top w:val="none" w:sz="0" w:space="0" w:color="auto"/>
        <w:left w:val="none" w:sz="0" w:space="0" w:color="auto"/>
        <w:bottom w:val="none" w:sz="0" w:space="0" w:color="auto"/>
        <w:right w:val="none" w:sz="0" w:space="0" w:color="auto"/>
      </w:divBdr>
    </w:div>
    <w:div w:id="982126118">
      <w:bodyDiv w:val="1"/>
      <w:marLeft w:val="0"/>
      <w:marRight w:val="0"/>
      <w:marTop w:val="0"/>
      <w:marBottom w:val="0"/>
      <w:divBdr>
        <w:top w:val="none" w:sz="0" w:space="0" w:color="auto"/>
        <w:left w:val="none" w:sz="0" w:space="0" w:color="auto"/>
        <w:bottom w:val="none" w:sz="0" w:space="0" w:color="auto"/>
        <w:right w:val="none" w:sz="0" w:space="0" w:color="auto"/>
      </w:divBdr>
    </w:div>
    <w:div w:id="1142310327">
      <w:bodyDiv w:val="1"/>
      <w:marLeft w:val="0"/>
      <w:marRight w:val="0"/>
      <w:marTop w:val="0"/>
      <w:marBottom w:val="0"/>
      <w:divBdr>
        <w:top w:val="none" w:sz="0" w:space="0" w:color="auto"/>
        <w:left w:val="none" w:sz="0" w:space="0" w:color="auto"/>
        <w:bottom w:val="none" w:sz="0" w:space="0" w:color="auto"/>
        <w:right w:val="none" w:sz="0" w:space="0" w:color="auto"/>
      </w:divBdr>
    </w:div>
    <w:div w:id="1245526206">
      <w:bodyDiv w:val="1"/>
      <w:marLeft w:val="0"/>
      <w:marRight w:val="0"/>
      <w:marTop w:val="0"/>
      <w:marBottom w:val="0"/>
      <w:divBdr>
        <w:top w:val="none" w:sz="0" w:space="0" w:color="auto"/>
        <w:left w:val="none" w:sz="0" w:space="0" w:color="auto"/>
        <w:bottom w:val="none" w:sz="0" w:space="0" w:color="auto"/>
        <w:right w:val="none" w:sz="0" w:space="0" w:color="auto"/>
      </w:divBdr>
    </w:div>
    <w:div w:id="1297836531">
      <w:bodyDiv w:val="1"/>
      <w:marLeft w:val="0"/>
      <w:marRight w:val="0"/>
      <w:marTop w:val="0"/>
      <w:marBottom w:val="0"/>
      <w:divBdr>
        <w:top w:val="none" w:sz="0" w:space="0" w:color="auto"/>
        <w:left w:val="none" w:sz="0" w:space="0" w:color="auto"/>
        <w:bottom w:val="none" w:sz="0" w:space="0" w:color="auto"/>
        <w:right w:val="none" w:sz="0" w:space="0" w:color="auto"/>
      </w:divBdr>
    </w:div>
    <w:div w:id="1356689882">
      <w:bodyDiv w:val="1"/>
      <w:marLeft w:val="0"/>
      <w:marRight w:val="0"/>
      <w:marTop w:val="0"/>
      <w:marBottom w:val="0"/>
      <w:divBdr>
        <w:top w:val="none" w:sz="0" w:space="0" w:color="auto"/>
        <w:left w:val="none" w:sz="0" w:space="0" w:color="auto"/>
        <w:bottom w:val="none" w:sz="0" w:space="0" w:color="auto"/>
        <w:right w:val="none" w:sz="0" w:space="0" w:color="auto"/>
      </w:divBdr>
    </w:div>
    <w:div w:id="1411001535">
      <w:bodyDiv w:val="1"/>
      <w:marLeft w:val="0"/>
      <w:marRight w:val="0"/>
      <w:marTop w:val="0"/>
      <w:marBottom w:val="0"/>
      <w:divBdr>
        <w:top w:val="none" w:sz="0" w:space="0" w:color="auto"/>
        <w:left w:val="none" w:sz="0" w:space="0" w:color="auto"/>
        <w:bottom w:val="none" w:sz="0" w:space="0" w:color="auto"/>
        <w:right w:val="none" w:sz="0" w:space="0" w:color="auto"/>
      </w:divBdr>
    </w:div>
    <w:div w:id="1415316058">
      <w:bodyDiv w:val="1"/>
      <w:marLeft w:val="0"/>
      <w:marRight w:val="0"/>
      <w:marTop w:val="0"/>
      <w:marBottom w:val="0"/>
      <w:divBdr>
        <w:top w:val="none" w:sz="0" w:space="0" w:color="auto"/>
        <w:left w:val="none" w:sz="0" w:space="0" w:color="auto"/>
        <w:bottom w:val="none" w:sz="0" w:space="0" w:color="auto"/>
        <w:right w:val="none" w:sz="0" w:space="0" w:color="auto"/>
      </w:divBdr>
    </w:div>
    <w:div w:id="1503735076">
      <w:bodyDiv w:val="1"/>
      <w:marLeft w:val="0"/>
      <w:marRight w:val="0"/>
      <w:marTop w:val="0"/>
      <w:marBottom w:val="0"/>
      <w:divBdr>
        <w:top w:val="none" w:sz="0" w:space="0" w:color="auto"/>
        <w:left w:val="none" w:sz="0" w:space="0" w:color="auto"/>
        <w:bottom w:val="none" w:sz="0" w:space="0" w:color="auto"/>
        <w:right w:val="none" w:sz="0" w:space="0" w:color="auto"/>
      </w:divBdr>
    </w:div>
    <w:div w:id="1536577277">
      <w:bodyDiv w:val="1"/>
      <w:marLeft w:val="0"/>
      <w:marRight w:val="0"/>
      <w:marTop w:val="0"/>
      <w:marBottom w:val="0"/>
      <w:divBdr>
        <w:top w:val="none" w:sz="0" w:space="0" w:color="auto"/>
        <w:left w:val="none" w:sz="0" w:space="0" w:color="auto"/>
        <w:bottom w:val="none" w:sz="0" w:space="0" w:color="auto"/>
        <w:right w:val="none" w:sz="0" w:space="0" w:color="auto"/>
      </w:divBdr>
    </w:div>
    <w:div w:id="1581670571">
      <w:bodyDiv w:val="1"/>
      <w:marLeft w:val="0"/>
      <w:marRight w:val="0"/>
      <w:marTop w:val="0"/>
      <w:marBottom w:val="0"/>
      <w:divBdr>
        <w:top w:val="none" w:sz="0" w:space="0" w:color="auto"/>
        <w:left w:val="none" w:sz="0" w:space="0" w:color="auto"/>
        <w:bottom w:val="none" w:sz="0" w:space="0" w:color="auto"/>
        <w:right w:val="none" w:sz="0" w:space="0" w:color="auto"/>
      </w:divBdr>
    </w:div>
    <w:div w:id="1649018559">
      <w:bodyDiv w:val="1"/>
      <w:marLeft w:val="0"/>
      <w:marRight w:val="0"/>
      <w:marTop w:val="0"/>
      <w:marBottom w:val="0"/>
      <w:divBdr>
        <w:top w:val="none" w:sz="0" w:space="0" w:color="auto"/>
        <w:left w:val="none" w:sz="0" w:space="0" w:color="auto"/>
        <w:bottom w:val="none" w:sz="0" w:space="0" w:color="auto"/>
        <w:right w:val="none" w:sz="0" w:space="0" w:color="auto"/>
      </w:divBdr>
    </w:div>
    <w:div w:id="1698969027">
      <w:bodyDiv w:val="1"/>
      <w:marLeft w:val="0"/>
      <w:marRight w:val="0"/>
      <w:marTop w:val="0"/>
      <w:marBottom w:val="0"/>
      <w:divBdr>
        <w:top w:val="none" w:sz="0" w:space="0" w:color="auto"/>
        <w:left w:val="none" w:sz="0" w:space="0" w:color="auto"/>
        <w:bottom w:val="none" w:sz="0" w:space="0" w:color="auto"/>
        <w:right w:val="none" w:sz="0" w:space="0" w:color="auto"/>
      </w:divBdr>
    </w:div>
    <w:div w:id="1791902056">
      <w:bodyDiv w:val="1"/>
      <w:marLeft w:val="0"/>
      <w:marRight w:val="0"/>
      <w:marTop w:val="0"/>
      <w:marBottom w:val="0"/>
      <w:divBdr>
        <w:top w:val="none" w:sz="0" w:space="0" w:color="auto"/>
        <w:left w:val="none" w:sz="0" w:space="0" w:color="auto"/>
        <w:bottom w:val="none" w:sz="0" w:space="0" w:color="auto"/>
        <w:right w:val="none" w:sz="0" w:space="0" w:color="auto"/>
      </w:divBdr>
    </w:div>
    <w:div w:id="1890678294">
      <w:bodyDiv w:val="1"/>
      <w:marLeft w:val="0"/>
      <w:marRight w:val="0"/>
      <w:marTop w:val="0"/>
      <w:marBottom w:val="0"/>
      <w:divBdr>
        <w:top w:val="none" w:sz="0" w:space="0" w:color="auto"/>
        <w:left w:val="none" w:sz="0" w:space="0" w:color="auto"/>
        <w:bottom w:val="none" w:sz="0" w:space="0" w:color="auto"/>
        <w:right w:val="none" w:sz="0" w:space="0" w:color="auto"/>
      </w:divBdr>
    </w:div>
    <w:div w:id="1920745216">
      <w:bodyDiv w:val="1"/>
      <w:marLeft w:val="0"/>
      <w:marRight w:val="0"/>
      <w:marTop w:val="0"/>
      <w:marBottom w:val="0"/>
      <w:divBdr>
        <w:top w:val="none" w:sz="0" w:space="0" w:color="auto"/>
        <w:left w:val="none" w:sz="0" w:space="0" w:color="auto"/>
        <w:bottom w:val="none" w:sz="0" w:space="0" w:color="auto"/>
        <w:right w:val="none" w:sz="0" w:space="0" w:color="auto"/>
      </w:divBdr>
    </w:div>
    <w:div w:id="1955399163">
      <w:bodyDiv w:val="1"/>
      <w:marLeft w:val="0"/>
      <w:marRight w:val="0"/>
      <w:marTop w:val="0"/>
      <w:marBottom w:val="0"/>
      <w:divBdr>
        <w:top w:val="none" w:sz="0" w:space="0" w:color="auto"/>
        <w:left w:val="none" w:sz="0" w:space="0" w:color="auto"/>
        <w:bottom w:val="none" w:sz="0" w:space="0" w:color="auto"/>
        <w:right w:val="none" w:sz="0" w:space="0" w:color="auto"/>
      </w:divBdr>
    </w:div>
    <w:div w:id="1958640692">
      <w:bodyDiv w:val="1"/>
      <w:marLeft w:val="0"/>
      <w:marRight w:val="0"/>
      <w:marTop w:val="0"/>
      <w:marBottom w:val="0"/>
      <w:divBdr>
        <w:top w:val="none" w:sz="0" w:space="0" w:color="auto"/>
        <w:left w:val="none" w:sz="0" w:space="0" w:color="auto"/>
        <w:bottom w:val="none" w:sz="0" w:space="0" w:color="auto"/>
        <w:right w:val="none" w:sz="0" w:space="0" w:color="auto"/>
      </w:divBdr>
    </w:div>
    <w:div w:id="2002082635">
      <w:bodyDiv w:val="1"/>
      <w:marLeft w:val="0"/>
      <w:marRight w:val="0"/>
      <w:marTop w:val="0"/>
      <w:marBottom w:val="0"/>
      <w:divBdr>
        <w:top w:val="none" w:sz="0" w:space="0" w:color="auto"/>
        <w:left w:val="none" w:sz="0" w:space="0" w:color="auto"/>
        <w:bottom w:val="none" w:sz="0" w:space="0" w:color="auto"/>
        <w:right w:val="none" w:sz="0" w:space="0" w:color="auto"/>
      </w:divBdr>
    </w:div>
    <w:div w:id="2029141712">
      <w:bodyDiv w:val="1"/>
      <w:marLeft w:val="0"/>
      <w:marRight w:val="0"/>
      <w:marTop w:val="0"/>
      <w:marBottom w:val="0"/>
      <w:divBdr>
        <w:top w:val="none" w:sz="0" w:space="0" w:color="auto"/>
        <w:left w:val="none" w:sz="0" w:space="0" w:color="auto"/>
        <w:bottom w:val="none" w:sz="0" w:space="0" w:color="auto"/>
        <w:right w:val="none" w:sz="0" w:space="0" w:color="auto"/>
      </w:divBdr>
    </w:div>
    <w:div w:id="20323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disability-confident-how-to-sign-up-to-the-employer-sche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dway.gov.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7B80EF8748D43A7E921A2D5A5C86A" ma:contentTypeVersion="4" ma:contentTypeDescription="Create a new document." ma:contentTypeScope="" ma:versionID="79e807d7b7bcf6109c06789d9487a5eb">
  <xsd:schema xmlns:xsd="http://www.w3.org/2001/XMLSchema" xmlns:xs="http://www.w3.org/2001/XMLSchema" xmlns:p="http://schemas.microsoft.com/office/2006/metadata/properties" xmlns:ns2="701bdef5-afac-4a91-8493-12b9e688a37d" targetNamespace="http://schemas.microsoft.com/office/2006/metadata/properties" ma:root="true" ma:fieldsID="f8d5e3154ee5d86ce3790d06e3d5adba" ns2:_="">
    <xsd:import namespace="701bdef5-afac-4a91-8493-12b9e688a3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def5-afac-4a91-8493-12b9e688a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B4C0-B5B8-4580-8581-F88B040F31BC}">
  <ds:schemaRefs>
    <ds:schemaRef ds:uri="http://schemas.microsoft.com/sharepoint/v3/contenttype/forms"/>
  </ds:schemaRefs>
</ds:datastoreItem>
</file>

<file path=customXml/itemProps2.xml><?xml version="1.0" encoding="utf-8"?>
<ds:datastoreItem xmlns:ds="http://schemas.openxmlformats.org/officeDocument/2006/customXml" ds:itemID="{B6996441-2699-4491-9B98-7C496CD0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bdef5-afac-4a91-8493-12b9e688a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20315-DF13-4304-B7E5-C0CAE9330B48}">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701bdef5-afac-4a91-8493-12b9e688a37d"/>
    <ds:schemaRef ds:uri="http://purl.org/dc/dcmitype/"/>
  </ds:schemaRefs>
</ds:datastoreItem>
</file>

<file path=customXml/itemProps4.xml><?xml version="1.0" encoding="utf-8"?>
<ds:datastoreItem xmlns:ds="http://schemas.openxmlformats.org/officeDocument/2006/customXml" ds:itemID="{B707C2F3-0F92-43E1-AAA3-9718ACF1C9AB}">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37</Pages>
  <Words>14556</Words>
  <Characters>79133</Characters>
  <Application>Microsoft Office Word</Application>
  <DocSecurity>0</DocSecurity>
  <Lines>659</Lines>
  <Paragraphs>187</Paragraphs>
  <ScaleCrop>false</ScaleCrop>
  <HeadingPairs>
    <vt:vector size="2" baseType="variant">
      <vt:variant>
        <vt:lpstr>Title</vt:lpstr>
      </vt:variant>
      <vt:variant>
        <vt:i4>1</vt:i4>
      </vt:variant>
    </vt:vector>
  </HeadingPairs>
  <TitlesOfParts>
    <vt:vector size="1" baseType="lpstr">
      <vt:lpstr>Section 1 - Summary</vt:lpstr>
    </vt:vector>
  </TitlesOfParts>
  <Company>Medway Council</Company>
  <LinksUpToDate>false</LinksUpToDate>
  <CharactersWithSpaces>93502</CharactersWithSpaces>
  <SharedDoc>false</SharedDoc>
  <HLinks>
    <vt:vector size="12" baseType="variant">
      <vt:variant>
        <vt:i4>7536763</vt:i4>
      </vt:variant>
      <vt:variant>
        <vt:i4>9</vt:i4>
      </vt:variant>
      <vt:variant>
        <vt:i4>0</vt:i4>
      </vt:variant>
      <vt:variant>
        <vt:i4>5</vt:i4>
      </vt:variant>
      <vt:variant>
        <vt:lpwstr>https://www.gov.uk/guidance/disability-confident-how-to-sign-up-to-the-employer-scheme</vt:lpwstr>
      </vt:variant>
      <vt:variant>
        <vt:lpwstr/>
      </vt:variant>
      <vt:variant>
        <vt:i4>5767194</vt:i4>
      </vt:variant>
      <vt:variant>
        <vt:i4>0</vt:i4>
      </vt:variant>
      <vt:variant>
        <vt:i4>0</vt:i4>
      </vt:variant>
      <vt:variant>
        <vt:i4>5</vt:i4>
      </vt:variant>
      <vt:variant>
        <vt:lpwstr>http://www.medway.gov.uk/childrenandyoungpeople/specialeducationalneeds.aspx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Summary</dc:title>
  <dc:subject/>
  <dc:creator>Authorised User</dc:creator>
  <cp:keywords/>
  <cp:lastModifiedBy>hughes, alison</cp:lastModifiedBy>
  <cp:revision>5</cp:revision>
  <cp:lastPrinted>2015-01-28T14:18:00Z</cp:lastPrinted>
  <dcterms:created xsi:type="dcterms:W3CDTF">2024-06-11T15:24:00Z</dcterms:created>
  <dcterms:modified xsi:type="dcterms:W3CDTF">2024-06-12T14:19:00Z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0x0101000E67B80EF8748D43A7E921A2D5A5C86A</vt:lpwstr>
  </property>
</Properties>
</file>