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4B32" w14:textId="7340A756" w:rsidR="007B1A45" w:rsidRDefault="007B1A45" w:rsidP="00BA0FE8">
      <w:pPr>
        <w:jc w:val="center"/>
      </w:pPr>
    </w:p>
    <w:tbl>
      <w:tblPr>
        <w:tblW w:w="0" w:type="auto"/>
        <w:tblLook w:val="0600" w:firstRow="0" w:lastRow="0" w:firstColumn="0" w:lastColumn="0" w:noHBand="1" w:noVBand="1"/>
      </w:tblPr>
      <w:tblGrid>
        <w:gridCol w:w="1321"/>
        <w:gridCol w:w="7705"/>
      </w:tblGrid>
      <w:tr w:rsidR="007B1A45" w14:paraId="7B0C0CD8" w14:textId="77777777">
        <w:tc>
          <w:tcPr>
            <w:tcW w:w="0" w:type="auto"/>
          </w:tcPr>
          <w:p w14:paraId="450C9A4D" w14:textId="77777777" w:rsidR="007B1A45" w:rsidRDefault="00BA0FE8">
            <w:r>
              <w:rPr>
                <w:b/>
              </w:rPr>
              <w:t>Date and time:</w:t>
            </w:r>
          </w:p>
        </w:tc>
        <w:tc>
          <w:tcPr>
            <w:tcW w:w="0" w:type="auto"/>
          </w:tcPr>
          <w:p w14:paraId="0F884D59" w14:textId="50966B8F" w:rsidR="007B1A45" w:rsidRDefault="004510BB" w:rsidP="004510BB">
            <w:r>
              <w:t>15/01/20 16:00 pm to 15/01/20 18</w:t>
            </w:r>
            <w:r w:rsidR="00BA0FE8">
              <w:t>:00 pm</w:t>
            </w:r>
          </w:p>
        </w:tc>
      </w:tr>
      <w:tr w:rsidR="007B1A45" w14:paraId="5E29FCD0" w14:textId="77777777">
        <w:tc>
          <w:tcPr>
            <w:tcW w:w="0" w:type="auto"/>
          </w:tcPr>
          <w:p w14:paraId="1855BF8B" w14:textId="77777777" w:rsidR="007B1A45" w:rsidRDefault="00BA0FE8">
            <w:r>
              <w:rPr>
                <w:b/>
              </w:rPr>
              <w:t>Present:</w:t>
            </w:r>
          </w:p>
        </w:tc>
        <w:tc>
          <w:tcPr>
            <w:tcW w:w="0" w:type="auto"/>
          </w:tcPr>
          <w:p w14:paraId="2CA201C0" w14:textId="68CFB838" w:rsidR="007B1A45" w:rsidRDefault="00BA0FE8">
            <w:bookmarkStart w:id="0" w:name="_Hlk30066126"/>
            <w:r>
              <w:t>Richard Warnham, Kim Gunn, Paul Jackson, Tim Williams, Steve Avis, Julia Harris, Peter Martin, Clive Mailing, Maria Beaney, Clare Redmond, Kirstin Baker.</w:t>
            </w:r>
            <w:bookmarkEnd w:id="0"/>
          </w:p>
        </w:tc>
      </w:tr>
      <w:tr w:rsidR="007B1A45" w14:paraId="48AF1328" w14:textId="77777777">
        <w:tc>
          <w:tcPr>
            <w:tcW w:w="0" w:type="auto"/>
          </w:tcPr>
          <w:p w14:paraId="0BD49E25" w14:textId="77777777" w:rsidR="007B1A45" w:rsidRDefault="00BA0FE8">
            <w:r>
              <w:rPr>
                <w:b/>
              </w:rPr>
              <w:t>Location:</w:t>
            </w:r>
          </w:p>
        </w:tc>
        <w:tc>
          <w:tcPr>
            <w:tcW w:w="0" w:type="auto"/>
          </w:tcPr>
          <w:p w14:paraId="76C3981A" w14:textId="77777777" w:rsidR="007B1A45" w:rsidRDefault="00BA0FE8">
            <w:proofErr w:type="spellStart"/>
            <w:r>
              <w:t>Strood</w:t>
            </w:r>
            <w:proofErr w:type="spellEnd"/>
            <w:r>
              <w:t xml:space="preserve"> Academy</w:t>
            </w:r>
          </w:p>
        </w:tc>
      </w:tr>
      <w:tr w:rsidR="007B1A45" w14:paraId="691F0D7E" w14:textId="77777777">
        <w:tc>
          <w:tcPr>
            <w:tcW w:w="0" w:type="auto"/>
          </w:tcPr>
          <w:p w14:paraId="7F7ECD27" w14:textId="157125BB" w:rsidR="007B1A45" w:rsidRDefault="00BA0FE8">
            <w:r>
              <w:rPr>
                <w:b/>
              </w:rPr>
              <w:t>Clerk:</w:t>
            </w:r>
          </w:p>
        </w:tc>
        <w:tc>
          <w:tcPr>
            <w:tcW w:w="0" w:type="auto"/>
          </w:tcPr>
          <w:p w14:paraId="3E915963" w14:textId="10738E42" w:rsidR="007B1A45" w:rsidRDefault="00BA0FE8">
            <w:r>
              <w:t>Sarah Phillipson</w:t>
            </w:r>
          </w:p>
        </w:tc>
      </w:tr>
    </w:tbl>
    <w:p w14:paraId="67559581" w14:textId="77777777" w:rsidR="007B1A45" w:rsidRDefault="007B1A45"/>
    <w:p w14:paraId="595563EF" w14:textId="77777777" w:rsidR="007B1A45" w:rsidRDefault="00BA0FE8">
      <w:r>
        <w:rPr>
          <w:rStyle w:val="h3"/>
        </w:rPr>
        <w:t>Discussion</w:t>
      </w:r>
    </w:p>
    <w:p w14:paraId="3BE79B25" w14:textId="77777777" w:rsidR="007B1A45" w:rsidRDefault="00BA0FE8">
      <w:r>
        <w:rPr>
          <w:rStyle w:val="h4"/>
        </w:rPr>
        <w:t>1. Apologies</w:t>
      </w:r>
    </w:p>
    <w:p w14:paraId="5A10A47C" w14:textId="7DEED887" w:rsidR="007B1A45" w:rsidRDefault="00BA0FE8">
      <w:r>
        <w:t xml:space="preserve">Apologies were given and accepted </w:t>
      </w:r>
      <w:r w:rsidR="00373CD8">
        <w:t>by Jane</w:t>
      </w:r>
      <w:r>
        <w:t xml:space="preserve"> Shields, Kim Gunn - leaving at 4.30, Ian Chappell, David Watkins (Martin Daniels to attend in his absence) Karen Bennett and Barbara </w:t>
      </w:r>
      <w:proofErr w:type="spellStart"/>
      <w:r>
        <w:t>Fincham</w:t>
      </w:r>
      <w:proofErr w:type="spellEnd"/>
      <w:r>
        <w:t xml:space="preserve">. </w:t>
      </w:r>
    </w:p>
    <w:p w14:paraId="04368F67" w14:textId="74FDE01E" w:rsidR="007B1A45" w:rsidRDefault="00BA0FE8">
      <w:r>
        <w:rPr>
          <w:rStyle w:val="h4"/>
        </w:rPr>
        <w:t>2. Minutes from the Previous Meeting 6th November 2019</w:t>
      </w:r>
    </w:p>
    <w:p w14:paraId="3C280F3A" w14:textId="77777777" w:rsidR="007B1A45" w:rsidRDefault="00BA0FE8">
      <w:r>
        <w:rPr>
          <w:b/>
        </w:rPr>
        <w:t>2-1. Accuracy</w:t>
      </w:r>
    </w:p>
    <w:p w14:paraId="67DCEF5F" w14:textId="1CDC8571" w:rsidR="007B1A45" w:rsidRDefault="00BA0FE8">
      <w:r>
        <w:t xml:space="preserve">All agreed as accurate with amendments to slight spelling errors agreed.  </w:t>
      </w:r>
    </w:p>
    <w:p w14:paraId="21D7FE68" w14:textId="0D7FD122" w:rsidR="007B1A45" w:rsidRDefault="00BA0FE8">
      <w:pPr>
        <w:rPr>
          <w:b/>
        </w:rPr>
      </w:pPr>
      <w:r>
        <w:rPr>
          <w:b/>
        </w:rPr>
        <w:t>2-2. Matters Arising.</w:t>
      </w:r>
    </w:p>
    <w:p w14:paraId="7B86B2AE" w14:textId="443C1509" w:rsidR="00BA0FE8" w:rsidRDefault="00BA0FE8">
      <w:r>
        <w:t xml:space="preserve">Action – </w:t>
      </w:r>
      <w:r w:rsidRPr="00BA0FE8">
        <w:rPr>
          <w:i/>
          <w:iCs/>
        </w:rPr>
        <w:t>MB to investigate the option of collating a file-sharing system for members – ongoing until arranged using Google Drive links to share large documents.</w:t>
      </w:r>
      <w:r>
        <w:t xml:space="preserve"> </w:t>
      </w:r>
    </w:p>
    <w:p w14:paraId="4515A451" w14:textId="34C0F94C" w:rsidR="00BA0FE8" w:rsidRDefault="00BA0FE8" w:rsidP="00BA0FE8">
      <w:r>
        <w:t xml:space="preserve">Action - </w:t>
      </w:r>
      <w:r w:rsidRPr="00BA0FE8">
        <w:rPr>
          <w:i/>
          <w:iCs/>
        </w:rPr>
        <w:t xml:space="preserve">MB to bring the final funding formula figures to the next School's forum </w:t>
      </w:r>
      <w:r w:rsidR="00373CD8" w:rsidRPr="00BA0FE8">
        <w:rPr>
          <w:i/>
          <w:iCs/>
        </w:rPr>
        <w:t>meeting.</w:t>
      </w:r>
      <w:r w:rsidR="00373CD8">
        <w:rPr>
          <w:i/>
          <w:iCs/>
        </w:rPr>
        <w:t xml:space="preserve"> -</w:t>
      </w:r>
      <w:r>
        <w:rPr>
          <w:i/>
          <w:iCs/>
        </w:rPr>
        <w:t xml:space="preserve"> Completed</w:t>
      </w:r>
    </w:p>
    <w:p w14:paraId="4FFFDEE6" w14:textId="1A6FAE8D" w:rsidR="00BA0FE8" w:rsidRDefault="00BA0FE8" w:rsidP="00BA0FE8">
      <w:r>
        <w:t xml:space="preserve">Action – </w:t>
      </w:r>
      <w:r w:rsidRPr="00BA0FE8">
        <w:rPr>
          <w:i/>
          <w:iCs/>
        </w:rPr>
        <w:t>MB to review the lump sum arrangements to look at reducing this figure in the long term and allow funding to fall in line with the EFSA forecasted figures.</w:t>
      </w:r>
      <w:r>
        <w:rPr>
          <w:i/>
          <w:iCs/>
        </w:rPr>
        <w:t xml:space="preserve"> – Completed.</w:t>
      </w:r>
    </w:p>
    <w:p w14:paraId="7647AF06" w14:textId="77777777" w:rsidR="007B1A45" w:rsidRDefault="00BA0FE8">
      <w:r>
        <w:rPr>
          <w:rStyle w:val="h4"/>
        </w:rPr>
        <w:t xml:space="preserve">3. Declarations of Interest. </w:t>
      </w:r>
    </w:p>
    <w:p w14:paraId="3FC6C31A" w14:textId="6BD6E6AA" w:rsidR="00BA0FE8" w:rsidRDefault="00BA0FE8">
      <w:r>
        <w:t>The following members declared an interest in discussions, these members abstained from any voting</w:t>
      </w:r>
      <w:r w:rsidR="001B02BF">
        <w:t xml:space="preserve"> </w:t>
      </w:r>
      <w:r>
        <w:t>which was relevant to their declarations:</w:t>
      </w:r>
    </w:p>
    <w:p w14:paraId="1B0BCE8D" w14:textId="625B0310" w:rsidR="00BA0FE8" w:rsidRDefault="00BA0FE8">
      <w:r w:rsidRPr="00BA0FE8">
        <w:t>Richard Warnham</w:t>
      </w:r>
      <w:r>
        <w:t xml:space="preserve">, </w:t>
      </w:r>
      <w:r w:rsidRPr="00BA0FE8">
        <w:t>Paul Jackson, Tim Williams, Steve Avis, Peter Martin, Kirstin Baker.</w:t>
      </w:r>
    </w:p>
    <w:p w14:paraId="5891743F" w14:textId="5F258341" w:rsidR="0019280E" w:rsidRDefault="0019280E"/>
    <w:p w14:paraId="3D2943CF" w14:textId="77777777" w:rsidR="0019280E" w:rsidRDefault="0019280E"/>
    <w:p w14:paraId="62CC3C6B" w14:textId="77777777" w:rsidR="00BA0FE8" w:rsidRDefault="00BA0FE8" w:rsidP="00BA0FE8">
      <w:r>
        <w:rPr>
          <w:rStyle w:val="h4"/>
        </w:rPr>
        <w:lastRenderedPageBreak/>
        <w:t xml:space="preserve">4. Funding Support Business Cases (6 Cases) – Confidential item. </w:t>
      </w:r>
    </w:p>
    <w:p w14:paraId="3A01558F" w14:textId="3712358A" w:rsidR="00BA0FE8" w:rsidRDefault="00BA0FE8"/>
    <w:p w14:paraId="1448A075" w14:textId="19D70DCF" w:rsidR="007B1A45" w:rsidRDefault="00BA0FE8">
      <w:pPr>
        <w:rPr>
          <w:rStyle w:val="h4"/>
        </w:rPr>
      </w:pPr>
      <w:r>
        <w:rPr>
          <w:rStyle w:val="h4"/>
        </w:rPr>
        <w:t xml:space="preserve">5. 2019-20 Round 2 Monitoring SB Centrally Retained. </w:t>
      </w:r>
    </w:p>
    <w:p w14:paraId="6A396B61" w14:textId="1F06F4FA" w:rsidR="0019280E" w:rsidRDefault="0019280E" w:rsidP="0019280E">
      <w:pPr>
        <w:spacing w:after="0" w:line="240" w:lineRule="auto"/>
        <w:rPr>
          <w:rFonts w:cstheme="minorHAnsi"/>
          <w:szCs w:val="24"/>
        </w:rPr>
      </w:pPr>
      <w:r w:rsidRPr="0019280E">
        <w:rPr>
          <w:rStyle w:val="h4"/>
          <w:rFonts w:asciiTheme="minorHAnsi" w:hAnsiTheme="minorHAnsi" w:cstheme="minorHAnsi"/>
          <w:b w:val="0"/>
          <w:bCs/>
          <w:sz w:val="22"/>
        </w:rPr>
        <w:t xml:space="preserve">MB gave an update on the </w:t>
      </w:r>
      <w:r w:rsidRPr="0019280E">
        <w:rPr>
          <w:rFonts w:cstheme="minorHAnsi"/>
          <w:sz w:val="24"/>
        </w:rPr>
        <w:t>Centrally Retained Budgets Monitoring forecast</w:t>
      </w:r>
      <w:r w:rsidRPr="0019280E">
        <w:rPr>
          <w:rFonts w:cstheme="minorHAnsi"/>
          <w:sz w:val="24"/>
          <w:szCs w:val="24"/>
        </w:rPr>
        <w:t xml:space="preserve"> on the school’s budget for 2019/20. She explained that the </w:t>
      </w:r>
      <w:r w:rsidRPr="009A5B0B">
        <w:rPr>
          <w:rFonts w:cstheme="minorHAnsi"/>
          <w:szCs w:val="24"/>
        </w:rPr>
        <w:t>forecast year</w:t>
      </w:r>
      <w:r w:rsidR="00C065FE">
        <w:rPr>
          <w:rFonts w:cstheme="minorHAnsi"/>
          <w:szCs w:val="24"/>
        </w:rPr>
        <w:t>-</w:t>
      </w:r>
      <w:r w:rsidRPr="009A5B0B">
        <w:rPr>
          <w:rFonts w:cstheme="minorHAnsi"/>
          <w:szCs w:val="24"/>
        </w:rPr>
        <w:t xml:space="preserve">end position for 2019/20, as at 31 October 2019, is </w:t>
      </w:r>
      <w:proofErr w:type="gramStart"/>
      <w:r w:rsidRPr="009A5B0B">
        <w:rPr>
          <w:rFonts w:cstheme="minorHAnsi"/>
          <w:szCs w:val="24"/>
        </w:rPr>
        <w:t>an overspend</w:t>
      </w:r>
      <w:proofErr w:type="gramEnd"/>
      <w:r w:rsidRPr="009A5B0B">
        <w:rPr>
          <w:rFonts w:cstheme="minorHAnsi"/>
          <w:szCs w:val="24"/>
        </w:rPr>
        <w:t xml:space="preserve"> of £6</w:t>
      </w:r>
      <w:r w:rsidR="00D600EF">
        <w:rPr>
          <w:rFonts w:cstheme="minorHAnsi"/>
          <w:szCs w:val="24"/>
        </w:rPr>
        <w:t>,</w:t>
      </w:r>
      <w:r w:rsidRPr="009A5B0B">
        <w:rPr>
          <w:rFonts w:cstheme="minorHAnsi"/>
          <w:szCs w:val="24"/>
        </w:rPr>
        <w:t>521</w:t>
      </w:r>
      <w:r w:rsidR="00F46375">
        <w:rPr>
          <w:rFonts w:cstheme="minorHAnsi"/>
          <w:szCs w:val="24"/>
        </w:rPr>
        <w:t>,000</w:t>
      </w:r>
      <w:r w:rsidR="004510BB">
        <w:rPr>
          <w:rFonts w:cstheme="minorHAnsi"/>
          <w:szCs w:val="24"/>
        </w:rPr>
        <w:t xml:space="preserve"> on the high needs block</w:t>
      </w:r>
      <w:r w:rsidRPr="009A5B0B">
        <w:rPr>
          <w:rFonts w:cstheme="minorHAnsi"/>
          <w:szCs w:val="24"/>
        </w:rPr>
        <w:t>.</w:t>
      </w:r>
    </w:p>
    <w:p w14:paraId="2CC51B4C" w14:textId="77777777" w:rsidR="0019280E" w:rsidRDefault="0019280E" w:rsidP="0019280E">
      <w:pPr>
        <w:spacing w:after="0" w:line="240" w:lineRule="auto"/>
        <w:rPr>
          <w:rFonts w:cstheme="minorHAnsi"/>
          <w:b/>
          <w:bCs/>
        </w:rPr>
      </w:pPr>
    </w:p>
    <w:p w14:paraId="32C5F652" w14:textId="2CC7D711" w:rsidR="0019280E" w:rsidRDefault="0019280E" w:rsidP="0019280E">
      <w:pPr>
        <w:spacing w:after="0" w:line="240" w:lineRule="auto"/>
        <w:rPr>
          <w:rFonts w:cstheme="minorHAnsi"/>
          <w:sz w:val="24"/>
          <w:szCs w:val="24"/>
        </w:rPr>
      </w:pPr>
      <w:r>
        <w:rPr>
          <w:rFonts w:cstheme="minorHAnsi"/>
          <w:b/>
          <w:bCs/>
        </w:rPr>
        <w:t>T</w:t>
      </w:r>
      <w:r w:rsidRPr="0019280E">
        <w:rPr>
          <w:rFonts w:cstheme="minorHAnsi"/>
          <w:sz w:val="24"/>
          <w:szCs w:val="24"/>
        </w:rPr>
        <w:t>his is an adverse movement of £2m when compared to the round 1 forecast.</w:t>
      </w:r>
    </w:p>
    <w:p w14:paraId="09927B8C" w14:textId="77777777" w:rsidR="0019280E" w:rsidRPr="0019280E" w:rsidRDefault="0019280E" w:rsidP="0019280E">
      <w:pPr>
        <w:spacing w:after="0" w:line="240" w:lineRule="auto"/>
        <w:rPr>
          <w:rFonts w:cstheme="minorHAnsi"/>
          <w:sz w:val="24"/>
          <w:szCs w:val="24"/>
        </w:rPr>
      </w:pPr>
    </w:p>
    <w:p w14:paraId="31D16584" w14:textId="0B1028D1" w:rsidR="0019280E" w:rsidRDefault="0019280E" w:rsidP="0019280E">
      <w:r>
        <w:t xml:space="preserve">The chair noted that there is a statutory obligation to fund these high needs children.  </w:t>
      </w:r>
    </w:p>
    <w:p w14:paraId="35156D96" w14:textId="77777777" w:rsidR="0019280E" w:rsidRPr="009A5B0B" w:rsidRDefault="0019280E" w:rsidP="0019280E">
      <w:pPr>
        <w:spacing w:after="0" w:line="240" w:lineRule="auto"/>
        <w:rPr>
          <w:rFonts w:cstheme="minorHAnsi"/>
          <w:b/>
          <w:sz w:val="24"/>
          <w:szCs w:val="24"/>
        </w:rPr>
      </w:pPr>
      <w:r w:rsidRPr="009A5B0B">
        <w:rPr>
          <w:rFonts w:cstheme="minorHAnsi"/>
          <w:b/>
          <w:sz w:val="24"/>
          <w:szCs w:val="24"/>
        </w:rPr>
        <w:t>Centrally Retained Budgets</w:t>
      </w:r>
    </w:p>
    <w:p w14:paraId="040F5175" w14:textId="46450AEA" w:rsidR="0019280E" w:rsidRPr="0019280E" w:rsidRDefault="0019280E" w:rsidP="0019280E">
      <w:pPr>
        <w:spacing w:after="0" w:line="240" w:lineRule="auto"/>
        <w:rPr>
          <w:rFonts w:cstheme="minorHAnsi"/>
        </w:rPr>
      </w:pPr>
      <w:r w:rsidRPr="0019280E">
        <w:rPr>
          <w:rFonts w:cstheme="minorHAnsi"/>
        </w:rPr>
        <w:t>MB explained that the Schools’ Forum approved centrally retained budgets of £1,657,367 from the school</w:t>
      </w:r>
      <w:r w:rsidR="00C065FE">
        <w:rPr>
          <w:rFonts w:cstheme="minorHAnsi"/>
        </w:rPr>
        <w:t>'</w:t>
      </w:r>
      <w:r w:rsidRPr="0019280E">
        <w:rPr>
          <w:rFonts w:cstheme="minorHAnsi"/>
        </w:rPr>
        <w:t>s block of the DSG which can be grouped into four categories:</w:t>
      </w:r>
    </w:p>
    <w:p w14:paraId="5AB4A109" w14:textId="77777777" w:rsidR="0019280E" w:rsidRPr="0019280E" w:rsidRDefault="0019280E" w:rsidP="0019280E">
      <w:pPr>
        <w:pStyle w:val="ListParagraph"/>
        <w:numPr>
          <w:ilvl w:val="0"/>
          <w:numId w:val="6"/>
        </w:numPr>
        <w:spacing w:after="0" w:line="240" w:lineRule="auto"/>
        <w:contextualSpacing w:val="0"/>
        <w:rPr>
          <w:rFonts w:cstheme="minorHAnsi"/>
        </w:rPr>
      </w:pPr>
      <w:r w:rsidRPr="0019280E">
        <w:rPr>
          <w:rFonts w:cstheme="minorHAnsi"/>
        </w:rPr>
        <w:t>Growth Funding: £1,046,511</w:t>
      </w:r>
    </w:p>
    <w:p w14:paraId="5E92C490" w14:textId="77777777" w:rsidR="0019280E" w:rsidRPr="0019280E" w:rsidRDefault="0019280E" w:rsidP="0019280E">
      <w:pPr>
        <w:pStyle w:val="ListParagraph"/>
        <w:numPr>
          <w:ilvl w:val="0"/>
          <w:numId w:val="6"/>
        </w:numPr>
        <w:spacing w:after="0" w:line="240" w:lineRule="auto"/>
        <w:contextualSpacing w:val="0"/>
        <w:rPr>
          <w:rFonts w:cstheme="minorHAnsi"/>
        </w:rPr>
      </w:pPr>
      <w:r w:rsidRPr="0019280E">
        <w:rPr>
          <w:rFonts w:cstheme="minorHAnsi"/>
        </w:rPr>
        <w:t>Copyright Licenses: £248,203</w:t>
      </w:r>
    </w:p>
    <w:p w14:paraId="3F8BB08A" w14:textId="77777777" w:rsidR="0019280E" w:rsidRPr="0019280E" w:rsidRDefault="0019280E" w:rsidP="0019280E">
      <w:pPr>
        <w:pStyle w:val="ListParagraph"/>
        <w:numPr>
          <w:ilvl w:val="0"/>
          <w:numId w:val="6"/>
        </w:numPr>
        <w:spacing w:after="0" w:line="240" w:lineRule="auto"/>
        <w:contextualSpacing w:val="0"/>
        <w:rPr>
          <w:rFonts w:cstheme="minorHAnsi"/>
        </w:rPr>
      </w:pPr>
      <w:r w:rsidRPr="0019280E">
        <w:rPr>
          <w:rFonts w:cstheme="minorHAnsi"/>
        </w:rPr>
        <w:t>Contingency – Schools in Financial difficulty: £300,000</w:t>
      </w:r>
    </w:p>
    <w:p w14:paraId="6D006B02" w14:textId="4859142A" w:rsidR="0019280E" w:rsidRDefault="0019280E" w:rsidP="0019280E">
      <w:pPr>
        <w:pStyle w:val="ListParagraph"/>
        <w:numPr>
          <w:ilvl w:val="0"/>
          <w:numId w:val="6"/>
        </w:numPr>
        <w:spacing w:after="0" w:line="240" w:lineRule="auto"/>
        <w:contextualSpacing w:val="0"/>
        <w:rPr>
          <w:rFonts w:cstheme="minorHAnsi"/>
        </w:rPr>
      </w:pPr>
      <w:r w:rsidRPr="0019280E">
        <w:rPr>
          <w:rFonts w:cstheme="minorHAnsi"/>
        </w:rPr>
        <w:t>Contingency – Other: £62,653</w:t>
      </w:r>
    </w:p>
    <w:p w14:paraId="1C675C83" w14:textId="77777777" w:rsidR="0019280E" w:rsidRPr="0019280E" w:rsidRDefault="0019280E" w:rsidP="0019280E">
      <w:pPr>
        <w:pStyle w:val="ListParagraph"/>
        <w:spacing w:after="0" w:line="240" w:lineRule="auto"/>
        <w:ind w:left="1440"/>
        <w:contextualSpacing w:val="0"/>
        <w:rPr>
          <w:rFonts w:cstheme="minorHAnsi"/>
        </w:rPr>
      </w:pPr>
    </w:p>
    <w:tbl>
      <w:tblPr>
        <w:tblW w:w="9649" w:type="dxa"/>
        <w:tblInd w:w="98" w:type="dxa"/>
        <w:tblLook w:val="04A0" w:firstRow="1" w:lastRow="0" w:firstColumn="1" w:lastColumn="0" w:noHBand="0" w:noVBand="1"/>
      </w:tblPr>
      <w:tblGrid>
        <w:gridCol w:w="20"/>
        <w:gridCol w:w="4859"/>
        <w:gridCol w:w="1674"/>
        <w:gridCol w:w="1491"/>
        <w:gridCol w:w="330"/>
        <w:gridCol w:w="242"/>
        <w:gridCol w:w="242"/>
        <w:gridCol w:w="238"/>
        <w:gridCol w:w="553"/>
      </w:tblGrid>
      <w:tr w:rsidR="0019280E" w:rsidRPr="0019280E" w14:paraId="671913BF" w14:textId="77777777" w:rsidTr="0019280E">
        <w:trPr>
          <w:gridAfter w:val="1"/>
          <w:wAfter w:w="553" w:type="dxa"/>
          <w:trHeight w:val="300"/>
        </w:trPr>
        <w:tc>
          <w:tcPr>
            <w:tcW w:w="8374" w:type="dxa"/>
            <w:gridSpan w:val="5"/>
            <w:tcBorders>
              <w:top w:val="nil"/>
              <w:left w:val="nil"/>
              <w:bottom w:val="nil"/>
              <w:right w:val="nil"/>
            </w:tcBorders>
            <w:shd w:val="clear" w:color="auto" w:fill="auto"/>
            <w:noWrap/>
            <w:vAlign w:val="bottom"/>
            <w:hideMark/>
          </w:tcPr>
          <w:p w14:paraId="1DF7055F" w14:textId="64EA712D" w:rsidR="0019280E" w:rsidRPr="0019280E" w:rsidRDefault="0019280E" w:rsidP="0019280E">
            <w:pPr>
              <w:rPr>
                <w:rFonts w:cstheme="minorHAnsi"/>
              </w:rPr>
            </w:pPr>
            <w:r w:rsidRPr="0019280E">
              <w:rPr>
                <w:rFonts w:cstheme="minorHAnsi"/>
              </w:rPr>
              <w:t>There is no change to the planned spending on these schemes overal</w:t>
            </w:r>
            <w:r w:rsidR="001133D0">
              <w:rPr>
                <w:rFonts w:cstheme="minorHAnsi"/>
              </w:rPr>
              <w:t xml:space="preserve">l, with overspends balancing underspends. </w:t>
            </w:r>
          </w:p>
          <w:p w14:paraId="15304F0A" w14:textId="77777777" w:rsidR="0019280E" w:rsidRPr="0019280E" w:rsidRDefault="0019280E" w:rsidP="0019280E">
            <w:pPr>
              <w:spacing w:after="0" w:line="240" w:lineRule="auto"/>
              <w:rPr>
                <w:rFonts w:cstheme="minorHAnsi"/>
                <w:b/>
              </w:rPr>
            </w:pPr>
            <w:r w:rsidRPr="0019280E">
              <w:rPr>
                <w:rFonts w:cstheme="minorHAnsi"/>
                <w:b/>
              </w:rPr>
              <w:t>Central Services Schools Blocks Forecasts</w:t>
            </w:r>
          </w:p>
          <w:p w14:paraId="1F7B271D" w14:textId="77777777" w:rsidR="0019280E" w:rsidRPr="0019280E" w:rsidRDefault="0019280E" w:rsidP="0019280E">
            <w:pPr>
              <w:pStyle w:val="ListParagraph"/>
              <w:spacing w:after="0" w:line="240" w:lineRule="auto"/>
              <w:ind w:left="1503" w:right="-2204"/>
              <w:contextualSpacing w:val="0"/>
              <w:rPr>
                <w:rFonts w:cstheme="minorHAnsi"/>
              </w:rPr>
            </w:pPr>
          </w:p>
          <w:p w14:paraId="71552894" w14:textId="77777777" w:rsidR="0019280E" w:rsidRPr="0019280E" w:rsidRDefault="0019280E" w:rsidP="0019280E">
            <w:pPr>
              <w:ind w:right="-2204"/>
              <w:rPr>
                <w:rFonts w:cstheme="minorHAnsi"/>
              </w:rPr>
            </w:pPr>
          </w:p>
        </w:tc>
        <w:tc>
          <w:tcPr>
            <w:tcW w:w="242" w:type="dxa"/>
            <w:tcBorders>
              <w:top w:val="nil"/>
              <w:left w:val="nil"/>
              <w:bottom w:val="nil"/>
              <w:right w:val="nil"/>
            </w:tcBorders>
            <w:shd w:val="clear" w:color="auto" w:fill="auto"/>
            <w:noWrap/>
            <w:vAlign w:val="bottom"/>
            <w:hideMark/>
          </w:tcPr>
          <w:p w14:paraId="6B02AC99" w14:textId="46001473" w:rsidR="0019280E" w:rsidRPr="0019280E" w:rsidRDefault="0019280E" w:rsidP="0019280E">
            <w:pPr>
              <w:ind w:left="-9318" w:hanging="567"/>
              <w:rPr>
                <w:rFonts w:cstheme="minorHAnsi"/>
                <w:color w:val="000000"/>
              </w:rPr>
            </w:pPr>
          </w:p>
        </w:tc>
        <w:tc>
          <w:tcPr>
            <w:tcW w:w="242" w:type="dxa"/>
            <w:tcBorders>
              <w:top w:val="nil"/>
              <w:left w:val="nil"/>
              <w:bottom w:val="nil"/>
              <w:right w:val="nil"/>
            </w:tcBorders>
            <w:shd w:val="clear" w:color="auto" w:fill="auto"/>
            <w:noWrap/>
            <w:vAlign w:val="bottom"/>
            <w:hideMark/>
          </w:tcPr>
          <w:p w14:paraId="60A46D14" w14:textId="77777777" w:rsidR="0019280E" w:rsidRPr="0019280E" w:rsidRDefault="0019280E" w:rsidP="0019280E">
            <w:pPr>
              <w:rPr>
                <w:rFonts w:cstheme="minorHAnsi"/>
                <w:color w:val="000000"/>
              </w:rPr>
            </w:pPr>
          </w:p>
        </w:tc>
        <w:tc>
          <w:tcPr>
            <w:tcW w:w="238" w:type="dxa"/>
            <w:tcBorders>
              <w:top w:val="nil"/>
              <w:left w:val="nil"/>
              <w:bottom w:val="nil"/>
              <w:right w:val="nil"/>
            </w:tcBorders>
            <w:shd w:val="clear" w:color="auto" w:fill="auto"/>
            <w:noWrap/>
            <w:vAlign w:val="bottom"/>
            <w:hideMark/>
          </w:tcPr>
          <w:p w14:paraId="1EF99014" w14:textId="77777777" w:rsidR="0019280E" w:rsidRPr="0019280E" w:rsidRDefault="0019280E" w:rsidP="0019280E">
            <w:pPr>
              <w:rPr>
                <w:rFonts w:cstheme="minorHAnsi"/>
                <w:color w:val="000000"/>
              </w:rPr>
            </w:pPr>
          </w:p>
        </w:tc>
      </w:tr>
      <w:tr w:rsidR="0019280E" w:rsidRPr="009A5B0B" w14:paraId="0D254A9E" w14:textId="77777777" w:rsidTr="0019280E">
        <w:tblPrEx>
          <w:tblCellMar>
            <w:left w:w="0" w:type="dxa"/>
            <w:right w:w="0" w:type="dxa"/>
          </w:tblCellMar>
        </w:tblPrEx>
        <w:trPr>
          <w:gridBefore w:val="1"/>
          <w:wBefore w:w="20" w:type="dxa"/>
          <w:trHeight w:val="415"/>
          <w:tblHeader/>
        </w:trPr>
        <w:tc>
          <w:tcPr>
            <w:tcW w:w="4859" w:type="dxa"/>
            <w:tcBorders>
              <w:top w:val="single" w:sz="8" w:space="0" w:color="auto"/>
              <w:left w:val="single" w:sz="8" w:space="0" w:color="auto"/>
              <w:bottom w:val="single" w:sz="8" w:space="0" w:color="auto"/>
              <w:right w:val="single" w:sz="8" w:space="0" w:color="auto"/>
            </w:tcBorders>
            <w:shd w:val="clear" w:color="auto" w:fill="CFDCE3"/>
            <w:tcMar>
              <w:top w:w="0" w:type="dxa"/>
              <w:left w:w="108" w:type="dxa"/>
              <w:bottom w:w="0" w:type="dxa"/>
              <w:right w:w="108" w:type="dxa"/>
            </w:tcMar>
            <w:hideMark/>
          </w:tcPr>
          <w:p w14:paraId="4EA225C8" w14:textId="77777777" w:rsidR="0019280E" w:rsidRPr="009A5B0B" w:rsidRDefault="0019280E" w:rsidP="006A624B">
            <w:pPr>
              <w:pStyle w:val="TableHeader"/>
              <w:spacing w:before="0" w:after="0" w:line="276" w:lineRule="auto"/>
              <w:ind w:left="567" w:right="0"/>
              <w:rPr>
                <w:rFonts w:asciiTheme="minorHAnsi" w:hAnsiTheme="minorHAnsi" w:cstheme="minorHAnsi"/>
                <w:color w:val="0D0D0D"/>
                <w:lang w:eastAsia="en-US"/>
              </w:rPr>
            </w:pPr>
            <w:r w:rsidRPr="009A5B0B">
              <w:rPr>
                <w:rFonts w:asciiTheme="minorHAnsi" w:hAnsiTheme="minorHAnsi" w:cstheme="minorHAnsi"/>
                <w:lang w:eastAsia="en-US"/>
              </w:rPr>
              <w:t>Service</w:t>
            </w:r>
          </w:p>
        </w:tc>
        <w:tc>
          <w:tcPr>
            <w:tcW w:w="1674" w:type="dxa"/>
            <w:tcBorders>
              <w:top w:val="single" w:sz="8" w:space="0" w:color="auto"/>
              <w:left w:val="nil"/>
              <w:bottom w:val="single" w:sz="8" w:space="0" w:color="auto"/>
              <w:right w:val="single" w:sz="8" w:space="0" w:color="auto"/>
            </w:tcBorders>
            <w:shd w:val="clear" w:color="auto" w:fill="CFDCE3"/>
            <w:hideMark/>
          </w:tcPr>
          <w:p w14:paraId="3D905BC6" w14:textId="77777777" w:rsidR="0019280E" w:rsidRPr="009A5B0B" w:rsidRDefault="0019280E" w:rsidP="006A624B">
            <w:pPr>
              <w:pStyle w:val="TableHeader"/>
              <w:spacing w:before="0" w:after="0" w:line="276" w:lineRule="auto"/>
              <w:ind w:left="567" w:right="0"/>
              <w:jc w:val="left"/>
              <w:rPr>
                <w:rFonts w:asciiTheme="minorHAnsi" w:hAnsiTheme="minorHAnsi" w:cstheme="minorHAnsi"/>
                <w:b w:val="0"/>
                <w:color w:val="000000"/>
                <w:lang w:eastAsia="en-US"/>
              </w:rPr>
            </w:pPr>
            <w:r w:rsidRPr="009A5B0B">
              <w:rPr>
                <w:rFonts w:asciiTheme="minorHAnsi" w:hAnsiTheme="minorHAnsi" w:cstheme="minorHAnsi"/>
                <w:b w:val="0"/>
                <w:bCs/>
                <w:color w:val="000000"/>
                <w:lang w:eastAsia="en-US"/>
              </w:rPr>
              <w:t>Total</w:t>
            </w:r>
          </w:p>
          <w:p w14:paraId="661D86E8" w14:textId="77777777" w:rsidR="0019280E" w:rsidRPr="009A5B0B" w:rsidRDefault="0019280E" w:rsidP="006A624B">
            <w:pPr>
              <w:pStyle w:val="TableHeader"/>
              <w:spacing w:before="0" w:after="0" w:line="276" w:lineRule="auto"/>
              <w:ind w:left="567" w:right="0"/>
              <w:jc w:val="left"/>
              <w:rPr>
                <w:rFonts w:asciiTheme="minorHAnsi" w:hAnsiTheme="minorHAnsi" w:cstheme="minorHAnsi"/>
                <w:b w:val="0"/>
                <w:bCs/>
                <w:color w:val="000000"/>
                <w:lang w:eastAsia="en-US"/>
              </w:rPr>
            </w:pPr>
            <w:r w:rsidRPr="009A5B0B">
              <w:rPr>
                <w:rFonts w:asciiTheme="minorHAnsi" w:hAnsiTheme="minorHAnsi" w:cstheme="minorHAnsi"/>
                <w:b w:val="0"/>
                <w:bCs/>
                <w:color w:val="000000"/>
                <w:lang w:eastAsia="en-US"/>
              </w:rPr>
              <w:t>Budget</w:t>
            </w:r>
          </w:p>
          <w:p w14:paraId="15CD532B" w14:textId="77777777" w:rsidR="0019280E" w:rsidRPr="009A5B0B" w:rsidRDefault="0019280E" w:rsidP="006A624B">
            <w:pPr>
              <w:pStyle w:val="TableHeader"/>
              <w:spacing w:before="0" w:after="0" w:line="276" w:lineRule="auto"/>
              <w:ind w:left="567" w:right="0"/>
              <w:jc w:val="left"/>
              <w:rPr>
                <w:rFonts w:asciiTheme="minorHAnsi" w:hAnsiTheme="minorHAnsi" w:cstheme="minorHAnsi"/>
                <w:b w:val="0"/>
                <w:bCs/>
                <w:color w:val="000000"/>
                <w:lang w:eastAsia="en-US"/>
              </w:rPr>
            </w:pPr>
            <w:r w:rsidRPr="009A5B0B">
              <w:rPr>
                <w:rFonts w:asciiTheme="minorHAnsi" w:hAnsiTheme="minorHAnsi" w:cstheme="minorHAnsi"/>
                <w:b w:val="0"/>
                <w:bCs/>
                <w:color w:val="000000"/>
                <w:lang w:eastAsia="en-US"/>
              </w:rPr>
              <w:t>2019-20</w:t>
            </w:r>
          </w:p>
          <w:p w14:paraId="00FC46C8" w14:textId="77777777" w:rsidR="0019280E" w:rsidRPr="009A5B0B" w:rsidRDefault="0019280E" w:rsidP="006A624B">
            <w:pPr>
              <w:pStyle w:val="TableHeader"/>
              <w:spacing w:before="0" w:after="0" w:line="276" w:lineRule="auto"/>
              <w:ind w:left="567" w:right="0"/>
              <w:jc w:val="left"/>
              <w:rPr>
                <w:rFonts w:asciiTheme="minorHAnsi" w:hAnsiTheme="minorHAnsi" w:cstheme="minorHAnsi"/>
                <w:b w:val="0"/>
                <w:bCs/>
                <w:color w:val="000000"/>
                <w:lang w:eastAsia="en-US"/>
              </w:rPr>
            </w:pPr>
            <w:r w:rsidRPr="009A5B0B">
              <w:rPr>
                <w:rFonts w:asciiTheme="minorHAnsi" w:hAnsiTheme="minorHAnsi" w:cstheme="minorHAnsi"/>
                <w:b w:val="0"/>
                <w:bCs/>
                <w:color w:val="000000"/>
                <w:lang w:eastAsia="en-US"/>
              </w:rPr>
              <w:t>£</w:t>
            </w:r>
          </w:p>
        </w:tc>
        <w:tc>
          <w:tcPr>
            <w:tcW w:w="1491" w:type="dxa"/>
            <w:tcBorders>
              <w:top w:val="single" w:sz="8" w:space="0" w:color="auto"/>
              <w:left w:val="nil"/>
              <w:bottom w:val="single" w:sz="8" w:space="0" w:color="auto"/>
              <w:right w:val="single" w:sz="8" w:space="0" w:color="auto"/>
            </w:tcBorders>
            <w:shd w:val="clear" w:color="auto" w:fill="CFDCE3"/>
            <w:hideMark/>
          </w:tcPr>
          <w:p w14:paraId="693415EF" w14:textId="77777777" w:rsidR="0019280E" w:rsidRPr="009A5B0B" w:rsidRDefault="0019280E" w:rsidP="006A624B">
            <w:pPr>
              <w:pStyle w:val="TableHeader"/>
              <w:spacing w:before="0" w:after="0" w:line="276" w:lineRule="auto"/>
              <w:ind w:left="567" w:right="0"/>
              <w:jc w:val="left"/>
              <w:rPr>
                <w:rFonts w:asciiTheme="minorHAnsi" w:hAnsiTheme="minorHAnsi" w:cstheme="minorHAnsi"/>
                <w:b w:val="0"/>
                <w:bCs/>
                <w:color w:val="000000"/>
                <w:lang w:eastAsia="en-US"/>
              </w:rPr>
            </w:pPr>
            <w:r w:rsidRPr="009A5B0B">
              <w:rPr>
                <w:rFonts w:asciiTheme="minorHAnsi" w:hAnsiTheme="minorHAnsi" w:cstheme="minorHAnsi"/>
                <w:b w:val="0"/>
                <w:bCs/>
                <w:color w:val="000000"/>
                <w:lang w:eastAsia="en-US"/>
              </w:rPr>
              <w:t>2019-20</w:t>
            </w:r>
          </w:p>
          <w:p w14:paraId="0E3A6345" w14:textId="77777777" w:rsidR="0019280E" w:rsidRPr="009A5B0B" w:rsidRDefault="0019280E" w:rsidP="006A624B">
            <w:pPr>
              <w:pStyle w:val="TableHeader"/>
              <w:spacing w:before="0" w:after="0" w:line="276" w:lineRule="auto"/>
              <w:ind w:left="567" w:right="0"/>
              <w:jc w:val="left"/>
              <w:rPr>
                <w:rFonts w:asciiTheme="minorHAnsi" w:hAnsiTheme="minorHAnsi" w:cstheme="minorHAnsi"/>
                <w:b w:val="0"/>
                <w:bCs/>
                <w:color w:val="000000"/>
                <w:lang w:eastAsia="en-US"/>
              </w:rPr>
            </w:pPr>
            <w:r w:rsidRPr="009A5B0B">
              <w:rPr>
                <w:rFonts w:asciiTheme="minorHAnsi" w:hAnsiTheme="minorHAnsi" w:cstheme="minorHAnsi"/>
                <w:b w:val="0"/>
                <w:bCs/>
                <w:color w:val="000000"/>
                <w:lang w:eastAsia="en-US"/>
              </w:rPr>
              <w:t>SB retained Services</w:t>
            </w:r>
          </w:p>
          <w:p w14:paraId="70FF0D27" w14:textId="77777777" w:rsidR="0019280E" w:rsidRPr="009A5B0B" w:rsidRDefault="0019280E" w:rsidP="006A624B">
            <w:pPr>
              <w:pStyle w:val="TableHeader"/>
              <w:spacing w:before="0" w:after="0" w:line="276" w:lineRule="auto"/>
              <w:ind w:left="567" w:right="0"/>
              <w:jc w:val="left"/>
              <w:rPr>
                <w:rFonts w:asciiTheme="minorHAnsi" w:hAnsiTheme="minorHAnsi" w:cstheme="minorHAnsi"/>
                <w:b w:val="0"/>
                <w:bCs/>
                <w:color w:val="000000"/>
                <w:lang w:eastAsia="en-US"/>
              </w:rPr>
            </w:pPr>
            <w:r w:rsidRPr="009A5B0B">
              <w:rPr>
                <w:rFonts w:asciiTheme="minorHAnsi" w:hAnsiTheme="minorHAnsi" w:cstheme="minorHAnsi"/>
                <w:b w:val="0"/>
                <w:bCs/>
                <w:color w:val="000000"/>
                <w:lang w:eastAsia="en-US"/>
              </w:rPr>
              <w:t>£</w:t>
            </w:r>
          </w:p>
        </w:tc>
        <w:tc>
          <w:tcPr>
            <w:tcW w:w="1605" w:type="dxa"/>
            <w:gridSpan w:val="5"/>
            <w:tcBorders>
              <w:top w:val="single" w:sz="8" w:space="0" w:color="auto"/>
              <w:left w:val="nil"/>
              <w:bottom w:val="single" w:sz="8" w:space="0" w:color="auto"/>
              <w:right w:val="single" w:sz="8" w:space="0" w:color="auto"/>
            </w:tcBorders>
            <w:shd w:val="clear" w:color="auto" w:fill="CFDCE3"/>
          </w:tcPr>
          <w:p w14:paraId="03A88F20" w14:textId="77777777" w:rsidR="0019280E" w:rsidRPr="009A5B0B" w:rsidRDefault="0019280E" w:rsidP="006A624B">
            <w:pPr>
              <w:pStyle w:val="TableHeader"/>
              <w:spacing w:before="0" w:after="0" w:line="276" w:lineRule="auto"/>
              <w:ind w:left="567" w:right="0"/>
              <w:jc w:val="left"/>
              <w:rPr>
                <w:rFonts w:asciiTheme="minorHAnsi" w:hAnsiTheme="minorHAnsi" w:cstheme="minorHAnsi"/>
                <w:b w:val="0"/>
                <w:bCs/>
                <w:color w:val="000000"/>
                <w:lang w:eastAsia="en-US"/>
              </w:rPr>
            </w:pPr>
            <w:r w:rsidRPr="009A5B0B">
              <w:rPr>
                <w:rFonts w:asciiTheme="minorHAnsi" w:hAnsiTheme="minorHAnsi" w:cstheme="minorHAnsi"/>
                <w:b w:val="0"/>
                <w:bCs/>
                <w:color w:val="000000"/>
                <w:lang w:eastAsia="en-US"/>
              </w:rPr>
              <w:t>2019-20</w:t>
            </w:r>
          </w:p>
          <w:p w14:paraId="74877F23" w14:textId="77777777" w:rsidR="0019280E" w:rsidRPr="009A5B0B" w:rsidRDefault="0019280E" w:rsidP="006A624B">
            <w:pPr>
              <w:pStyle w:val="TableHeader"/>
              <w:spacing w:before="0" w:after="0" w:line="276" w:lineRule="auto"/>
              <w:ind w:left="567" w:right="0"/>
              <w:jc w:val="left"/>
              <w:rPr>
                <w:rFonts w:asciiTheme="minorHAnsi" w:hAnsiTheme="minorHAnsi" w:cstheme="minorHAnsi"/>
                <w:b w:val="0"/>
                <w:bCs/>
                <w:color w:val="000000"/>
                <w:lang w:eastAsia="en-US"/>
              </w:rPr>
            </w:pPr>
            <w:r w:rsidRPr="009A5B0B">
              <w:rPr>
                <w:rFonts w:asciiTheme="minorHAnsi" w:hAnsiTheme="minorHAnsi" w:cstheme="minorHAnsi"/>
                <w:b w:val="0"/>
                <w:bCs/>
                <w:color w:val="000000"/>
                <w:lang w:eastAsia="en-US"/>
              </w:rPr>
              <w:t>Forecast</w:t>
            </w:r>
          </w:p>
        </w:tc>
      </w:tr>
      <w:tr w:rsidR="0019280E" w:rsidRPr="009A5B0B" w14:paraId="4161C788" w14:textId="77777777" w:rsidTr="0019280E">
        <w:tblPrEx>
          <w:tblCellMar>
            <w:left w:w="0" w:type="dxa"/>
            <w:right w:w="0" w:type="dxa"/>
          </w:tblCellMar>
        </w:tblPrEx>
        <w:trPr>
          <w:gridBefore w:val="1"/>
          <w:wBefore w:w="20" w:type="dxa"/>
          <w:trHeight w:val="415"/>
        </w:trPr>
        <w:tc>
          <w:tcPr>
            <w:tcW w:w="4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C4E43" w14:textId="77777777" w:rsidR="0019280E" w:rsidRPr="009A5B0B" w:rsidRDefault="0019280E" w:rsidP="0019280E">
            <w:pPr>
              <w:spacing w:line="288" w:lineRule="auto"/>
              <w:ind w:left="567"/>
              <w:rPr>
                <w:rFonts w:cstheme="minorHAnsi"/>
                <w:color w:val="000000"/>
                <w:sz w:val="24"/>
                <w:szCs w:val="24"/>
              </w:rPr>
            </w:pPr>
            <w:r w:rsidRPr="009A5B0B">
              <w:rPr>
                <w:rFonts w:cstheme="minorHAnsi"/>
                <w:color w:val="000000"/>
                <w:sz w:val="24"/>
                <w:szCs w:val="24"/>
              </w:rPr>
              <w:t>C&amp;A Directorate Management Team</w:t>
            </w:r>
          </w:p>
        </w:tc>
        <w:tc>
          <w:tcPr>
            <w:tcW w:w="1674" w:type="dxa"/>
            <w:tcBorders>
              <w:top w:val="nil"/>
              <w:left w:val="nil"/>
              <w:bottom w:val="single" w:sz="8" w:space="0" w:color="auto"/>
              <w:right w:val="single" w:sz="8" w:space="0" w:color="auto"/>
            </w:tcBorders>
            <w:hideMark/>
          </w:tcPr>
          <w:p w14:paraId="6F434963"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488,477</w:t>
            </w:r>
          </w:p>
        </w:tc>
        <w:tc>
          <w:tcPr>
            <w:tcW w:w="1491" w:type="dxa"/>
            <w:tcBorders>
              <w:top w:val="nil"/>
              <w:left w:val="nil"/>
              <w:bottom w:val="single" w:sz="8" w:space="0" w:color="auto"/>
              <w:right w:val="single" w:sz="8" w:space="0" w:color="auto"/>
            </w:tcBorders>
            <w:hideMark/>
          </w:tcPr>
          <w:p w14:paraId="03634E22"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59,690</w:t>
            </w:r>
          </w:p>
        </w:tc>
        <w:tc>
          <w:tcPr>
            <w:tcW w:w="1605" w:type="dxa"/>
            <w:gridSpan w:val="5"/>
            <w:tcBorders>
              <w:top w:val="nil"/>
              <w:left w:val="nil"/>
              <w:bottom w:val="single" w:sz="8" w:space="0" w:color="auto"/>
              <w:right w:val="single" w:sz="8" w:space="0" w:color="auto"/>
            </w:tcBorders>
          </w:tcPr>
          <w:p w14:paraId="13B928E0" w14:textId="77777777" w:rsidR="0019280E" w:rsidRPr="009A5B0B" w:rsidRDefault="0019280E" w:rsidP="006A624B">
            <w:pPr>
              <w:jc w:val="right"/>
              <w:rPr>
                <w:rFonts w:cstheme="minorHAnsi"/>
                <w:sz w:val="24"/>
                <w:szCs w:val="24"/>
              </w:rPr>
            </w:pPr>
            <w:r w:rsidRPr="009A5B0B">
              <w:rPr>
                <w:rFonts w:cstheme="minorHAnsi"/>
                <w:sz w:val="24"/>
                <w:szCs w:val="24"/>
              </w:rPr>
              <w:t>59,690</w:t>
            </w:r>
          </w:p>
        </w:tc>
      </w:tr>
      <w:tr w:rsidR="0019280E" w:rsidRPr="009A5B0B" w14:paraId="39262478" w14:textId="77777777" w:rsidTr="0019280E">
        <w:tblPrEx>
          <w:tblCellMar>
            <w:left w:w="0" w:type="dxa"/>
            <w:right w:w="0" w:type="dxa"/>
          </w:tblCellMar>
        </w:tblPrEx>
        <w:trPr>
          <w:gridBefore w:val="1"/>
          <w:wBefore w:w="20" w:type="dxa"/>
          <w:trHeight w:val="415"/>
        </w:trPr>
        <w:tc>
          <w:tcPr>
            <w:tcW w:w="4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0820C"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Commissioning Management Team</w:t>
            </w:r>
          </w:p>
        </w:tc>
        <w:tc>
          <w:tcPr>
            <w:tcW w:w="1674" w:type="dxa"/>
            <w:tcBorders>
              <w:top w:val="nil"/>
              <w:left w:val="nil"/>
              <w:bottom w:val="single" w:sz="8" w:space="0" w:color="auto"/>
              <w:right w:val="single" w:sz="8" w:space="0" w:color="auto"/>
            </w:tcBorders>
            <w:hideMark/>
          </w:tcPr>
          <w:p w14:paraId="62F9F7CD"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172,129</w:t>
            </w:r>
          </w:p>
        </w:tc>
        <w:tc>
          <w:tcPr>
            <w:tcW w:w="1491" w:type="dxa"/>
            <w:tcBorders>
              <w:top w:val="nil"/>
              <w:left w:val="nil"/>
              <w:bottom w:val="single" w:sz="8" w:space="0" w:color="auto"/>
              <w:right w:val="single" w:sz="8" w:space="0" w:color="auto"/>
            </w:tcBorders>
            <w:hideMark/>
          </w:tcPr>
          <w:p w14:paraId="2AA44D77"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137,000</w:t>
            </w:r>
          </w:p>
        </w:tc>
        <w:tc>
          <w:tcPr>
            <w:tcW w:w="1605" w:type="dxa"/>
            <w:gridSpan w:val="5"/>
            <w:tcBorders>
              <w:top w:val="nil"/>
              <w:left w:val="nil"/>
              <w:bottom w:val="single" w:sz="8" w:space="0" w:color="auto"/>
              <w:right w:val="single" w:sz="8" w:space="0" w:color="auto"/>
            </w:tcBorders>
          </w:tcPr>
          <w:p w14:paraId="7C3C8779" w14:textId="77777777" w:rsidR="0019280E" w:rsidRPr="009A5B0B" w:rsidRDefault="0019280E" w:rsidP="006A624B">
            <w:pPr>
              <w:jc w:val="right"/>
              <w:rPr>
                <w:rFonts w:cstheme="minorHAnsi"/>
                <w:sz w:val="24"/>
                <w:szCs w:val="24"/>
              </w:rPr>
            </w:pPr>
            <w:r w:rsidRPr="009A5B0B">
              <w:rPr>
                <w:rFonts w:cstheme="minorHAnsi"/>
                <w:sz w:val="24"/>
                <w:szCs w:val="24"/>
              </w:rPr>
              <w:t>137,000</w:t>
            </w:r>
          </w:p>
        </w:tc>
      </w:tr>
      <w:tr w:rsidR="0019280E" w:rsidRPr="009A5B0B" w14:paraId="2209460E" w14:textId="77777777" w:rsidTr="0019280E">
        <w:tblPrEx>
          <w:tblCellMar>
            <w:left w:w="0" w:type="dxa"/>
            <w:right w:w="0" w:type="dxa"/>
          </w:tblCellMar>
        </w:tblPrEx>
        <w:trPr>
          <w:gridBefore w:val="1"/>
          <w:wBefore w:w="20" w:type="dxa"/>
          <w:trHeight w:val="415"/>
        </w:trPr>
        <w:tc>
          <w:tcPr>
            <w:tcW w:w="4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1DEA6"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Schools Forum Administration</w:t>
            </w:r>
          </w:p>
        </w:tc>
        <w:tc>
          <w:tcPr>
            <w:tcW w:w="1674" w:type="dxa"/>
            <w:tcBorders>
              <w:top w:val="nil"/>
              <w:left w:val="nil"/>
              <w:bottom w:val="single" w:sz="8" w:space="0" w:color="auto"/>
              <w:right w:val="single" w:sz="8" w:space="0" w:color="auto"/>
            </w:tcBorders>
            <w:hideMark/>
          </w:tcPr>
          <w:p w14:paraId="6AD72B9E"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5,000</w:t>
            </w:r>
          </w:p>
        </w:tc>
        <w:tc>
          <w:tcPr>
            <w:tcW w:w="1491" w:type="dxa"/>
            <w:tcBorders>
              <w:top w:val="nil"/>
              <w:left w:val="nil"/>
              <w:bottom w:val="single" w:sz="8" w:space="0" w:color="auto"/>
              <w:right w:val="single" w:sz="8" w:space="0" w:color="auto"/>
            </w:tcBorders>
            <w:hideMark/>
          </w:tcPr>
          <w:p w14:paraId="5BB137C5"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5,000</w:t>
            </w:r>
          </w:p>
        </w:tc>
        <w:tc>
          <w:tcPr>
            <w:tcW w:w="1605" w:type="dxa"/>
            <w:gridSpan w:val="5"/>
            <w:tcBorders>
              <w:top w:val="nil"/>
              <w:left w:val="nil"/>
              <w:bottom w:val="single" w:sz="8" w:space="0" w:color="auto"/>
              <w:right w:val="single" w:sz="8" w:space="0" w:color="auto"/>
            </w:tcBorders>
          </w:tcPr>
          <w:p w14:paraId="38B565A5" w14:textId="77777777" w:rsidR="0019280E" w:rsidRPr="009A5B0B" w:rsidRDefault="0019280E" w:rsidP="006A624B">
            <w:pPr>
              <w:jc w:val="right"/>
              <w:rPr>
                <w:rFonts w:cstheme="minorHAnsi"/>
                <w:sz w:val="24"/>
                <w:szCs w:val="24"/>
              </w:rPr>
            </w:pPr>
            <w:r w:rsidRPr="009A5B0B">
              <w:rPr>
                <w:rFonts w:cstheme="minorHAnsi"/>
                <w:sz w:val="24"/>
                <w:szCs w:val="24"/>
              </w:rPr>
              <w:t>5,000</w:t>
            </w:r>
          </w:p>
        </w:tc>
      </w:tr>
      <w:tr w:rsidR="0019280E" w:rsidRPr="009A5B0B" w14:paraId="0530D372" w14:textId="77777777" w:rsidTr="0019280E">
        <w:tblPrEx>
          <w:tblCellMar>
            <w:left w:w="0" w:type="dxa"/>
            <w:right w:w="0" w:type="dxa"/>
          </w:tblCellMar>
        </w:tblPrEx>
        <w:trPr>
          <w:gridBefore w:val="1"/>
          <w:wBefore w:w="20" w:type="dxa"/>
          <w:trHeight w:val="350"/>
        </w:trPr>
        <w:tc>
          <w:tcPr>
            <w:tcW w:w="4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15C21" w14:textId="77777777" w:rsidR="0019280E" w:rsidRPr="009A5B0B" w:rsidRDefault="0019280E" w:rsidP="006A624B">
            <w:pPr>
              <w:ind w:left="567"/>
              <w:rPr>
                <w:rFonts w:cstheme="minorHAnsi"/>
                <w:color w:val="000000"/>
                <w:sz w:val="24"/>
                <w:szCs w:val="24"/>
              </w:rPr>
            </w:pPr>
            <w:r w:rsidRPr="009A5B0B">
              <w:rPr>
                <w:rFonts w:cstheme="minorHAnsi"/>
                <w:color w:val="000000"/>
                <w:sz w:val="24"/>
                <w:szCs w:val="24"/>
              </w:rPr>
              <w:t>SACRE</w:t>
            </w:r>
          </w:p>
        </w:tc>
        <w:tc>
          <w:tcPr>
            <w:tcW w:w="1674" w:type="dxa"/>
            <w:tcBorders>
              <w:top w:val="nil"/>
              <w:left w:val="nil"/>
              <w:bottom w:val="single" w:sz="8" w:space="0" w:color="auto"/>
              <w:right w:val="single" w:sz="8" w:space="0" w:color="auto"/>
            </w:tcBorders>
            <w:hideMark/>
          </w:tcPr>
          <w:p w14:paraId="72C83E0B"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15,094</w:t>
            </w:r>
          </w:p>
        </w:tc>
        <w:tc>
          <w:tcPr>
            <w:tcW w:w="1491" w:type="dxa"/>
            <w:tcBorders>
              <w:top w:val="nil"/>
              <w:left w:val="nil"/>
              <w:bottom w:val="single" w:sz="8" w:space="0" w:color="auto"/>
              <w:right w:val="single" w:sz="8" w:space="0" w:color="auto"/>
            </w:tcBorders>
            <w:hideMark/>
          </w:tcPr>
          <w:p w14:paraId="070126F5"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15,094</w:t>
            </w:r>
          </w:p>
        </w:tc>
        <w:tc>
          <w:tcPr>
            <w:tcW w:w="1605" w:type="dxa"/>
            <w:gridSpan w:val="5"/>
            <w:tcBorders>
              <w:top w:val="nil"/>
              <w:left w:val="nil"/>
              <w:bottom w:val="single" w:sz="8" w:space="0" w:color="auto"/>
              <w:right w:val="single" w:sz="8" w:space="0" w:color="auto"/>
            </w:tcBorders>
          </w:tcPr>
          <w:p w14:paraId="52403B53" w14:textId="77777777" w:rsidR="0019280E" w:rsidRPr="009A5B0B" w:rsidRDefault="0019280E" w:rsidP="006A624B">
            <w:pPr>
              <w:jc w:val="right"/>
              <w:rPr>
                <w:rFonts w:cstheme="minorHAnsi"/>
                <w:sz w:val="24"/>
                <w:szCs w:val="24"/>
              </w:rPr>
            </w:pPr>
            <w:r w:rsidRPr="009A5B0B">
              <w:rPr>
                <w:rFonts w:cstheme="minorHAnsi"/>
                <w:sz w:val="24"/>
                <w:szCs w:val="24"/>
              </w:rPr>
              <w:t>15,094</w:t>
            </w:r>
          </w:p>
        </w:tc>
      </w:tr>
      <w:tr w:rsidR="0019280E" w:rsidRPr="009A5B0B" w14:paraId="02FAE214" w14:textId="77777777" w:rsidTr="0019280E">
        <w:tblPrEx>
          <w:tblCellMar>
            <w:left w:w="0" w:type="dxa"/>
            <w:right w:w="0" w:type="dxa"/>
          </w:tblCellMar>
        </w:tblPrEx>
        <w:trPr>
          <w:gridBefore w:val="1"/>
          <w:wBefore w:w="20" w:type="dxa"/>
          <w:trHeight w:val="415"/>
        </w:trPr>
        <w:tc>
          <w:tcPr>
            <w:tcW w:w="4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C6C4B" w14:textId="77777777" w:rsidR="0019280E" w:rsidRPr="009A5B0B" w:rsidRDefault="0019280E" w:rsidP="006A624B">
            <w:pPr>
              <w:ind w:left="567"/>
              <w:rPr>
                <w:rFonts w:cstheme="minorHAnsi"/>
                <w:color w:val="000000"/>
                <w:sz w:val="24"/>
                <w:szCs w:val="24"/>
              </w:rPr>
            </w:pPr>
            <w:r w:rsidRPr="009A5B0B">
              <w:rPr>
                <w:rFonts w:cstheme="minorHAnsi"/>
                <w:color w:val="000000"/>
                <w:sz w:val="24"/>
                <w:szCs w:val="24"/>
              </w:rPr>
              <w:t>Achieve Officer</w:t>
            </w:r>
          </w:p>
        </w:tc>
        <w:tc>
          <w:tcPr>
            <w:tcW w:w="1674" w:type="dxa"/>
            <w:tcBorders>
              <w:top w:val="nil"/>
              <w:left w:val="nil"/>
              <w:bottom w:val="single" w:sz="8" w:space="0" w:color="auto"/>
              <w:right w:val="single" w:sz="8" w:space="0" w:color="auto"/>
            </w:tcBorders>
            <w:hideMark/>
          </w:tcPr>
          <w:p w14:paraId="6C4355B5"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32,623</w:t>
            </w:r>
          </w:p>
        </w:tc>
        <w:tc>
          <w:tcPr>
            <w:tcW w:w="1491" w:type="dxa"/>
            <w:tcBorders>
              <w:top w:val="nil"/>
              <w:left w:val="nil"/>
              <w:bottom w:val="single" w:sz="8" w:space="0" w:color="auto"/>
              <w:right w:val="single" w:sz="8" w:space="0" w:color="auto"/>
            </w:tcBorders>
            <w:hideMark/>
          </w:tcPr>
          <w:p w14:paraId="6E3BE023"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32,623</w:t>
            </w:r>
          </w:p>
        </w:tc>
        <w:tc>
          <w:tcPr>
            <w:tcW w:w="1605" w:type="dxa"/>
            <w:gridSpan w:val="5"/>
            <w:tcBorders>
              <w:top w:val="nil"/>
              <w:left w:val="nil"/>
              <w:bottom w:val="single" w:sz="8" w:space="0" w:color="auto"/>
              <w:right w:val="single" w:sz="8" w:space="0" w:color="auto"/>
            </w:tcBorders>
          </w:tcPr>
          <w:p w14:paraId="0A128166" w14:textId="77777777" w:rsidR="0019280E" w:rsidRPr="009A5B0B" w:rsidRDefault="0019280E" w:rsidP="006A624B">
            <w:pPr>
              <w:jc w:val="right"/>
              <w:rPr>
                <w:rFonts w:cstheme="minorHAnsi"/>
                <w:sz w:val="24"/>
                <w:szCs w:val="24"/>
              </w:rPr>
            </w:pPr>
            <w:r w:rsidRPr="009A5B0B">
              <w:rPr>
                <w:rFonts w:cstheme="minorHAnsi"/>
                <w:sz w:val="24"/>
                <w:szCs w:val="24"/>
              </w:rPr>
              <w:t>32,623</w:t>
            </w:r>
          </w:p>
        </w:tc>
      </w:tr>
      <w:tr w:rsidR="0019280E" w:rsidRPr="009A5B0B" w14:paraId="35C4DF8D" w14:textId="77777777" w:rsidTr="0019280E">
        <w:tblPrEx>
          <w:tblCellMar>
            <w:left w:w="0" w:type="dxa"/>
            <w:right w:w="0" w:type="dxa"/>
          </w:tblCellMar>
        </w:tblPrEx>
        <w:trPr>
          <w:gridBefore w:val="1"/>
          <w:wBefore w:w="20" w:type="dxa"/>
          <w:trHeight w:val="415"/>
        </w:trPr>
        <w:tc>
          <w:tcPr>
            <w:tcW w:w="48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DBFB955" w14:textId="77777777" w:rsidR="0019280E" w:rsidRPr="009A5B0B" w:rsidRDefault="0019280E" w:rsidP="006A624B">
            <w:pPr>
              <w:ind w:left="567"/>
              <w:jc w:val="both"/>
              <w:rPr>
                <w:rFonts w:cstheme="minorHAnsi"/>
                <w:color w:val="000000"/>
                <w:sz w:val="24"/>
                <w:szCs w:val="24"/>
              </w:rPr>
            </w:pPr>
            <w:r w:rsidRPr="009A5B0B">
              <w:rPr>
                <w:rFonts w:cstheme="minorHAnsi"/>
                <w:color w:val="000000"/>
                <w:sz w:val="24"/>
                <w:szCs w:val="24"/>
              </w:rPr>
              <w:t xml:space="preserve">Admissions and Medway Test – Excluding </w:t>
            </w:r>
            <w:r w:rsidRPr="009A5B0B">
              <w:rPr>
                <w:rFonts w:cstheme="minorHAnsi"/>
                <w:color w:val="000000"/>
                <w:sz w:val="24"/>
                <w:szCs w:val="24"/>
              </w:rPr>
              <w:lastRenderedPageBreak/>
              <w:t>Appeals.</w:t>
            </w:r>
          </w:p>
        </w:tc>
        <w:tc>
          <w:tcPr>
            <w:tcW w:w="1674" w:type="dxa"/>
            <w:tcBorders>
              <w:top w:val="nil"/>
              <w:left w:val="nil"/>
              <w:bottom w:val="single" w:sz="4" w:space="0" w:color="auto"/>
              <w:right w:val="single" w:sz="8" w:space="0" w:color="auto"/>
            </w:tcBorders>
            <w:hideMark/>
          </w:tcPr>
          <w:p w14:paraId="6F35E831"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lastRenderedPageBreak/>
              <w:t>373,603</w:t>
            </w:r>
          </w:p>
        </w:tc>
        <w:tc>
          <w:tcPr>
            <w:tcW w:w="1491" w:type="dxa"/>
            <w:tcBorders>
              <w:top w:val="nil"/>
              <w:left w:val="nil"/>
              <w:bottom w:val="single" w:sz="4" w:space="0" w:color="auto"/>
              <w:right w:val="single" w:sz="8" w:space="0" w:color="auto"/>
            </w:tcBorders>
            <w:hideMark/>
          </w:tcPr>
          <w:p w14:paraId="02198961"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373,603</w:t>
            </w:r>
          </w:p>
        </w:tc>
        <w:tc>
          <w:tcPr>
            <w:tcW w:w="1605" w:type="dxa"/>
            <w:gridSpan w:val="5"/>
            <w:tcBorders>
              <w:top w:val="nil"/>
              <w:left w:val="nil"/>
              <w:bottom w:val="single" w:sz="4" w:space="0" w:color="auto"/>
              <w:right w:val="single" w:sz="8" w:space="0" w:color="auto"/>
            </w:tcBorders>
          </w:tcPr>
          <w:p w14:paraId="28B7FF2B" w14:textId="77777777" w:rsidR="0019280E" w:rsidRPr="009A5B0B" w:rsidRDefault="0019280E" w:rsidP="006A624B">
            <w:pPr>
              <w:jc w:val="right"/>
              <w:rPr>
                <w:rFonts w:cstheme="minorHAnsi"/>
                <w:sz w:val="24"/>
                <w:szCs w:val="24"/>
              </w:rPr>
            </w:pPr>
            <w:r w:rsidRPr="009A5B0B">
              <w:rPr>
                <w:rFonts w:cstheme="minorHAnsi"/>
                <w:sz w:val="24"/>
                <w:szCs w:val="24"/>
              </w:rPr>
              <w:t>373,603</w:t>
            </w:r>
          </w:p>
        </w:tc>
      </w:tr>
      <w:tr w:rsidR="0019280E" w:rsidRPr="009A5B0B" w14:paraId="7963A438" w14:textId="77777777" w:rsidTr="0019280E">
        <w:tblPrEx>
          <w:tblCellMar>
            <w:left w:w="0" w:type="dxa"/>
            <w:right w:w="0" w:type="dxa"/>
          </w:tblCellMar>
        </w:tblPrEx>
        <w:trPr>
          <w:gridBefore w:val="1"/>
          <w:wBefore w:w="20" w:type="dxa"/>
          <w:trHeight w:val="415"/>
        </w:trPr>
        <w:tc>
          <w:tcPr>
            <w:tcW w:w="4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10747" w14:textId="77777777" w:rsidR="0019280E" w:rsidRPr="009A5B0B" w:rsidRDefault="0019280E" w:rsidP="006A624B">
            <w:pPr>
              <w:ind w:left="567"/>
              <w:rPr>
                <w:rFonts w:cstheme="minorHAnsi"/>
                <w:color w:val="000000"/>
                <w:sz w:val="24"/>
                <w:szCs w:val="24"/>
              </w:rPr>
            </w:pPr>
            <w:r w:rsidRPr="009A5B0B">
              <w:rPr>
                <w:rFonts w:cstheme="minorHAnsi"/>
                <w:color w:val="000000"/>
                <w:sz w:val="24"/>
                <w:szCs w:val="24"/>
              </w:rPr>
              <w:t>Planning and Review Team</w:t>
            </w:r>
          </w:p>
        </w:tc>
        <w:tc>
          <w:tcPr>
            <w:tcW w:w="1674" w:type="dxa"/>
            <w:tcBorders>
              <w:top w:val="single" w:sz="4" w:space="0" w:color="auto"/>
              <w:left w:val="single" w:sz="4" w:space="0" w:color="auto"/>
              <w:bottom w:val="single" w:sz="4" w:space="0" w:color="auto"/>
              <w:right w:val="single" w:sz="4" w:space="0" w:color="auto"/>
            </w:tcBorders>
            <w:hideMark/>
          </w:tcPr>
          <w:p w14:paraId="74410D93"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167,272</w:t>
            </w:r>
          </w:p>
        </w:tc>
        <w:tc>
          <w:tcPr>
            <w:tcW w:w="1491" w:type="dxa"/>
            <w:tcBorders>
              <w:top w:val="single" w:sz="4" w:space="0" w:color="auto"/>
              <w:left w:val="single" w:sz="4" w:space="0" w:color="auto"/>
              <w:bottom w:val="single" w:sz="4" w:space="0" w:color="auto"/>
              <w:right w:val="single" w:sz="4" w:space="0" w:color="auto"/>
            </w:tcBorders>
            <w:hideMark/>
          </w:tcPr>
          <w:p w14:paraId="7EB2B7FC" w14:textId="77777777" w:rsidR="0019280E" w:rsidRPr="009A5B0B" w:rsidRDefault="0019280E" w:rsidP="006A624B">
            <w:pPr>
              <w:spacing w:line="288" w:lineRule="auto"/>
              <w:ind w:left="567"/>
              <w:rPr>
                <w:rFonts w:cstheme="minorHAnsi"/>
                <w:color w:val="000000"/>
                <w:sz w:val="24"/>
                <w:szCs w:val="24"/>
              </w:rPr>
            </w:pPr>
            <w:r w:rsidRPr="009A5B0B">
              <w:rPr>
                <w:rFonts w:cstheme="minorHAnsi"/>
                <w:color w:val="000000"/>
                <w:sz w:val="24"/>
                <w:szCs w:val="24"/>
              </w:rPr>
              <w:t>100,000</w:t>
            </w:r>
          </w:p>
        </w:tc>
        <w:tc>
          <w:tcPr>
            <w:tcW w:w="1605" w:type="dxa"/>
            <w:gridSpan w:val="5"/>
            <w:tcBorders>
              <w:top w:val="single" w:sz="4" w:space="0" w:color="auto"/>
              <w:left w:val="single" w:sz="4" w:space="0" w:color="auto"/>
              <w:bottom w:val="single" w:sz="4" w:space="0" w:color="auto"/>
              <w:right w:val="single" w:sz="4" w:space="0" w:color="auto"/>
            </w:tcBorders>
          </w:tcPr>
          <w:p w14:paraId="29493ADB" w14:textId="77777777" w:rsidR="0019280E" w:rsidRPr="009A5B0B" w:rsidRDefault="0019280E" w:rsidP="006A624B">
            <w:pPr>
              <w:jc w:val="right"/>
              <w:rPr>
                <w:rFonts w:cstheme="minorHAnsi"/>
                <w:sz w:val="24"/>
                <w:szCs w:val="24"/>
              </w:rPr>
            </w:pPr>
            <w:r w:rsidRPr="009A5B0B">
              <w:rPr>
                <w:rFonts w:cstheme="minorHAnsi"/>
                <w:sz w:val="24"/>
                <w:szCs w:val="24"/>
              </w:rPr>
              <w:t>100,000</w:t>
            </w:r>
          </w:p>
        </w:tc>
      </w:tr>
      <w:tr w:rsidR="0019280E" w:rsidRPr="009A5B0B" w14:paraId="0DC46E2B" w14:textId="77777777" w:rsidTr="0019280E">
        <w:tblPrEx>
          <w:tblCellMar>
            <w:left w:w="0" w:type="dxa"/>
            <w:right w:w="0" w:type="dxa"/>
          </w:tblCellMar>
        </w:tblPrEx>
        <w:trPr>
          <w:gridBefore w:val="1"/>
          <w:wBefore w:w="20" w:type="dxa"/>
          <w:trHeight w:val="415"/>
        </w:trPr>
        <w:tc>
          <w:tcPr>
            <w:tcW w:w="4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FEF2D" w14:textId="77777777" w:rsidR="0019280E" w:rsidRPr="009A5B0B" w:rsidRDefault="0019280E" w:rsidP="006A624B">
            <w:pPr>
              <w:ind w:left="567"/>
              <w:rPr>
                <w:rFonts w:cstheme="minorHAnsi"/>
                <w:bCs/>
                <w:color w:val="000000"/>
                <w:sz w:val="24"/>
                <w:szCs w:val="24"/>
              </w:rPr>
            </w:pPr>
            <w:r w:rsidRPr="009A5B0B">
              <w:rPr>
                <w:rFonts w:cstheme="minorHAnsi"/>
                <w:bCs/>
                <w:color w:val="000000"/>
                <w:sz w:val="24"/>
                <w:szCs w:val="24"/>
              </w:rPr>
              <w:t>Governor Services</w:t>
            </w:r>
          </w:p>
        </w:tc>
        <w:tc>
          <w:tcPr>
            <w:tcW w:w="1674" w:type="dxa"/>
            <w:tcBorders>
              <w:top w:val="single" w:sz="4" w:space="0" w:color="auto"/>
              <w:left w:val="single" w:sz="4" w:space="0" w:color="auto"/>
              <w:bottom w:val="single" w:sz="4" w:space="0" w:color="auto"/>
              <w:right w:val="single" w:sz="4" w:space="0" w:color="auto"/>
            </w:tcBorders>
          </w:tcPr>
          <w:p w14:paraId="58A794D8" w14:textId="77777777" w:rsidR="0019280E" w:rsidRPr="009A5B0B" w:rsidRDefault="0019280E" w:rsidP="006A624B">
            <w:pPr>
              <w:spacing w:line="288" w:lineRule="auto"/>
              <w:ind w:left="567"/>
              <w:rPr>
                <w:rFonts w:cstheme="minorHAnsi"/>
                <w:bCs/>
                <w:color w:val="000000"/>
                <w:sz w:val="24"/>
                <w:szCs w:val="24"/>
              </w:rPr>
            </w:pPr>
            <w:r w:rsidRPr="009A5B0B">
              <w:rPr>
                <w:rFonts w:cstheme="minorHAnsi"/>
                <w:bCs/>
                <w:color w:val="000000"/>
                <w:sz w:val="24"/>
                <w:szCs w:val="24"/>
              </w:rPr>
              <w:t>£19,990</w:t>
            </w:r>
          </w:p>
        </w:tc>
        <w:tc>
          <w:tcPr>
            <w:tcW w:w="1491" w:type="dxa"/>
            <w:tcBorders>
              <w:top w:val="single" w:sz="4" w:space="0" w:color="auto"/>
              <w:left w:val="single" w:sz="4" w:space="0" w:color="auto"/>
              <w:bottom w:val="single" w:sz="4" w:space="0" w:color="auto"/>
              <w:right w:val="single" w:sz="4" w:space="0" w:color="auto"/>
            </w:tcBorders>
          </w:tcPr>
          <w:p w14:paraId="30061A48" w14:textId="77777777" w:rsidR="0019280E" w:rsidRPr="009A5B0B" w:rsidRDefault="0019280E" w:rsidP="006A624B">
            <w:pPr>
              <w:spacing w:line="288" w:lineRule="auto"/>
              <w:ind w:left="567"/>
              <w:rPr>
                <w:rFonts w:cstheme="minorHAnsi"/>
                <w:bCs/>
                <w:color w:val="000000"/>
                <w:sz w:val="24"/>
                <w:szCs w:val="24"/>
              </w:rPr>
            </w:pPr>
            <w:r w:rsidRPr="009A5B0B">
              <w:rPr>
                <w:rFonts w:cstheme="minorHAnsi"/>
                <w:bCs/>
                <w:color w:val="000000"/>
                <w:sz w:val="24"/>
                <w:szCs w:val="24"/>
              </w:rPr>
              <w:t>£19,990</w:t>
            </w:r>
          </w:p>
        </w:tc>
        <w:tc>
          <w:tcPr>
            <w:tcW w:w="1605" w:type="dxa"/>
            <w:gridSpan w:val="5"/>
            <w:tcBorders>
              <w:top w:val="single" w:sz="4" w:space="0" w:color="auto"/>
              <w:left w:val="single" w:sz="4" w:space="0" w:color="auto"/>
              <w:bottom w:val="single" w:sz="4" w:space="0" w:color="auto"/>
              <w:right w:val="single" w:sz="4" w:space="0" w:color="auto"/>
            </w:tcBorders>
          </w:tcPr>
          <w:p w14:paraId="752B00A3" w14:textId="77777777" w:rsidR="0019280E" w:rsidRPr="009A5B0B" w:rsidRDefault="0019280E" w:rsidP="006A624B">
            <w:pPr>
              <w:jc w:val="right"/>
              <w:rPr>
                <w:rFonts w:cstheme="minorHAnsi"/>
                <w:sz w:val="24"/>
                <w:szCs w:val="24"/>
              </w:rPr>
            </w:pPr>
            <w:r w:rsidRPr="009A5B0B">
              <w:rPr>
                <w:rFonts w:cstheme="minorHAnsi"/>
                <w:sz w:val="24"/>
                <w:szCs w:val="24"/>
              </w:rPr>
              <w:t>£19,990</w:t>
            </w:r>
          </w:p>
        </w:tc>
      </w:tr>
      <w:tr w:rsidR="0019280E" w:rsidRPr="009A5B0B" w14:paraId="40E9497F" w14:textId="77777777" w:rsidTr="0019280E">
        <w:tblPrEx>
          <w:tblCellMar>
            <w:left w:w="0" w:type="dxa"/>
            <w:right w:w="0" w:type="dxa"/>
          </w:tblCellMar>
        </w:tblPrEx>
        <w:trPr>
          <w:gridBefore w:val="1"/>
          <w:wBefore w:w="20" w:type="dxa"/>
          <w:trHeight w:val="415"/>
        </w:trPr>
        <w:tc>
          <w:tcPr>
            <w:tcW w:w="4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33253" w14:textId="77777777" w:rsidR="0019280E" w:rsidRPr="009A5B0B" w:rsidRDefault="0019280E" w:rsidP="006A624B">
            <w:pPr>
              <w:ind w:left="567"/>
              <w:rPr>
                <w:rFonts w:cstheme="minorHAnsi"/>
                <w:b/>
                <w:bCs/>
                <w:color w:val="000000"/>
                <w:sz w:val="24"/>
                <w:szCs w:val="24"/>
              </w:rPr>
            </w:pPr>
            <w:r w:rsidRPr="009A5B0B">
              <w:rPr>
                <w:rFonts w:cstheme="minorHAnsi"/>
                <w:b/>
                <w:bCs/>
                <w:color w:val="000000"/>
                <w:sz w:val="24"/>
                <w:szCs w:val="24"/>
              </w:rPr>
              <w:t>Total</w:t>
            </w:r>
          </w:p>
        </w:tc>
        <w:tc>
          <w:tcPr>
            <w:tcW w:w="1674" w:type="dxa"/>
            <w:tcBorders>
              <w:top w:val="single" w:sz="4" w:space="0" w:color="auto"/>
              <w:left w:val="single" w:sz="4" w:space="0" w:color="auto"/>
              <w:bottom w:val="single" w:sz="4" w:space="0" w:color="auto"/>
              <w:right w:val="single" w:sz="4" w:space="0" w:color="auto"/>
            </w:tcBorders>
            <w:hideMark/>
          </w:tcPr>
          <w:p w14:paraId="326E77AA" w14:textId="77777777" w:rsidR="0019280E" w:rsidRPr="009A5B0B" w:rsidRDefault="0019280E" w:rsidP="006A624B">
            <w:pPr>
              <w:spacing w:line="288" w:lineRule="auto"/>
              <w:ind w:left="567"/>
              <w:rPr>
                <w:rFonts w:cstheme="minorHAnsi"/>
                <w:b/>
                <w:bCs/>
                <w:color w:val="000000"/>
                <w:sz w:val="24"/>
                <w:szCs w:val="24"/>
              </w:rPr>
            </w:pPr>
            <w:r w:rsidRPr="009A5B0B">
              <w:rPr>
                <w:rFonts w:cstheme="minorHAnsi"/>
                <w:b/>
                <w:bCs/>
                <w:color w:val="000000"/>
                <w:sz w:val="24"/>
                <w:szCs w:val="24"/>
              </w:rPr>
              <w:t>£1,274,188</w:t>
            </w:r>
          </w:p>
        </w:tc>
        <w:tc>
          <w:tcPr>
            <w:tcW w:w="1491" w:type="dxa"/>
            <w:tcBorders>
              <w:top w:val="single" w:sz="4" w:space="0" w:color="auto"/>
              <w:left w:val="single" w:sz="4" w:space="0" w:color="auto"/>
              <w:bottom w:val="single" w:sz="4" w:space="0" w:color="auto"/>
              <w:right w:val="single" w:sz="4" w:space="0" w:color="auto"/>
            </w:tcBorders>
            <w:hideMark/>
          </w:tcPr>
          <w:p w14:paraId="52F1829C" w14:textId="77777777" w:rsidR="0019280E" w:rsidRPr="009A5B0B" w:rsidRDefault="0019280E" w:rsidP="006A624B">
            <w:pPr>
              <w:spacing w:line="288" w:lineRule="auto"/>
              <w:ind w:left="567"/>
              <w:rPr>
                <w:rFonts w:cstheme="minorHAnsi"/>
                <w:b/>
                <w:bCs/>
                <w:color w:val="000000"/>
                <w:sz w:val="24"/>
                <w:szCs w:val="24"/>
              </w:rPr>
            </w:pPr>
            <w:r w:rsidRPr="009A5B0B">
              <w:rPr>
                <w:rFonts w:cstheme="minorHAnsi"/>
                <w:b/>
                <w:bCs/>
                <w:color w:val="000000"/>
                <w:sz w:val="24"/>
                <w:szCs w:val="24"/>
              </w:rPr>
              <w:t>£743,000</w:t>
            </w:r>
          </w:p>
        </w:tc>
        <w:tc>
          <w:tcPr>
            <w:tcW w:w="1605" w:type="dxa"/>
            <w:gridSpan w:val="5"/>
            <w:tcBorders>
              <w:top w:val="single" w:sz="4" w:space="0" w:color="auto"/>
              <w:left w:val="single" w:sz="4" w:space="0" w:color="auto"/>
              <w:bottom w:val="single" w:sz="4" w:space="0" w:color="auto"/>
              <w:right w:val="single" w:sz="4" w:space="0" w:color="auto"/>
            </w:tcBorders>
          </w:tcPr>
          <w:p w14:paraId="162C69F3" w14:textId="77777777" w:rsidR="0019280E" w:rsidRPr="009A5B0B" w:rsidRDefault="0019280E" w:rsidP="006A624B">
            <w:pPr>
              <w:jc w:val="right"/>
              <w:rPr>
                <w:rFonts w:cstheme="minorHAnsi"/>
                <w:b/>
                <w:sz w:val="24"/>
                <w:szCs w:val="24"/>
              </w:rPr>
            </w:pPr>
            <w:r w:rsidRPr="009A5B0B">
              <w:rPr>
                <w:rFonts w:cstheme="minorHAnsi"/>
                <w:b/>
                <w:sz w:val="24"/>
                <w:szCs w:val="24"/>
              </w:rPr>
              <w:t>£743,000</w:t>
            </w:r>
          </w:p>
        </w:tc>
      </w:tr>
    </w:tbl>
    <w:p w14:paraId="5D68B82F" w14:textId="77777777" w:rsidR="0019280E" w:rsidRDefault="0019280E" w:rsidP="0019280E"/>
    <w:p w14:paraId="2D96861E" w14:textId="5C4C6C3C" w:rsidR="0019280E" w:rsidRDefault="0019280E" w:rsidP="0019280E">
      <w:r>
        <w:t xml:space="preserve">MB advised that there had been overspends but the LA will fund these. </w:t>
      </w:r>
    </w:p>
    <w:p w14:paraId="4394EBA0" w14:textId="3AEF2519" w:rsidR="0019280E" w:rsidRDefault="0019280E" w:rsidP="0019280E">
      <w:r w:rsidRPr="0019280E">
        <w:rPr>
          <w:b/>
          <w:bCs/>
        </w:rPr>
        <w:t>Q - Governors services what is this f</w:t>
      </w:r>
      <w:r w:rsidR="00F67EC3">
        <w:rPr>
          <w:b/>
          <w:bCs/>
        </w:rPr>
        <w:t>or</w:t>
      </w:r>
      <w:r w:rsidRPr="0019280E">
        <w:rPr>
          <w:b/>
          <w:bCs/>
        </w:rPr>
        <w:t>?</w:t>
      </w:r>
      <w:r>
        <w:t xml:space="preserve"> A – </w:t>
      </w:r>
      <w:r w:rsidR="00F67EC3">
        <w:t>E</w:t>
      </w:r>
      <w:r>
        <w:t xml:space="preserve">ducation people </w:t>
      </w:r>
      <w:r w:rsidR="00F67EC3">
        <w:t xml:space="preserve">who </w:t>
      </w:r>
      <w:r>
        <w:t xml:space="preserve">provide our governors support service.  </w:t>
      </w:r>
    </w:p>
    <w:p w14:paraId="122C4D48" w14:textId="67E61734" w:rsidR="0019280E" w:rsidRPr="0019280E" w:rsidRDefault="004510BB" w:rsidP="004510BB">
      <w:pPr>
        <w:spacing w:after="0"/>
      </w:pPr>
      <w:r w:rsidRPr="001B02BF">
        <w:rPr>
          <w:rFonts w:asciiTheme="majorHAnsi" w:eastAsia="Times New Roman" w:hAnsiTheme="majorHAnsi" w:cstheme="majorHAnsi"/>
          <w:b/>
          <w:bCs/>
          <w:sz w:val="24"/>
          <w:szCs w:val="24"/>
        </w:rPr>
        <w:t>Decision -</w:t>
      </w:r>
      <w:r>
        <w:rPr>
          <w:rFonts w:eastAsia="Times New Roman" w:cstheme="minorHAnsi"/>
        </w:rPr>
        <w:t xml:space="preserve"> </w:t>
      </w:r>
      <w:r w:rsidR="0019280E" w:rsidRPr="0019280E">
        <w:rPr>
          <w:rFonts w:cstheme="minorHAnsi"/>
          <w:sz w:val="24"/>
          <w:szCs w:val="24"/>
        </w:rPr>
        <w:t xml:space="preserve">The Schools’ </w:t>
      </w:r>
      <w:r w:rsidR="0019280E" w:rsidRPr="0019280E">
        <w:rPr>
          <w:rFonts w:cstheme="minorHAnsi"/>
        </w:rPr>
        <w:t xml:space="preserve">Forum noted, commented </w:t>
      </w:r>
      <w:r w:rsidR="0019280E">
        <w:rPr>
          <w:rFonts w:cstheme="minorHAnsi"/>
        </w:rPr>
        <w:t>on this update</w:t>
      </w:r>
      <w:r>
        <w:rPr>
          <w:rFonts w:cstheme="minorHAnsi"/>
        </w:rPr>
        <w:t xml:space="preserve"> and agreed </w:t>
      </w:r>
      <w:proofErr w:type="gramStart"/>
      <w:r>
        <w:rPr>
          <w:rFonts w:cstheme="minorHAnsi"/>
        </w:rPr>
        <w:t>the overspend</w:t>
      </w:r>
      <w:proofErr w:type="gramEnd"/>
      <w:r>
        <w:rPr>
          <w:rFonts w:cstheme="minorHAnsi"/>
        </w:rPr>
        <w:t xml:space="preserve"> on the DSG would be carried forward and would have the first call on next </w:t>
      </w:r>
      <w:proofErr w:type="spellStart"/>
      <w:r>
        <w:rPr>
          <w:rFonts w:cstheme="minorHAnsi"/>
        </w:rPr>
        <w:t>years</w:t>
      </w:r>
      <w:proofErr w:type="spellEnd"/>
      <w:r>
        <w:rPr>
          <w:rFonts w:cstheme="minorHAnsi"/>
        </w:rPr>
        <w:t xml:space="preserve"> DSG.</w:t>
      </w:r>
      <w:r w:rsidR="0019280E" w:rsidRPr="0019280E">
        <w:rPr>
          <w:rFonts w:cstheme="minorHAnsi"/>
          <w:sz w:val="24"/>
          <w:szCs w:val="24"/>
        </w:rPr>
        <w:t xml:space="preserve"> </w:t>
      </w:r>
      <w:r w:rsidRPr="001B02BF">
        <w:rPr>
          <w:rFonts w:eastAsia="Times New Roman" w:cstheme="minorHAnsi"/>
          <w:sz w:val="24"/>
          <w:szCs w:val="24"/>
        </w:rPr>
        <w:t xml:space="preserve">– All voted and </w:t>
      </w:r>
      <w:bookmarkStart w:id="1" w:name="_GoBack"/>
      <w:bookmarkEnd w:id="1"/>
      <w:r w:rsidRPr="001B02BF">
        <w:rPr>
          <w:rFonts w:eastAsia="Times New Roman" w:cstheme="minorHAnsi"/>
          <w:sz w:val="24"/>
          <w:szCs w:val="24"/>
        </w:rPr>
        <w:t>agreed.</w:t>
      </w:r>
    </w:p>
    <w:p w14:paraId="5B7BADC3" w14:textId="77777777" w:rsidR="0019280E" w:rsidRPr="0019280E" w:rsidRDefault="0019280E" w:rsidP="0019280E">
      <w:pPr>
        <w:spacing w:after="0" w:line="240" w:lineRule="auto"/>
        <w:rPr>
          <w:rFonts w:cstheme="minorHAnsi"/>
          <w:b/>
          <w:bCs/>
        </w:rPr>
      </w:pPr>
    </w:p>
    <w:p w14:paraId="41405AA2" w14:textId="77777777" w:rsidR="007B1A45" w:rsidRDefault="00BA0FE8">
      <w:r>
        <w:rPr>
          <w:rStyle w:val="h4"/>
        </w:rPr>
        <w:t>6. Update on the Dedicated School grant.</w:t>
      </w:r>
    </w:p>
    <w:p w14:paraId="7AED69BC" w14:textId="036EFB2A" w:rsidR="0019280E" w:rsidRPr="00BA1944" w:rsidRDefault="0019280E" w:rsidP="0019280E">
      <w:pPr>
        <w:pStyle w:val="DfESOutNumbered"/>
        <w:numPr>
          <w:ilvl w:val="0"/>
          <w:numId w:val="0"/>
        </w:numPr>
        <w:rPr>
          <w:rFonts w:asciiTheme="minorHAnsi" w:hAnsiTheme="minorHAnsi" w:cstheme="minorHAnsi"/>
          <w:szCs w:val="24"/>
        </w:rPr>
      </w:pPr>
      <w:r w:rsidRPr="0019280E">
        <w:rPr>
          <w:rFonts w:asciiTheme="minorHAnsi" w:hAnsiTheme="minorHAnsi" w:cstheme="minorHAnsi"/>
          <w:bCs/>
          <w:sz w:val="22"/>
          <w:szCs w:val="22"/>
        </w:rPr>
        <w:t>MB presented the members with the 2019 - 2020 DSG Allocation</w:t>
      </w:r>
      <w:r>
        <w:rPr>
          <w:rFonts w:asciiTheme="minorHAnsi" w:hAnsiTheme="minorHAnsi" w:cstheme="minorHAnsi"/>
          <w:bCs/>
          <w:sz w:val="22"/>
          <w:szCs w:val="22"/>
        </w:rPr>
        <w:t xml:space="preserve">s explaining that </w:t>
      </w:r>
      <w:r w:rsidRPr="0019280E">
        <w:rPr>
          <w:rFonts w:asciiTheme="minorHAnsi" w:hAnsiTheme="minorHAnsi" w:cstheme="minorHAnsi"/>
          <w:bCs/>
          <w:szCs w:val="24"/>
        </w:rPr>
        <w:t xml:space="preserve">the </w:t>
      </w:r>
      <w:r w:rsidRPr="0019280E">
        <w:rPr>
          <w:rFonts w:asciiTheme="minorHAnsi" w:hAnsiTheme="minorHAnsi" w:cstheme="minorHAnsi"/>
          <w:szCs w:val="24"/>
        </w:rPr>
        <w:t>table below outline</w:t>
      </w:r>
      <w:r w:rsidR="00F67EC3">
        <w:rPr>
          <w:rFonts w:asciiTheme="minorHAnsi" w:hAnsiTheme="minorHAnsi" w:cstheme="minorHAnsi"/>
          <w:szCs w:val="24"/>
        </w:rPr>
        <w:t>s</w:t>
      </w:r>
      <w:r w:rsidRPr="0019280E">
        <w:rPr>
          <w:rFonts w:asciiTheme="minorHAnsi" w:hAnsiTheme="minorHAnsi" w:cstheme="minorHAnsi"/>
          <w:szCs w:val="24"/>
        </w:rPr>
        <w:t xml:space="preserve"> the changes to Medway’s DSG allocation by the ESFA in November 2019.</w:t>
      </w:r>
      <w:r w:rsidRPr="00BA1944">
        <w:rPr>
          <w:rFonts w:asciiTheme="minorHAnsi" w:hAnsiTheme="minorHAnsi" w:cstheme="minorHAnsi"/>
          <w:szCs w:val="24"/>
        </w:rPr>
        <w:t xml:space="preserve"> </w:t>
      </w:r>
    </w:p>
    <w:p w14:paraId="00FE3C39" w14:textId="77777777" w:rsidR="0019280E" w:rsidRPr="00BA1944" w:rsidRDefault="0019280E" w:rsidP="0019280E">
      <w:pPr>
        <w:pStyle w:val="ListParagraph"/>
        <w:numPr>
          <w:ilvl w:val="0"/>
          <w:numId w:val="11"/>
        </w:numPr>
        <w:spacing w:after="120" w:line="240" w:lineRule="auto"/>
        <w:ind w:left="1134"/>
        <w:contextualSpacing w:val="0"/>
        <w:rPr>
          <w:rFonts w:cstheme="minorHAnsi"/>
          <w:sz w:val="24"/>
          <w:szCs w:val="24"/>
        </w:rPr>
      </w:pPr>
      <w:r w:rsidRPr="00BA1944">
        <w:rPr>
          <w:rFonts w:cstheme="minorHAnsi"/>
          <w:sz w:val="24"/>
          <w:szCs w:val="24"/>
        </w:rPr>
        <w:t>Table 1 outlines the allocations before academy deductions.</w:t>
      </w:r>
    </w:p>
    <w:p w14:paraId="345911FA" w14:textId="77777777" w:rsidR="0019280E" w:rsidRPr="00BA1944" w:rsidRDefault="0019280E" w:rsidP="0019280E">
      <w:pPr>
        <w:pStyle w:val="ListParagraph"/>
        <w:numPr>
          <w:ilvl w:val="0"/>
          <w:numId w:val="11"/>
        </w:numPr>
        <w:spacing w:after="120" w:line="240" w:lineRule="auto"/>
        <w:ind w:left="1134"/>
        <w:contextualSpacing w:val="0"/>
        <w:rPr>
          <w:rFonts w:cstheme="minorHAnsi"/>
          <w:sz w:val="24"/>
          <w:szCs w:val="24"/>
        </w:rPr>
      </w:pPr>
      <w:r w:rsidRPr="00BA1944">
        <w:rPr>
          <w:rFonts w:cstheme="minorHAnsi"/>
          <w:sz w:val="24"/>
          <w:szCs w:val="24"/>
        </w:rPr>
        <w:t>Table 2 outlines the LA’s retained allocation after academy deductions.</w:t>
      </w:r>
    </w:p>
    <w:p w14:paraId="5813714C" w14:textId="77777777" w:rsidR="0019280E" w:rsidRPr="00BA1944" w:rsidRDefault="0019280E" w:rsidP="0019280E">
      <w:pPr>
        <w:pStyle w:val="ListParagraph"/>
        <w:spacing w:after="120"/>
        <w:rPr>
          <w:rFonts w:cstheme="minorHAnsi"/>
          <w:sz w:val="24"/>
          <w:szCs w:val="24"/>
        </w:rPr>
      </w:pPr>
    </w:p>
    <w:p w14:paraId="7CEE4EE7" w14:textId="77777777" w:rsidR="0019280E" w:rsidRPr="00BA1944" w:rsidRDefault="0019280E" w:rsidP="0019280E">
      <w:pPr>
        <w:spacing w:after="120"/>
        <w:ind w:left="567"/>
        <w:rPr>
          <w:rFonts w:cstheme="minorHAnsi"/>
          <w:b/>
          <w:sz w:val="24"/>
          <w:szCs w:val="24"/>
          <w:u w:val="single"/>
        </w:rPr>
      </w:pPr>
      <w:r w:rsidRPr="00BA1944">
        <w:rPr>
          <w:rFonts w:cstheme="minorHAnsi"/>
          <w:b/>
          <w:sz w:val="24"/>
          <w:szCs w:val="24"/>
          <w:u w:val="single"/>
        </w:rPr>
        <w:t>Table 1 - 2019-2020 DSG Allocation before</w:t>
      </w:r>
      <w:r w:rsidRPr="00BA1944">
        <w:rPr>
          <w:rFonts w:cstheme="minorHAnsi"/>
          <w:sz w:val="24"/>
          <w:szCs w:val="24"/>
          <w:u w:val="single"/>
        </w:rPr>
        <w:t xml:space="preserve"> </w:t>
      </w:r>
      <w:r w:rsidRPr="00BA1944">
        <w:rPr>
          <w:rFonts w:cstheme="minorHAnsi"/>
          <w:b/>
          <w:sz w:val="24"/>
          <w:szCs w:val="24"/>
          <w:u w:val="single"/>
        </w:rPr>
        <w:t>academy deductions.</w:t>
      </w:r>
    </w:p>
    <w:tbl>
      <w:tblPr>
        <w:tblStyle w:val="TableGrid1"/>
        <w:tblW w:w="8726" w:type="dxa"/>
        <w:tblInd w:w="576" w:type="dxa"/>
        <w:tblLook w:val="04A0" w:firstRow="1" w:lastRow="0" w:firstColumn="1" w:lastColumn="0" w:noHBand="0" w:noVBand="1"/>
      </w:tblPr>
      <w:tblGrid>
        <w:gridCol w:w="2919"/>
        <w:gridCol w:w="1529"/>
        <w:gridCol w:w="1502"/>
        <w:gridCol w:w="1388"/>
        <w:gridCol w:w="1388"/>
      </w:tblGrid>
      <w:tr w:rsidR="0019280E" w:rsidRPr="00BA1944" w14:paraId="16134024" w14:textId="77777777" w:rsidTr="006A624B">
        <w:trPr>
          <w:trHeight w:val="961"/>
        </w:trPr>
        <w:tc>
          <w:tcPr>
            <w:tcW w:w="2919" w:type="dxa"/>
          </w:tcPr>
          <w:p w14:paraId="5D55F7CA" w14:textId="77777777" w:rsidR="0019280E" w:rsidRPr="00BA1944" w:rsidRDefault="0019280E" w:rsidP="006A624B">
            <w:pPr>
              <w:spacing w:after="120"/>
              <w:rPr>
                <w:rFonts w:cstheme="minorHAnsi"/>
                <w:b/>
                <w:sz w:val="24"/>
                <w:szCs w:val="24"/>
              </w:rPr>
            </w:pPr>
          </w:p>
        </w:tc>
        <w:tc>
          <w:tcPr>
            <w:tcW w:w="1529" w:type="dxa"/>
            <w:vAlign w:val="center"/>
          </w:tcPr>
          <w:p w14:paraId="460FF499"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Initial Allocation</w:t>
            </w:r>
          </w:p>
          <w:p w14:paraId="6D2760DB"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w:t>
            </w:r>
          </w:p>
        </w:tc>
        <w:tc>
          <w:tcPr>
            <w:tcW w:w="1502" w:type="dxa"/>
            <w:vAlign w:val="center"/>
          </w:tcPr>
          <w:p w14:paraId="1ABB9225"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May</w:t>
            </w:r>
          </w:p>
          <w:p w14:paraId="28E24E2A"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Allocation</w:t>
            </w:r>
          </w:p>
          <w:p w14:paraId="0CDD67FE"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w:t>
            </w:r>
          </w:p>
        </w:tc>
        <w:tc>
          <w:tcPr>
            <w:tcW w:w="1388" w:type="dxa"/>
          </w:tcPr>
          <w:p w14:paraId="24EB40BC"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November</w:t>
            </w:r>
          </w:p>
          <w:p w14:paraId="701F2E62"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Allocation</w:t>
            </w:r>
          </w:p>
          <w:p w14:paraId="77434761"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w:t>
            </w:r>
          </w:p>
        </w:tc>
        <w:tc>
          <w:tcPr>
            <w:tcW w:w="1388" w:type="dxa"/>
            <w:vAlign w:val="center"/>
          </w:tcPr>
          <w:p w14:paraId="6B165616"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Adjustment</w:t>
            </w:r>
          </w:p>
          <w:p w14:paraId="52F181F4"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w:t>
            </w:r>
          </w:p>
        </w:tc>
      </w:tr>
      <w:tr w:rsidR="0019280E" w:rsidRPr="00BA1944" w14:paraId="78511E36" w14:textId="77777777" w:rsidTr="006A624B">
        <w:trPr>
          <w:trHeight w:val="377"/>
        </w:trPr>
        <w:tc>
          <w:tcPr>
            <w:tcW w:w="2919" w:type="dxa"/>
          </w:tcPr>
          <w:p w14:paraId="7B905807" w14:textId="77777777" w:rsidR="0019280E" w:rsidRPr="00BA1944" w:rsidRDefault="0019280E" w:rsidP="006A624B">
            <w:pPr>
              <w:spacing w:after="120"/>
              <w:rPr>
                <w:rFonts w:cstheme="minorHAnsi"/>
                <w:sz w:val="24"/>
                <w:szCs w:val="24"/>
              </w:rPr>
            </w:pPr>
            <w:r w:rsidRPr="00BA1944">
              <w:rPr>
                <w:rFonts w:cstheme="minorHAnsi"/>
                <w:sz w:val="24"/>
                <w:szCs w:val="24"/>
              </w:rPr>
              <w:t>Schools Block</w:t>
            </w:r>
          </w:p>
        </w:tc>
        <w:tc>
          <w:tcPr>
            <w:tcW w:w="1529" w:type="dxa"/>
          </w:tcPr>
          <w:p w14:paraId="6B8DF229" w14:textId="77777777" w:rsidR="0019280E" w:rsidRPr="00BA1944" w:rsidRDefault="0019280E" w:rsidP="006A624B">
            <w:pPr>
              <w:spacing w:after="120"/>
              <w:jc w:val="right"/>
              <w:rPr>
                <w:rFonts w:cstheme="minorHAnsi"/>
                <w:sz w:val="24"/>
                <w:szCs w:val="24"/>
              </w:rPr>
            </w:pPr>
            <w:r w:rsidRPr="00BA1944">
              <w:rPr>
                <w:rFonts w:cstheme="minorHAnsi"/>
                <w:sz w:val="24"/>
                <w:szCs w:val="24"/>
              </w:rPr>
              <w:t>179.530</w:t>
            </w:r>
          </w:p>
        </w:tc>
        <w:tc>
          <w:tcPr>
            <w:tcW w:w="1502" w:type="dxa"/>
          </w:tcPr>
          <w:p w14:paraId="3F900535" w14:textId="77777777" w:rsidR="0019280E" w:rsidRPr="00BA1944" w:rsidRDefault="0019280E" w:rsidP="006A624B">
            <w:pPr>
              <w:spacing w:after="120"/>
              <w:jc w:val="right"/>
              <w:rPr>
                <w:rFonts w:cstheme="minorHAnsi"/>
                <w:sz w:val="24"/>
                <w:szCs w:val="24"/>
              </w:rPr>
            </w:pPr>
            <w:r w:rsidRPr="00BA1944">
              <w:rPr>
                <w:rFonts w:cstheme="minorHAnsi"/>
                <w:sz w:val="24"/>
                <w:szCs w:val="24"/>
              </w:rPr>
              <w:t>179.530</w:t>
            </w:r>
          </w:p>
        </w:tc>
        <w:tc>
          <w:tcPr>
            <w:tcW w:w="1388" w:type="dxa"/>
          </w:tcPr>
          <w:p w14:paraId="132494E7" w14:textId="77777777" w:rsidR="0019280E" w:rsidRPr="00BA1944" w:rsidRDefault="0019280E" w:rsidP="006A624B">
            <w:pPr>
              <w:spacing w:after="120"/>
              <w:jc w:val="right"/>
              <w:rPr>
                <w:rFonts w:cstheme="minorHAnsi"/>
                <w:sz w:val="24"/>
                <w:szCs w:val="24"/>
              </w:rPr>
            </w:pPr>
            <w:r w:rsidRPr="00BA1944">
              <w:rPr>
                <w:rFonts w:cstheme="minorHAnsi"/>
                <w:sz w:val="24"/>
                <w:szCs w:val="24"/>
              </w:rPr>
              <w:t>179.530</w:t>
            </w:r>
          </w:p>
        </w:tc>
        <w:tc>
          <w:tcPr>
            <w:tcW w:w="1388" w:type="dxa"/>
          </w:tcPr>
          <w:p w14:paraId="7D7122CD" w14:textId="77777777" w:rsidR="0019280E" w:rsidRPr="00BA1944" w:rsidRDefault="0019280E" w:rsidP="006A624B">
            <w:pPr>
              <w:spacing w:after="120"/>
              <w:jc w:val="right"/>
              <w:rPr>
                <w:rFonts w:cstheme="minorHAnsi"/>
                <w:sz w:val="24"/>
                <w:szCs w:val="24"/>
              </w:rPr>
            </w:pPr>
            <w:r w:rsidRPr="00BA1944">
              <w:rPr>
                <w:rFonts w:cstheme="minorHAnsi"/>
                <w:sz w:val="24"/>
                <w:szCs w:val="24"/>
              </w:rPr>
              <w:t>0</w:t>
            </w:r>
          </w:p>
        </w:tc>
      </w:tr>
      <w:tr w:rsidR="0019280E" w:rsidRPr="00BA1944" w14:paraId="3450FD13" w14:textId="77777777" w:rsidTr="006A624B">
        <w:trPr>
          <w:trHeight w:val="396"/>
        </w:trPr>
        <w:tc>
          <w:tcPr>
            <w:tcW w:w="2919" w:type="dxa"/>
          </w:tcPr>
          <w:p w14:paraId="5B00F4AD" w14:textId="77777777" w:rsidR="0019280E" w:rsidRPr="00BA1944" w:rsidRDefault="0019280E" w:rsidP="006A624B">
            <w:pPr>
              <w:spacing w:after="120"/>
              <w:rPr>
                <w:rFonts w:cstheme="minorHAnsi"/>
                <w:sz w:val="24"/>
                <w:szCs w:val="24"/>
              </w:rPr>
            </w:pPr>
            <w:r w:rsidRPr="00BA1944">
              <w:rPr>
                <w:rFonts w:cstheme="minorHAnsi"/>
                <w:sz w:val="24"/>
                <w:szCs w:val="24"/>
              </w:rPr>
              <w:t>High Needs Block</w:t>
            </w:r>
          </w:p>
        </w:tc>
        <w:tc>
          <w:tcPr>
            <w:tcW w:w="1529" w:type="dxa"/>
          </w:tcPr>
          <w:p w14:paraId="4EB782D0" w14:textId="77777777" w:rsidR="0019280E" w:rsidRPr="00BA1944" w:rsidRDefault="0019280E" w:rsidP="006A624B">
            <w:pPr>
              <w:spacing w:after="120"/>
              <w:jc w:val="right"/>
              <w:rPr>
                <w:rFonts w:cstheme="minorHAnsi"/>
                <w:sz w:val="24"/>
                <w:szCs w:val="24"/>
              </w:rPr>
            </w:pPr>
            <w:r w:rsidRPr="00BA1944">
              <w:rPr>
                <w:rFonts w:cstheme="minorHAnsi"/>
                <w:sz w:val="24"/>
                <w:szCs w:val="24"/>
              </w:rPr>
              <w:t>37.992</w:t>
            </w:r>
          </w:p>
        </w:tc>
        <w:tc>
          <w:tcPr>
            <w:tcW w:w="1502" w:type="dxa"/>
          </w:tcPr>
          <w:p w14:paraId="712249F7" w14:textId="77777777" w:rsidR="0019280E" w:rsidRPr="00BA1944" w:rsidRDefault="0019280E" w:rsidP="006A624B">
            <w:pPr>
              <w:spacing w:after="120"/>
              <w:jc w:val="right"/>
              <w:rPr>
                <w:rFonts w:cstheme="minorHAnsi"/>
                <w:sz w:val="24"/>
                <w:szCs w:val="24"/>
              </w:rPr>
            </w:pPr>
            <w:r w:rsidRPr="00BA1944">
              <w:rPr>
                <w:rFonts w:cstheme="minorHAnsi"/>
                <w:sz w:val="24"/>
                <w:szCs w:val="24"/>
              </w:rPr>
              <w:t>38.220</w:t>
            </w:r>
          </w:p>
        </w:tc>
        <w:tc>
          <w:tcPr>
            <w:tcW w:w="1388" w:type="dxa"/>
          </w:tcPr>
          <w:p w14:paraId="4B7C71DB" w14:textId="77777777" w:rsidR="0019280E" w:rsidRPr="00BA1944" w:rsidRDefault="0019280E" w:rsidP="006A624B">
            <w:pPr>
              <w:spacing w:after="120"/>
              <w:jc w:val="right"/>
              <w:rPr>
                <w:rFonts w:cstheme="minorHAnsi"/>
                <w:sz w:val="24"/>
                <w:szCs w:val="24"/>
              </w:rPr>
            </w:pPr>
            <w:r w:rsidRPr="00BA1944">
              <w:rPr>
                <w:rFonts w:cstheme="minorHAnsi"/>
                <w:sz w:val="24"/>
                <w:szCs w:val="24"/>
              </w:rPr>
              <w:t>38.220</w:t>
            </w:r>
          </w:p>
        </w:tc>
        <w:tc>
          <w:tcPr>
            <w:tcW w:w="1388" w:type="dxa"/>
          </w:tcPr>
          <w:p w14:paraId="0028B268" w14:textId="77777777" w:rsidR="0019280E" w:rsidRPr="00BA1944" w:rsidRDefault="0019280E" w:rsidP="006A624B">
            <w:pPr>
              <w:spacing w:after="120"/>
              <w:jc w:val="right"/>
              <w:rPr>
                <w:rFonts w:cstheme="minorHAnsi"/>
                <w:sz w:val="24"/>
                <w:szCs w:val="24"/>
              </w:rPr>
            </w:pPr>
            <w:r w:rsidRPr="00BA1944">
              <w:rPr>
                <w:rFonts w:cstheme="minorHAnsi"/>
                <w:sz w:val="24"/>
                <w:szCs w:val="24"/>
              </w:rPr>
              <w:t>0</w:t>
            </w:r>
          </w:p>
        </w:tc>
      </w:tr>
      <w:tr w:rsidR="0019280E" w:rsidRPr="00BA1944" w14:paraId="7AEA44C5" w14:textId="77777777" w:rsidTr="006A624B">
        <w:trPr>
          <w:trHeight w:val="396"/>
        </w:trPr>
        <w:tc>
          <w:tcPr>
            <w:tcW w:w="2919" w:type="dxa"/>
          </w:tcPr>
          <w:p w14:paraId="22098BB6" w14:textId="77777777" w:rsidR="0019280E" w:rsidRPr="00BA1944" w:rsidRDefault="0019280E" w:rsidP="006A624B">
            <w:pPr>
              <w:spacing w:after="120"/>
              <w:rPr>
                <w:rFonts w:cstheme="minorHAnsi"/>
                <w:sz w:val="24"/>
                <w:szCs w:val="24"/>
              </w:rPr>
            </w:pPr>
            <w:r w:rsidRPr="00BA1944">
              <w:rPr>
                <w:rFonts w:cstheme="minorHAnsi"/>
                <w:sz w:val="24"/>
                <w:szCs w:val="24"/>
              </w:rPr>
              <w:t>Early Years Block</w:t>
            </w:r>
          </w:p>
        </w:tc>
        <w:tc>
          <w:tcPr>
            <w:tcW w:w="1529" w:type="dxa"/>
          </w:tcPr>
          <w:p w14:paraId="634183C1" w14:textId="77777777" w:rsidR="0019280E" w:rsidRPr="00BA1944" w:rsidRDefault="0019280E" w:rsidP="006A624B">
            <w:pPr>
              <w:spacing w:after="120"/>
              <w:jc w:val="right"/>
              <w:rPr>
                <w:rFonts w:cstheme="minorHAnsi"/>
                <w:sz w:val="24"/>
                <w:szCs w:val="24"/>
              </w:rPr>
            </w:pPr>
            <w:r w:rsidRPr="00BA1944">
              <w:rPr>
                <w:rFonts w:cstheme="minorHAnsi"/>
                <w:sz w:val="24"/>
                <w:szCs w:val="24"/>
              </w:rPr>
              <w:t>17.023</w:t>
            </w:r>
          </w:p>
        </w:tc>
        <w:tc>
          <w:tcPr>
            <w:tcW w:w="1502" w:type="dxa"/>
          </w:tcPr>
          <w:p w14:paraId="63687D9F" w14:textId="77777777" w:rsidR="0019280E" w:rsidRPr="00BA1944" w:rsidRDefault="0019280E" w:rsidP="006A624B">
            <w:pPr>
              <w:spacing w:after="120"/>
              <w:jc w:val="right"/>
              <w:rPr>
                <w:rFonts w:cstheme="minorHAnsi"/>
                <w:sz w:val="24"/>
                <w:szCs w:val="24"/>
              </w:rPr>
            </w:pPr>
            <w:r w:rsidRPr="00BA1944">
              <w:rPr>
                <w:rFonts w:cstheme="minorHAnsi"/>
                <w:sz w:val="24"/>
                <w:szCs w:val="24"/>
              </w:rPr>
              <w:t>17.023</w:t>
            </w:r>
          </w:p>
        </w:tc>
        <w:tc>
          <w:tcPr>
            <w:tcW w:w="1388" w:type="dxa"/>
          </w:tcPr>
          <w:p w14:paraId="3AA815ED" w14:textId="77777777" w:rsidR="0019280E" w:rsidRPr="00BA1944" w:rsidRDefault="0019280E" w:rsidP="006A624B">
            <w:pPr>
              <w:spacing w:after="120"/>
              <w:jc w:val="right"/>
              <w:rPr>
                <w:rFonts w:cstheme="minorHAnsi"/>
                <w:sz w:val="24"/>
                <w:szCs w:val="24"/>
              </w:rPr>
            </w:pPr>
            <w:r w:rsidRPr="00BA1944">
              <w:rPr>
                <w:rFonts w:cstheme="minorHAnsi"/>
                <w:sz w:val="24"/>
                <w:szCs w:val="24"/>
              </w:rPr>
              <w:t>17.224</w:t>
            </w:r>
          </w:p>
        </w:tc>
        <w:tc>
          <w:tcPr>
            <w:tcW w:w="1388" w:type="dxa"/>
          </w:tcPr>
          <w:p w14:paraId="5D5E04C8" w14:textId="77777777" w:rsidR="0019280E" w:rsidRPr="00BA1944" w:rsidRDefault="0019280E" w:rsidP="006A624B">
            <w:pPr>
              <w:spacing w:after="120"/>
              <w:jc w:val="right"/>
              <w:rPr>
                <w:rFonts w:cstheme="minorHAnsi"/>
                <w:sz w:val="24"/>
                <w:szCs w:val="24"/>
              </w:rPr>
            </w:pPr>
            <w:r w:rsidRPr="00BA1944">
              <w:rPr>
                <w:rFonts w:cstheme="minorHAnsi"/>
                <w:sz w:val="24"/>
                <w:szCs w:val="24"/>
              </w:rPr>
              <w:t>0</w:t>
            </w:r>
          </w:p>
        </w:tc>
      </w:tr>
      <w:tr w:rsidR="0019280E" w:rsidRPr="00BA1944" w14:paraId="2E46823F" w14:textId="77777777" w:rsidTr="006A624B">
        <w:trPr>
          <w:trHeight w:val="396"/>
        </w:trPr>
        <w:tc>
          <w:tcPr>
            <w:tcW w:w="2919" w:type="dxa"/>
          </w:tcPr>
          <w:p w14:paraId="085D2AC9" w14:textId="77777777" w:rsidR="0019280E" w:rsidRPr="00BA1944" w:rsidRDefault="0019280E" w:rsidP="006A624B">
            <w:pPr>
              <w:spacing w:after="120"/>
              <w:rPr>
                <w:rFonts w:cstheme="minorHAnsi"/>
                <w:sz w:val="24"/>
                <w:szCs w:val="24"/>
              </w:rPr>
            </w:pPr>
            <w:r w:rsidRPr="00BA1944">
              <w:rPr>
                <w:rFonts w:cstheme="minorHAnsi"/>
                <w:sz w:val="24"/>
                <w:szCs w:val="24"/>
              </w:rPr>
              <w:t>CSSB</w:t>
            </w:r>
          </w:p>
        </w:tc>
        <w:tc>
          <w:tcPr>
            <w:tcW w:w="1529" w:type="dxa"/>
          </w:tcPr>
          <w:p w14:paraId="793F262D" w14:textId="77777777" w:rsidR="0019280E" w:rsidRPr="00BA1944" w:rsidRDefault="0019280E" w:rsidP="006A624B">
            <w:pPr>
              <w:spacing w:after="120"/>
              <w:jc w:val="right"/>
              <w:rPr>
                <w:rFonts w:cstheme="minorHAnsi"/>
                <w:sz w:val="24"/>
                <w:szCs w:val="24"/>
              </w:rPr>
            </w:pPr>
            <w:r w:rsidRPr="00BA1944">
              <w:rPr>
                <w:rFonts w:cstheme="minorHAnsi"/>
                <w:sz w:val="24"/>
                <w:szCs w:val="24"/>
              </w:rPr>
              <w:t>0.743</w:t>
            </w:r>
          </w:p>
        </w:tc>
        <w:tc>
          <w:tcPr>
            <w:tcW w:w="1502" w:type="dxa"/>
          </w:tcPr>
          <w:p w14:paraId="06A87F4B" w14:textId="77777777" w:rsidR="0019280E" w:rsidRPr="00BA1944" w:rsidRDefault="0019280E" w:rsidP="006A624B">
            <w:pPr>
              <w:spacing w:after="120"/>
              <w:jc w:val="right"/>
              <w:rPr>
                <w:rFonts w:cstheme="minorHAnsi"/>
                <w:sz w:val="24"/>
                <w:szCs w:val="24"/>
              </w:rPr>
            </w:pPr>
            <w:r w:rsidRPr="00BA1944">
              <w:rPr>
                <w:rFonts w:cstheme="minorHAnsi"/>
                <w:sz w:val="24"/>
                <w:szCs w:val="24"/>
              </w:rPr>
              <w:t>0.743</w:t>
            </w:r>
          </w:p>
        </w:tc>
        <w:tc>
          <w:tcPr>
            <w:tcW w:w="1388" w:type="dxa"/>
          </w:tcPr>
          <w:p w14:paraId="092805F0" w14:textId="77777777" w:rsidR="0019280E" w:rsidRPr="00BA1944" w:rsidRDefault="0019280E" w:rsidP="006A624B">
            <w:pPr>
              <w:spacing w:after="120"/>
              <w:jc w:val="right"/>
              <w:rPr>
                <w:rFonts w:cstheme="minorHAnsi"/>
                <w:sz w:val="24"/>
                <w:szCs w:val="24"/>
              </w:rPr>
            </w:pPr>
            <w:r w:rsidRPr="00BA1944">
              <w:rPr>
                <w:rFonts w:cstheme="minorHAnsi"/>
                <w:sz w:val="24"/>
                <w:szCs w:val="24"/>
              </w:rPr>
              <w:t>0.743</w:t>
            </w:r>
          </w:p>
        </w:tc>
        <w:tc>
          <w:tcPr>
            <w:tcW w:w="1388" w:type="dxa"/>
          </w:tcPr>
          <w:p w14:paraId="5F7889AC" w14:textId="77777777" w:rsidR="0019280E" w:rsidRPr="00BA1944" w:rsidRDefault="0019280E" w:rsidP="006A624B">
            <w:pPr>
              <w:spacing w:after="120"/>
              <w:jc w:val="right"/>
              <w:rPr>
                <w:rFonts w:cstheme="minorHAnsi"/>
                <w:sz w:val="24"/>
                <w:szCs w:val="24"/>
              </w:rPr>
            </w:pPr>
            <w:r w:rsidRPr="00BA1944">
              <w:rPr>
                <w:rFonts w:cstheme="minorHAnsi"/>
                <w:sz w:val="24"/>
                <w:szCs w:val="24"/>
              </w:rPr>
              <w:t>0</w:t>
            </w:r>
          </w:p>
        </w:tc>
      </w:tr>
      <w:tr w:rsidR="0019280E" w:rsidRPr="00BA1944" w14:paraId="406F18F9" w14:textId="77777777" w:rsidTr="006A624B">
        <w:trPr>
          <w:trHeight w:val="396"/>
        </w:trPr>
        <w:tc>
          <w:tcPr>
            <w:tcW w:w="2919" w:type="dxa"/>
          </w:tcPr>
          <w:p w14:paraId="61FF80E7" w14:textId="77777777" w:rsidR="0019280E" w:rsidRPr="00BA1944" w:rsidRDefault="0019280E" w:rsidP="006A624B">
            <w:pPr>
              <w:spacing w:after="120"/>
              <w:rPr>
                <w:rFonts w:cstheme="minorHAnsi"/>
                <w:b/>
                <w:sz w:val="24"/>
                <w:szCs w:val="24"/>
              </w:rPr>
            </w:pPr>
            <w:r w:rsidRPr="00BA1944">
              <w:rPr>
                <w:rFonts w:cstheme="minorHAnsi"/>
                <w:b/>
                <w:sz w:val="24"/>
                <w:szCs w:val="24"/>
              </w:rPr>
              <w:t>Total</w:t>
            </w:r>
          </w:p>
        </w:tc>
        <w:tc>
          <w:tcPr>
            <w:tcW w:w="1529" w:type="dxa"/>
          </w:tcPr>
          <w:p w14:paraId="22010BD7" w14:textId="77777777" w:rsidR="0019280E" w:rsidRPr="00BA1944" w:rsidRDefault="0019280E" w:rsidP="006A624B">
            <w:pPr>
              <w:spacing w:after="120"/>
              <w:jc w:val="right"/>
              <w:rPr>
                <w:rFonts w:cstheme="minorHAnsi"/>
                <w:b/>
                <w:sz w:val="24"/>
                <w:szCs w:val="24"/>
              </w:rPr>
            </w:pPr>
            <w:r w:rsidRPr="00BA1944">
              <w:rPr>
                <w:rFonts w:cstheme="minorHAnsi"/>
                <w:b/>
                <w:sz w:val="24"/>
                <w:szCs w:val="24"/>
              </w:rPr>
              <w:t>235.289</w:t>
            </w:r>
          </w:p>
        </w:tc>
        <w:tc>
          <w:tcPr>
            <w:tcW w:w="1502" w:type="dxa"/>
          </w:tcPr>
          <w:p w14:paraId="1D2FFC7E" w14:textId="77777777" w:rsidR="0019280E" w:rsidRPr="00BA1944" w:rsidRDefault="0019280E" w:rsidP="006A624B">
            <w:pPr>
              <w:spacing w:after="120"/>
              <w:jc w:val="right"/>
              <w:rPr>
                <w:rFonts w:cstheme="minorHAnsi"/>
                <w:b/>
                <w:sz w:val="24"/>
                <w:szCs w:val="24"/>
              </w:rPr>
            </w:pPr>
            <w:r w:rsidRPr="00BA1944">
              <w:rPr>
                <w:rFonts w:cstheme="minorHAnsi"/>
                <w:b/>
                <w:sz w:val="24"/>
                <w:szCs w:val="24"/>
              </w:rPr>
              <w:t>235.717</w:t>
            </w:r>
          </w:p>
        </w:tc>
        <w:tc>
          <w:tcPr>
            <w:tcW w:w="1388" w:type="dxa"/>
          </w:tcPr>
          <w:p w14:paraId="54F628E4" w14:textId="77777777" w:rsidR="0019280E" w:rsidRPr="00BA1944" w:rsidRDefault="0019280E" w:rsidP="006A624B">
            <w:pPr>
              <w:spacing w:after="120"/>
              <w:jc w:val="right"/>
              <w:rPr>
                <w:rFonts w:cstheme="minorHAnsi"/>
                <w:b/>
                <w:sz w:val="24"/>
                <w:szCs w:val="24"/>
              </w:rPr>
            </w:pPr>
            <w:r w:rsidRPr="00BA1944">
              <w:rPr>
                <w:rFonts w:cstheme="minorHAnsi"/>
                <w:b/>
                <w:sz w:val="24"/>
                <w:szCs w:val="24"/>
              </w:rPr>
              <w:t>235.717</w:t>
            </w:r>
          </w:p>
        </w:tc>
        <w:tc>
          <w:tcPr>
            <w:tcW w:w="1388" w:type="dxa"/>
          </w:tcPr>
          <w:p w14:paraId="028B98BC" w14:textId="77777777" w:rsidR="0019280E" w:rsidRPr="00BA1944" w:rsidRDefault="0019280E" w:rsidP="006A624B">
            <w:pPr>
              <w:spacing w:after="120"/>
              <w:jc w:val="right"/>
              <w:rPr>
                <w:rFonts w:cstheme="minorHAnsi"/>
                <w:b/>
                <w:sz w:val="24"/>
                <w:szCs w:val="24"/>
              </w:rPr>
            </w:pPr>
            <w:r w:rsidRPr="00BA1944">
              <w:rPr>
                <w:rFonts w:cstheme="minorHAnsi"/>
                <w:b/>
                <w:sz w:val="24"/>
                <w:szCs w:val="24"/>
              </w:rPr>
              <w:t>0</w:t>
            </w:r>
          </w:p>
        </w:tc>
      </w:tr>
    </w:tbl>
    <w:p w14:paraId="011DD68A" w14:textId="77777777" w:rsidR="0019280E" w:rsidRPr="00BA1944" w:rsidRDefault="0019280E" w:rsidP="0019280E">
      <w:pPr>
        <w:spacing w:after="120"/>
        <w:rPr>
          <w:rFonts w:cstheme="minorHAnsi"/>
          <w:sz w:val="24"/>
          <w:szCs w:val="24"/>
        </w:rPr>
      </w:pPr>
    </w:p>
    <w:p w14:paraId="70BC1A96" w14:textId="0B5B3BF7" w:rsidR="0019280E" w:rsidRDefault="0019280E" w:rsidP="0019280E">
      <w:pPr>
        <w:spacing w:after="120"/>
        <w:ind w:left="567"/>
        <w:rPr>
          <w:rFonts w:cstheme="minorHAnsi"/>
          <w:b/>
          <w:sz w:val="24"/>
          <w:szCs w:val="24"/>
          <w:u w:val="single"/>
        </w:rPr>
      </w:pPr>
    </w:p>
    <w:p w14:paraId="46182289" w14:textId="26F1B744" w:rsidR="0019280E" w:rsidRDefault="0019280E" w:rsidP="0019280E">
      <w:pPr>
        <w:spacing w:after="120"/>
        <w:ind w:left="567"/>
        <w:rPr>
          <w:rFonts w:cstheme="minorHAnsi"/>
          <w:b/>
          <w:sz w:val="24"/>
          <w:szCs w:val="24"/>
          <w:u w:val="single"/>
        </w:rPr>
      </w:pPr>
    </w:p>
    <w:p w14:paraId="221068D9" w14:textId="6A9308B3" w:rsidR="0019280E" w:rsidRDefault="0019280E" w:rsidP="0019280E">
      <w:pPr>
        <w:spacing w:after="120"/>
        <w:ind w:left="567"/>
        <w:rPr>
          <w:rFonts w:cstheme="minorHAnsi"/>
          <w:b/>
          <w:sz w:val="24"/>
          <w:szCs w:val="24"/>
          <w:u w:val="single"/>
        </w:rPr>
      </w:pPr>
    </w:p>
    <w:p w14:paraId="25C199E3" w14:textId="77777777" w:rsidR="0019280E" w:rsidRPr="00BA1944" w:rsidRDefault="0019280E" w:rsidP="0019280E">
      <w:pPr>
        <w:spacing w:after="120"/>
        <w:ind w:left="567"/>
        <w:rPr>
          <w:rFonts w:cstheme="minorHAnsi"/>
          <w:b/>
          <w:sz w:val="24"/>
          <w:szCs w:val="24"/>
          <w:u w:val="single"/>
        </w:rPr>
      </w:pPr>
    </w:p>
    <w:p w14:paraId="7B54DE02" w14:textId="77777777" w:rsidR="0019280E" w:rsidRPr="00BA1944" w:rsidRDefault="0019280E" w:rsidP="0019280E">
      <w:pPr>
        <w:spacing w:after="120"/>
        <w:ind w:left="567"/>
        <w:rPr>
          <w:rFonts w:cstheme="minorHAnsi"/>
          <w:b/>
          <w:sz w:val="24"/>
          <w:szCs w:val="24"/>
          <w:u w:val="single"/>
        </w:rPr>
      </w:pPr>
      <w:r w:rsidRPr="00BA1944">
        <w:rPr>
          <w:rFonts w:cstheme="minorHAnsi"/>
          <w:b/>
          <w:sz w:val="24"/>
          <w:szCs w:val="24"/>
          <w:u w:val="single"/>
        </w:rPr>
        <w:t>Table 2 - 2019-2020 LA retained DSG allocations after academy deductions.</w:t>
      </w:r>
    </w:p>
    <w:tbl>
      <w:tblPr>
        <w:tblStyle w:val="TableGrid1"/>
        <w:tblW w:w="8726" w:type="dxa"/>
        <w:tblInd w:w="576" w:type="dxa"/>
        <w:tblLook w:val="04A0" w:firstRow="1" w:lastRow="0" w:firstColumn="1" w:lastColumn="0" w:noHBand="0" w:noVBand="1"/>
      </w:tblPr>
      <w:tblGrid>
        <w:gridCol w:w="2919"/>
        <w:gridCol w:w="1529"/>
        <w:gridCol w:w="1502"/>
        <w:gridCol w:w="1388"/>
        <w:gridCol w:w="1388"/>
      </w:tblGrid>
      <w:tr w:rsidR="0019280E" w:rsidRPr="00BA1944" w14:paraId="42773026" w14:textId="77777777" w:rsidTr="006A624B">
        <w:trPr>
          <w:trHeight w:val="1293"/>
        </w:trPr>
        <w:tc>
          <w:tcPr>
            <w:tcW w:w="2919" w:type="dxa"/>
          </w:tcPr>
          <w:p w14:paraId="01D5DF4D" w14:textId="77777777" w:rsidR="0019280E" w:rsidRPr="00BA1944" w:rsidRDefault="0019280E" w:rsidP="006A624B">
            <w:pPr>
              <w:spacing w:after="120"/>
              <w:rPr>
                <w:rFonts w:cstheme="minorHAnsi"/>
                <w:b/>
                <w:sz w:val="24"/>
                <w:szCs w:val="24"/>
              </w:rPr>
            </w:pPr>
          </w:p>
        </w:tc>
        <w:tc>
          <w:tcPr>
            <w:tcW w:w="1529" w:type="dxa"/>
            <w:vAlign w:val="center"/>
          </w:tcPr>
          <w:p w14:paraId="04E44818"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Initial Allocation</w:t>
            </w:r>
          </w:p>
          <w:p w14:paraId="44AE8043"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w:t>
            </w:r>
          </w:p>
        </w:tc>
        <w:tc>
          <w:tcPr>
            <w:tcW w:w="1502" w:type="dxa"/>
            <w:vAlign w:val="center"/>
          </w:tcPr>
          <w:p w14:paraId="757B5601"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May</w:t>
            </w:r>
          </w:p>
          <w:p w14:paraId="179F66D1"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Allocation</w:t>
            </w:r>
          </w:p>
          <w:p w14:paraId="59381C8B"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w:t>
            </w:r>
          </w:p>
        </w:tc>
        <w:tc>
          <w:tcPr>
            <w:tcW w:w="1388" w:type="dxa"/>
          </w:tcPr>
          <w:p w14:paraId="58ABD850"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November</w:t>
            </w:r>
          </w:p>
          <w:p w14:paraId="53964A68"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Allocation</w:t>
            </w:r>
          </w:p>
          <w:p w14:paraId="47B14D59"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w:t>
            </w:r>
          </w:p>
        </w:tc>
        <w:tc>
          <w:tcPr>
            <w:tcW w:w="1388" w:type="dxa"/>
            <w:vAlign w:val="center"/>
          </w:tcPr>
          <w:p w14:paraId="77F139CD"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Adjustment</w:t>
            </w:r>
          </w:p>
          <w:p w14:paraId="7C4371F1" w14:textId="77777777" w:rsidR="0019280E" w:rsidRPr="00BA1944" w:rsidRDefault="0019280E" w:rsidP="006A624B">
            <w:pPr>
              <w:spacing w:after="120"/>
              <w:jc w:val="center"/>
              <w:rPr>
                <w:rFonts w:cstheme="minorHAnsi"/>
                <w:b/>
                <w:sz w:val="24"/>
                <w:szCs w:val="24"/>
              </w:rPr>
            </w:pPr>
            <w:r w:rsidRPr="00BA1944">
              <w:rPr>
                <w:rFonts w:cstheme="minorHAnsi"/>
                <w:b/>
                <w:sz w:val="24"/>
                <w:szCs w:val="24"/>
              </w:rPr>
              <w:t>£m</w:t>
            </w:r>
          </w:p>
        </w:tc>
      </w:tr>
      <w:tr w:rsidR="0019280E" w:rsidRPr="00BA1944" w14:paraId="6B4CF386" w14:textId="77777777" w:rsidTr="006A624B">
        <w:trPr>
          <w:trHeight w:val="377"/>
        </w:trPr>
        <w:tc>
          <w:tcPr>
            <w:tcW w:w="2919" w:type="dxa"/>
          </w:tcPr>
          <w:p w14:paraId="717EF68C" w14:textId="77777777" w:rsidR="0019280E" w:rsidRPr="00BA1944" w:rsidRDefault="0019280E" w:rsidP="006A624B">
            <w:pPr>
              <w:spacing w:after="120"/>
              <w:rPr>
                <w:rFonts w:cstheme="minorHAnsi"/>
                <w:sz w:val="24"/>
                <w:szCs w:val="24"/>
              </w:rPr>
            </w:pPr>
            <w:r w:rsidRPr="00BA1944">
              <w:rPr>
                <w:rFonts w:cstheme="minorHAnsi"/>
                <w:sz w:val="24"/>
                <w:szCs w:val="24"/>
              </w:rPr>
              <w:t>Schools Block</w:t>
            </w:r>
          </w:p>
        </w:tc>
        <w:tc>
          <w:tcPr>
            <w:tcW w:w="1529" w:type="dxa"/>
          </w:tcPr>
          <w:p w14:paraId="2EC54369" w14:textId="77777777" w:rsidR="0019280E" w:rsidRPr="00BA1944" w:rsidRDefault="0019280E" w:rsidP="006A624B">
            <w:pPr>
              <w:jc w:val="right"/>
              <w:rPr>
                <w:rFonts w:cstheme="minorHAnsi"/>
                <w:sz w:val="24"/>
                <w:szCs w:val="24"/>
              </w:rPr>
            </w:pPr>
            <w:r w:rsidRPr="00BA1944">
              <w:rPr>
                <w:rFonts w:cstheme="minorHAnsi"/>
                <w:sz w:val="24"/>
                <w:szCs w:val="24"/>
              </w:rPr>
              <w:t>179.530</w:t>
            </w:r>
          </w:p>
        </w:tc>
        <w:tc>
          <w:tcPr>
            <w:tcW w:w="1502" w:type="dxa"/>
          </w:tcPr>
          <w:p w14:paraId="60B7D202" w14:textId="77777777" w:rsidR="0019280E" w:rsidRPr="00BA1944" w:rsidRDefault="0019280E" w:rsidP="006A624B">
            <w:pPr>
              <w:spacing w:after="120"/>
              <w:jc w:val="right"/>
              <w:rPr>
                <w:rFonts w:cstheme="minorHAnsi"/>
                <w:sz w:val="24"/>
                <w:szCs w:val="24"/>
              </w:rPr>
            </w:pPr>
            <w:r w:rsidRPr="00BA1944">
              <w:rPr>
                <w:rFonts w:cstheme="minorHAnsi"/>
                <w:sz w:val="24"/>
                <w:szCs w:val="24"/>
              </w:rPr>
              <w:t>40.582</w:t>
            </w:r>
          </w:p>
        </w:tc>
        <w:tc>
          <w:tcPr>
            <w:tcW w:w="1388" w:type="dxa"/>
          </w:tcPr>
          <w:p w14:paraId="07007FC8" w14:textId="77777777" w:rsidR="0019280E" w:rsidRPr="00BA1944" w:rsidRDefault="0019280E" w:rsidP="006A624B">
            <w:pPr>
              <w:jc w:val="right"/>
              <w:rPr>
                <w:rFonts w:cstheme="minorHAnsi"/>
                <w:sz w:val="24"/>
                <w:szCs w:val="24"/>
              </w:rPr>
            </w:pPr>
            <w:r w:rsidRPr="00BA1944">
              <w:rPr>
                <w:rFonts w:cstheme="minorHAnsi"/>
                <w:sz w:val="24"/>
                <w:szCs w:val="24"/>
              </w:rPr>
              <w:t>38.940</w:t>
            </w:r>
          </w:p>
        </w:tc>
        <w:tc>
          <w:tcPr>
            <w:tcW w:w="1388" w:type="dxa"/>
          </w:tcPr>
          <w:p w14:paraId="3932C218" w14:textId="77777777" w:rsidR="0019280E" w:rsidRPr="00BA1944" w:rsidRDefault="0019280E" w:rsidP="006A624B">
            <w:pPr>
              <w:jc w:val="right"/>
              <w:rPr>
                <w:rFonts w:cstheme="minorHAnsi"/>
                <w:color w:val="FF0000"/>
                <w:sz w:val="24"/>
                <w:szCs w:val="24"/>
              </w:rPr>
            </w:pPr>
            <w:r w:rsidRPr="00BA1944">
              <w:rPr>
                <w:rFonts w:cstheme="minorHAnsi"/>
                <w:color w:val="FF0000"/>
                <w:sz w:val="24"/>
                <w:szCs w:val="24"/>
              </w:rPr>
              <w:t>(1.642)</w:t>
            </w:r>
          </w:p>
        </w:tc>
      </w:tr>
      <w:tr w:rsidR="0019280E" w:rsidRPr="00BA1944" w14:paraId="7C70F460" w14:textId="77777777" w:rsidTr="006A624B">
        <w:trPr>
          <w:trHeight w:val="396"/>
        </w:trPr>
        <w:tc>
          <w:tcPr>
            <w:tcW w:w="2919" w:type="dxa"/>
          </w:tcPr>
          <w:p w14:paraId="02274F99" w14:textId="77777777" w:rsidR="0019280E" w:rsidRPr="00BA1944" w:rsidRDefault="0019280E" w:rsidP="006A624B">
            <w:pPr>
              <w:spacing w:after="120"/>
              <w:rPr>
                <w:rFonts w:cstheme="minorHAnsi"/>
                <w:sz w:val="24"/>
                <w:szCs w:val="24"/>
              </w:rPr>
            </w:pPr>
            <w:r w:rsidRPr="00BA1944">
              <w:rPr>
                <w:rFonts w:cstheme="minorHAnsi"/>
                <w:sz w:val="24"/>
                <w:szCs w:val="24"/>
              </w:rPr>
              <w:t>High Needs Block</w:t>
            </w:r>
          </w:p>
        </w:tc>
        <w:tc>
          <w:tcPr>
            <w:tcW w:w="1529" w:type="dxa"/>
          </w:tcPr>
          <w:p w14:paraId="3925540F" w14:textId="77777777" w:rsidR="0019280E" w:rsidRPr="00BA1944" w:rsidRDefault="0019280E" w:rsidP="006A624B">
            <w:pPr>
              <w:jc w:val="right"/>
              <w:rPr>
                <w:rFonts w:cstheme="minorHAnsi"/>
                <w:sz w:val="24"/>
                <w:szCs w:val="24"/>
              </w:rPr>
            </w:pPr>
            <w:r w:rsidRPr="00BA1944">
              <w:rPr>
                <w:rFonts w:cstheme="minorHAnsi"/>
                <w:sz w:val="24"/>
                <w:szCs w:val="24"/>
              </w:rPr>
              <w:t>37.992</w:t>
            </w:r>
          </w:p>
        </w:tc>
        <w:tc>
          <w:tcPr>
            <w:tcW w:w="1502" w:type="dxa"/>
          </w:tcPr>
          <w:p w14:paraId="6816951F" w14:textId="77777777" w:rsidR="0019280E" w:rsidRPr="00BA1944" w:rsidRDefault="0019280E" w:rsidP="006A624B">
            <w:pPr>
              <w:spacing w:after="120"/>
              <w:jc w:val="right"/>
              <w:rPr>
                <w:rFonts w:cstheme="minorHAnsi"/>
                <w:sz w:val="24"/>
                <w:szCs w:val="24"/>
              </w:rPr>
            </w:pPr>
            <w:r w:rsidRPr="00BA1944">
              <w:rPr>
                <w:rFonts w:cstheme="minorHAnsi"/>
                <w:sz w:val="24"/>
                <w:szCs w:val="24"/>
              </w:rPr>
              <w:t>26.611</w:t>
            </w:r>
          </w:p>
        </w:tc>
        <w:tc>
          <w:tcPr>
            <w:tcW w:w="1388" w:type="dxa"/>
          </w:tcPr>
          <w:p w14:paraId="4563B6A7" w14:textId="77777777" w:rsidR="0019280E" w:rsidRPr="00BA1944" w:rsidRDefault="0019280E" w:rsidP="006A624B">
            <w:pPr>
              <w:jc w:val="right"/>
              <w:rPr>
                <w:rFonts w:cstheme="minorHAnsi"/>
                <w:sz w:val="24"/>
                <w:szCs w:val="24"/>
              </w:rPr>
            </w:pPr>
            <w:r w:rsidRPr="00BA1944">
              <w:rPr>
                <w:rFonts w:cstheme="minorHAnsi"/>
                <w:sz w:val="24"/>
                <w:szCs w:val="24"/>
              </w:rPr>
              <w:t>26.508</w:t>
            </w:r>
          </w:p>
        </w:tc>
        <w:tc>
          <w:tcPr>
            <w:tcW w:w="1388" w:type="dxa"/>
          </w:tcPr>
          <w:p w14:paraId="1D631031" w14:textId="77777777" w:rsidR="0019280E" w:rsidRPr="00BA1944" w:rsidRDefault="0019280E" w:rsidP="006A624B">
            <w:pPr>
              <w:jc w:val="right"/>
              <w:rPr>
                <w:rFonts w:cstheme="minorHAnsi"/>
                <w:color w:val="FF0000"/>
                <w:sz w:val="24"/>
                <w:szCs w:val="24"/>
              </w:rPr>
            </w:pPr>
            <w:r w:rsidRPr="00BA1944">
              <w:rPr>
                <w:rFonts w:cstheme="minorHAnsi"/>
                <w:color w:val="FF0000"/>
                <w:sz w:val="24"/>
                <w:szCs w:val="24"/>
              </w:rPr>
              <w:t>(0.103)</w:t>
            </w:r>
          </w:p>
        </w:tc>
      </w:tr>
      <w:tr w:rsidR="0019280E" w:rsidRPr="00BA1944" w14:paraId="1BAD6D72" w14:textId="77777777" w:rsidTr="006A624B">
        <w:trPr>
          <w:trHeight w:val="396"/>
        </w:trPr>
        <w:tc>
          <w:tcPr>
            <w:tcW w:w="2919" w:type="dxa"/>
          </w:tcPr>
          <w:p w14:paraId="145BF925" w14:textId="77777777" w:rsidR="0019280E" w:rsidRPr="00BA1944" w:rsidRDefault="0019280E" w:rsidP="006A624B">
            <w:pPr>
              <w:spacing w:after="120"/>
              <w:rPr>
                <w:rFonts w:cstheme="minorHAnsi"/>
                <w:sz w:val="24"/>
                <w:szCs w:val="24"/>
              </w:rPr>
            </w:pPr>
            <w:r w:rsidRPr="00BA1944">
              <w:rPr>
                <w:rFonts w:cstheme="minorHAnsi"/>
                <w:sz w:val="24"/>
                <w:szCs w:val="24"/>
              </w:rPr>
              <w:t>Early Years Block</w:t>
            </w:r>
          </w:p>
        </w:tc>
        <w:tc>
          <w:tcPr>
            <w:tcW w:w="1529" w:type="dxa"/>
          </w:tcPr>
          <w:p w14:paraId="2771B412" w14:textId="77777777" w:rsidR="0019280E" w:rsidRPr="00BA1944" w:rsidRDefault="0019280E" w:rsidP="006A624B">
            <w:pPr>
              <w:jc w:val="right"/>
              <w:rPr>
                <w:rFonts w:cstheme="minorHAnsi"/>
                <w:sz w:val="24"/>
                <w:szCs w:val="24"/>
              </w:rPr>
            </w:pPr>
            <w:r w:rsidRPr="00BA1944">
              <w:rPr>
                <w:rFonts w:cstheme="minorHAnsi"/>
                <w:sz w:val="24"/>
                <w:szCs w:val="24"/>
              </w:rPr>
              <w:t>17.023</w:t>
            </w:r>
          </w:p>
        </w:tc>
        <w:tc>
          <w:tcPr>
            <w:tcW w:w="1502" w:type="dxa"/>
          </w:tcPr>
          <w:p w14:paraId="5015CFC9" w14:textId="77777777" w:rsidR="0019280E" w:rsidRPr="00BA1944" w:rsidRDefault="0019280E" w:rsidP="006A624B">
            <w:pPr>
              <w:spacing w:after="120"/>
              <w:jc w:val="right"/>
              <w:rPr>
                <w:rFonts w:cstheme="minorHAnsi"/>
                <w:sz w:val="24"/>
                <w:szCs w:val="24"/>
              </w:rPr>
            </w:pPr>
            <w:r w:rsidRPr="00BA1944">
              <w:rPr>
                <w:rFonts w:cstheme="minorHAnsi"/>
                <w:sz w:val="24"/>
                <w:szCs w:val="24"/>
              </w:rPr>
              <w:t>17.023</w:t>
            </w:r>
          </w:p>
        </w:tc>
        <w:tc>
          <w:tcPr>
            <w:tcW w:w="1388" w:type="dxa"/>
          </w:tcPr>
          <w:p w14:paraId="6FD1232A" w14:textId="77777777" w:rsidR="0019280E" w:rsidRPr="00BA1944" w:rsidRDefault="0019280E" w:rsidP="006A624B">
            <w:pPr>
              <w:jc w:val="right"/>
              <w:rPr>
                <w:rFonts w:cstheme="minorHAnsi"/>
                <w:sz w:val="24"/>
                <w:szCs w:val="24"/>
              </w:rPr>
            </w:pPr>
            <w:r w:rsidRPr="00BA1944">
              <w:rPr>
                <w:rFonts w:cstheme="minorHAnsi"/>
                <w:sz w:val="24"/>
                <w:szCs w:val="24"/>
              </w:rPr>
              <w:t>17.224</w:t>
            </w:r>
          </w:p>
        </w:tc>
        <w:tc>
          <w:tcPr>
            <w:tcW w:w="1388" w:type="dxa"/>
          </w:tcPr>
          <w:p w14:paraId="453EF798" w14:textId="77777777" w:rsidR="0019280E" w:rsidRPr="00BA1944" w:rsidRDefault="0019280E" w:rsidP="006A624B">
            <w:pPr>
              <w:jc w:val="right"/>
              <w:rPr>
                <w:rFonts w:cstheme="minorHAnsi"/>
                <w:sz w:val="24"/>
                <w:szCs w:val="24"/>
              </w:rPr>
            </w:pPr>
            <w:r w:rsidRPr="00BA1944">
              <w:rPr>
                <w:rFonts w:cstheme="minorHAnsi"/>
                <w:sz w:val="24"/>
                <w:szCs w:val="24"/>
              </w:rPr>
              <w:t>0.201</w:t>
            </w:r>
          </w:p>
        </w:tc>
      </w:tr>
      <w:tr w:rsidR="0019280E" w:rsidRPr="00BA1944" w14:paraId="0D2659B3" w14:textId="77777777" w:rsidTr="006A624B">
        <w:trPr>
          <w:trHeight w:val="396"/>
        </w:trPr>
        <w:tc>
          <w:tcPr>
            <w:tcW w:w="2919" w:type="dxa"/>
          </w:tcPr>
          <w:p w14:paraId="674C5F1E" w14:textId="77777777" w:rsidR="0019280E" w:rsidRPr="00BA1944" w:rsidRDefault="0019280E" w:rsidP="006A624B">
            <w:pPr>
              <w:spacing w:after="120"/>
              <w:rPr>
                <w:rFonts w:cstheme="minorHAnsi"/>
                <w:sz w:val="24"/>
                <w:szCs w:val="24"/>
              </w:rPr>
            </w:pPr>
            <w:r w:rsidRPr="00BA1944">
              <w:rPr>
                <w:rFonts w:cstheme="minorHAnsi"/>
                <w:sz w:val="24"/>
                <w:szCs w:val="24"/>
              </w:rPr>
              <w:t>CSSB</w:t>
            </w:r>
          </w:p>
        </w:tc>
        <w:tc>
          <w:tcPr>
            <w:tcW w:w="1529" w:type="dxa"/>
          </w:tcPr>
          <w:p w14:paraId="77E9DE48" w14:textId="77777777" w:rsidR="0019280E" w:rsidRPr="00BA1944" w:rsidRDefault="0019280E" w:rsidP="006A624B">
            <w:pPr>
              <w:jc w:val="right"/>
              <w:rPr>
                <w:rFonts w:cstheme="minorHAnsi"/>
                <w:sz w:val="24"/>
                <w:szCs w:val="24"/>
              </w:rPr>
            </w:pPr>
            <w:r w:rsidRPr="00BA1944">
              <w:rPr>
                <w:rFonts w:cstheme="minorHAnsi"/>
                <w:sz w:val="24"/>
                <w:szCs w:val="24"/>
              </w:rPr>
              <w:t>0.743</w:t>
            </w:r>
          </w:p>
        </w:tc>
        <w:tc>
          <w:tcPr>
            <w:tcW w:w="1502" w:type="dxa"/>
          </w:tcPr>
          <w:p w14:paraId="62016EEF" w14:textId="77777777" w:rsidR="0019280E" w:rsidRPr="00BA1944" w:rsidRDefault="0019280E" w:rsidP="006A624B">
            <w:pPr>
              <w:spacing w:after="120"/>
              <w:jc w:val="right"/>
              <w:rPr>
                <w:rFonts w:cstheme="minorHAnsi"/>
                <w:sz w:val="24"/>
                <w:szCs w:val="24"/>
              </w:rPr>
            </w:pPr>
            <w:r w:rsidRPr="00BA1944">
              <w:rPr>
                <w:rFonts w:cstheme="minorHAnsi"/>
                <w:sz w:val="24"/>
                <w:szCs w:val="24"/>
              </w:rPr>
              <w:t>0.743</w:t>
            </w:r>
          </w:p>
        </w:tc>
        <w:tc>
          <w:tcPr>
            <w:tcW w:w="1388" w:type="dxa"/>
          </w:tcPr>
          <w:p w14:paraId="6C09AD8C" w14:textId="77777777" w:rsidR="0019280E" w:rsidRPr="00BA1944" w:rsidRDefault="0019280E" w:rsidP="006A624B">
            <w:pPr>
              <w:jc w:val="right"/>
              <w:rPr>
                <w:rFonts w:cstheme="minorHAnsi"/>
                <w:sz w:val="24"/>
                <w:szCs w:val="24"/>
              </w:rPr>
            </w:pPr>
            <w:r w:rsidRPr="00BA1944">
              <w:rPr>
                <w:rFonts w:cstheme="minorHAnsi"/>
                <w:sz w:val="24"/>
                <w:szCs w:val="24"/>
              </w:rPr>
              <w:t>0.743</w:t>
            </w:r>
          </w:p>
        </w:tc>
        <w:tc>
          <w:tcPr>
            <w:tcW w:w="1388" w:type="dxa"/>
          </w:tcPr>
          <w:p w14:paraId="4A53D52F" w14:textId="77777777" w:rsidR="0019280E" w:rsidRPr="00BA1944" w:rsidRDefault="0019280E" w:rsidP="006A624B">
            <w:pPr>
              <w:jc w:val="right"/>
              <w:rPr>
                <w:rFonts w:cstheme="minorHAnsi"/>
                <w:sz w:val="24"/>
                <w:szCs w:val="24"/>
              </w:rPr>
            </w:pPr>
            <w:r w:rsidRPr="00BA1944">
              <w:rPr>
                <w:rFonts w:cstheme="minorHAnsi"/>
                <w:sz w:val="24"/>
                <w:szCs w:val="24"/>
              </w:rPr>
              <w:t>0</w:t>
            </w:r>
          </w:p>
        </w:tc>
      </w:tr>
      <w:tr w:rsidR="0019280E" w:rsidRPr="00BA1944" w14:paraId="455904BF" w14:textId="77777777" w:rsidTr="006A624B">
        <w:trPr>
          <w:trHeight w:val="396"/>
        </w:trPr>
        <w:tc>
          <w:tcPr>
            <w:tcW w:w="2919" w:type="dxa"/>
          </w:tcPr>
          <w:p w14:paraId="134BD18A" w14:textId="77777777" w:rsidR="0019280E" w:rsidRPr="00BA1944" w:rsidRDefault="0019280E" w:rsidP="006A624B">
            <w:pPr>
              <w:spacing w:after="120"/>
              <w:rPr>
                <w:rFonts w:cstheme="minorHAnsi"/>
                <w:b/>
                <w:sz w:val="24"/>
                <w:szCs w:val="24"/>
              </w:rPr>
            </w:pPr>
            <w:r w:rsidRPr="00BA1944">
              <w:rPr>
                <w:rFonts w:cstheme="minorHAnsi"/>
                <w:b/>
                <w:sz w:val="24"/>
                <w:szCs w:val="24"/>
              </w:rPr>
              <w:t>Total</w:t>
            </w:r>
          </w:p>
        </w:tc>
        <w:tc>
          <w:tcPr>
            <w:tcW w:w="1529" w:type="dxa"/>
          </w:tcPr>
          <w:p w14:paraId="5EB266BC" w14:textId="77777777" w:rsidR="0019280E" w:rsidRPr="00BA1944" w:rsidRDefault="0019280E" w:rsidP="006A624B">
            <w:pPr>
              <w:jc w:val="right"/>
              <w:rPr>
                <w:rFonts w:cstheme="minorHAnsi"/>
                <w:b/>
                <w:sz w:val="24"/>
                <w:szCs w:val="24"/>
              </w:rPr>
            </w:pPr>
            <w:r w:rsidRPr="00BA1944">
              <w:rPr>
                <w:rFonts w:cstheme="minorHAnsi"/>
                <w:b/>
                <w:sz w:val="24"/>
                <w:szCs w:val="24"/>
              </w:rPr>
              <w:t>235.289</w:t>
            </w:r>
          </w:p>
        </w:tc>
        <w:tc>
          <w:tcPr>
            <w:tcW w:w="1502" w:type="dxa"/>
          </w:tcPr>
          <w:p w14:paraId="7D1C1EB3" w14:textId="77777777" w:rsidR="0019280E" w:rsidRPr="00BA1944" w:rsidRDefault="0019280E" w:rsidP="006A624B">
            <w:pPr>
              <w:spacing w:after="120"/>
              <w:jc w:val="right"/>
              <w:rPr>
                <w:rFonts w:cstheme="minorHAnsi"/>
                <w:b/>
                <w:sz w:val="24"/>
                <w:szCs w:val="24"/>
              </w:rPr>
            </w:pPr>
            <w:r w:rsidRPr="00BA1944">
              <w:rPr>
                <w:rFonts w:cstheme="minorHAnsi"/>
                <w:b/>
                <w:sz w:val="24"/>
                <w:szCs w:val="24"/>
              </w:rPr>
              <w:t>84.959</w:t>
            </w:r>
          </w:p>
        </w:tc>
        <w:tc>
          <w:tcPr>
            <w:tcW w:w="1388" w:type="dxa"/>
          </w:tcPr>
          <w:p w14:paraId="3AD2A227" w14:textId="77777777" w:rsidR="0019280E" w:rsidRPr="00BA1944" w:rsidRDefault="0019280E" w:rsidP="006A624B">
            <w:pPr>
              <w:jc w:val="right"/>
              <w:rPr>
                <w:rFonts w:cstheme="minorHAnsi"/>
                <w:b/>
                <w:sz w:val="24"/>
                <w:szCs w:val="24"/>
              </w:rPr>
            </w:pPr>
            <w:r w:rsidRPr="00BA1944">
              <w:rPr>
                <w:rFonts w:cstheme="minorHAnsi"/>
                <w:b/>
                <w:sz w:val="24"/>
                <w:szCs w:val="24"/>
              </w:rPr>
              <w:t>83.415</w:t>
            </w:r>
          </w:p>
        </w:tc>
        <w:tc>
          <w:tcPr>
            <w:tcW w:w="1388" w:type="dxa"/>
          </w:tcPr>
          <w:p w14:paraId="3DA38603" w14:textId="77777777" w:rsidR="0019280E" w:rsidRPr="00BA1944" w:rsidRDefault="0019280E" w:rsidP="006A624B">
            <w:pPr>
              <w:jc w:val="right"/>
              <w:rPr>
                <w:rFonts w:cstheme="minorHAnsi"/>
                <w:b/>
                <w:sz w:val="24"/>
                <w:szCs w:val="24"/>
              </w:rPr>
            </w:pPr>
            <w:r w:rsidRPr="00BA1944">
              <w:rPr>
                <w:rFonts w:cstheme="minorHAnsi"/>
                <w:b/>
                <w:color w:val="FF0000"/>
                <w:sz w:val="24"/>
                <w:szCs w:val="24"/>
              </w:rPr>
              <w:t>(1.544)</w:t>
            </w:r>
          </w:p>
        </w:tc>
      </w:tr>
    </w:tbl>
    <w:p w14:paraId="0317DD32" w14:textId="77777777" w:rsidR="0019280E" w:rsidRPr="00BA1944" w:rsidRDefault="0019280E" w:rsidP="0019280E">
      <w:pPr>
        <w:spacing w:after="120"/>
        <w:ind w:left="709" w:hanging="709"/>
        <w:rPr>
          <w:rFonts w:cstheme="minorHAnsi"/>
          <w:sz w:val="24"/>
          <w:szCs w:val="24"/>
        </w:rPr>
      </w:pPr>
    </w:p>
    <w:p w14:paraId="458D776B" w14:textId="3069CA61" w:rsidR="0019280E" w:rsidRPr="00BA1944" w:rsidRDefault="0019280E" w:rsidP="0019280E">
      <w:pPr>
        <w:spacing w:after="120"/>
        <w:ind w:left="567" w:hanging="567"/>
        <w:rPr>
          <w:rFonts w:cstheme="minorHAnsi"/>
          <w:sz w:val="24"/>
          <w:szCs w:val="24"/>
        </w:rPr>
      </w:pPr>
      <w:r>
        <w:rPr>
          <w:rFonts w:cstheme="minorHAnsi"/>
          <w:sz w:val="24"/>
          <w:szCs w:val="24"/>
        </w:rPr>
        <w:t>She further explained that t</w:t>
      </w:r>
      <w:r w:rsidRPr="00BA1944">
        <w:rPr>
          <w:rFonts w:cstheme="minorHAnsi"/>
          <w:sz w:val="24"/>
          <w:szCs w:val="24"/>
        </w:rPr>
        <w:t>he LA’s allocation has moved because:</w:t>
      </w:r>
    </w:p>
    <w:p w14:paraId="5F2B1CD0" w14:textId="77777777" w:rsidR="0019280E" w:rsidRPr="00BA1944" w:rsidRDefault="0019280E" w:rsidP="0019280E">
      <w:pPr>
        <w:pStyle w:val="ListParagraph"/>
        <w:numPr>
          <w:ilvl w:val="0"/>
          <w:numId w:val="12"/>
        </w:numPr>
        <w:spacing w:after="120" w:line="240" w:lineRule="auto"/>
        <w:contextualSpacing w:val="0"/>
        <w:rPr>
          <w:rFonts w:cstheme="minorHAnsi"/>
          <w:sz w:val="24"/>
          <w:szCs w:val="24"/>
        </w:rPr>
      </w:pPr>
      <w:r w:rsidRPr="00BA1944">
        <w:rPr>
          <w:rFonts w:cstheme="minorHAnsi"/>
          <w:sz w:val="24"/>
          <w:szCs w:val="24"/>
        </w:rPr>
        <w:t>The Schools Block has reduced by £1.642m due to 2 schools converting to academy status during the year.</w:t>
      </w:r>
    </w:p>
    <w:p w14:paraId="13FD3959" w14:textId="77777777" w:rsidR="0019280E" w:rsidRPr="00BA1944" w:rsidRDefault="0019280E" w:rsidP="0019280E">
      <w:pPr>
        <w:pStyle w:val="ListParagraph"/>
        <w:numPr>
          <w:ilvl w:val="0"/>
          <w:numId w:val="12"/>
        </w:numPr>
        <w:spacing w:after="120" w:line="240" w:lineRule="auto"/>
        <w:contextualSpacing w:val="0"/>
        <w:rPr>
          <w:rFonts w:cstheme="minorHAnsi"/>
          <w:sz w:val="24"/>
          <w:szCs w:val="24"/>
        </w:rPr>
      </w:pPr>
      <w:r w:rsidRPr="00BA1944">
        <w:rPr>
          <w:rFonts w:cstheme="minorHAnsi"/>
          <w:sz w:val="24"/>
          <w:szCs w:val="24"/>
        </w:rPr>
        <w:t>The high needs block has reduced by £0.103m to reflect the additional 18 SEND places commissioned in academies from September 2019 in November 2018.</w:t>
      </w:r>
    </w:p>
    <w:p w14:paraId="748DC061" w14:textId="0C1D5AF8" w:rsidR="0019280E" w:rsidRPr="00BA1944" w:rsidRDefault="0019280E" w:rsidP="0019280E">
      <w:pPr>
        <w:pStyle w:val="ListParagraph"/>
        <w:numPr>
          <w:ilvl w:val="0"/>
          <w:numId w:val="12"/>
        </w:numPr>
        <w:spacing w:after="120" w:line="240" w:lineRule="auto"/>
        <w:contextualSpacing w:val="0"/>
        <w:rPr>
          <w:rFonts w:cstheme="minorHAnsi"/>
          <w:sz w:val="24"/>
          <w:szCs w:val="24"/>
        </w:rPr>
      </w:pPr>
      <w:r w:rsidRPr="00BA1944">
        <w:rPr>
          <w:rFonts w:cstheme="minorHAnsi"/>
          <w:sz w:val="24"/>
          <w:szCs w:val="24"/>
        </w:rPr>
        <w:t>The early year</w:t>
      </w:r>
      <w:r w:rsidR="005377C4">
        <w:rPr>
          <w:rFonts w:cstheme="minorHAnsi"/>
          <w:sz w:val="24"/>
          <w:szCs w:val="24"/>
        </w:rPr>
        <w:t>'</w:t>
      </w:r>
      <w:r w:rsidRPr="00BA1944">
        <w:rPr>
          <w:rFonts w:cstheme="minorHAnsi"/>
          <w:sz w:val="24"/>
          <w:szCs w:val="24"/>
        </w:rPr>
        <w:t>s block has increased by £0.201 to reflect this additional uptake of the early year’s hours.</w:t>
      </w:r>
    </w:p>
    <w:p w14:paraId="7D1A3A27" w14:textId="77777777" w:rsidR="0019280E" w:rsidRPr="00BA1944" w:rsidRDefault="0019280E" w:rsidP="0019280E">
      <w:pPr>
        <w:spacing w:after="120"/>
        <w:rPr>
          <w:rFonts w:cstheme="minorHAnsi"/>
          <w:sz w:val="24"/>
          <w:szCs w:val="24"/>
          <w:highlight w:val="yellow"/>
        </w:rPr>
      </w:pPr>
      <w:r w:rsidRPr="00BA1944">
        <w:rPr>
          <w:rFonts w:cstheme="minorHAnsi"/>
          <w:sz w:val="24"/>
          <w:szCs w:val="24"/>
          <w:highlight w:val="yellow"/>
        </w:rPr>
        <w:t xml:space="preserve"> </w:t>
      </w:r>
    </w:p>
    <w:p w14:paraId="72AD5347" w14:textId="5194C423" w:rsidR="0019280E" w:rsidRDefault="0019280E" w:rsidP="0019280E">
      <w:pPr>
        <w:spacing w:after="0" w:line="240" w:lineRule="auto"/>
        <w:rPr>
          <w:rFonts w:cstheme="minorHAnsi"/>
          <w:bCs/>
        </w:rPr>
      </w:pPr>
      <w:r w:rsidRPr="0019280E">
        <w:rPr>
          <w:rFonts w:cstheme="minorHAnsi"/>
          <w:bCs/>
        </w:rPr>
        <w:t>MB presented the Initial 2020 - 2021 DSG Allocation outlin</w:t>
      </w:r>
      <w:r>
        <w:rPr>
          <w:rFonts w:cstheme="minorHAnsi"/>
          <w:bCs/>
        </w:rPr>
        <w:t>ing</w:t>
      </w:r>
      <w:r w:rsidRPr="0019280E">
        <w:rPr>
          <w:rFonts w:cstheme="minorHAnsi"/>
          <w:bCs/>
        </w:rPr>
        <w:t xml:space="preserve"> Medway’s initial DSG allocation by the ESFA in December 2019 for 2020-2021. </w:t>
      </w:r>
    </w:p>
    <w:p w14:paraId="137CE8E1" w14:textId="77777777" w:rsidR="0019280E" w:rsidRPr="0019280E" w:rsidRDefault="0019280E" w:rsidP="0019280E">
      <w:pPr>
        <w:spacing w:after="0" w:line="240" w:lineRule="auto"/>
        <w:rPr>
          <w:rFonts w:cstheme="minorHAnsi"/>
          <w:bCs/>
        </w:rPr>
      </w:pPr>
    </w:p>
    <w:p w14:paraId="6A3FB2B1" w14:textId="5D3791BE" w:rsidR="0019280E" w:rsidRDefault="0019280E" w:rsidP="0019280E">
      <w:r>
        <w:t xml:space="preserve">MB noted to members that the Schools block fund has had an increase from last year of 6.24 %. Early years block as seen an increase of 1.75% and High needs block an increase of 8.5%. </w:t>
      </w:r>
    </w:p>
    <w:p w14:paraId="61696EA1" w14:textId="60A45B4E" w:rsidR="0019280E" w:rsidRPr="0019280E" w:rsidRDefault="0019280E" w:rsidP="0019280E">
      <w:r w:rsidRPr="0019280E">
        <w:rPr>
          <w:rFonts w:cstheme="minorHAnsi"/>
          <w:sz w:val="24"/>
          <w:szCs w:val="24"/>
        </w:rPr>
        <w:t xml:space="preserve">The Schools’ </w:t>
      </w:r>
      <w:r w:rsidRPr="0019280E">
        <w:rPr>
          <w:rFonts w:cstheme="minorHAnsi"/>
        </w:rPr>
        <w:t>Forum noted</w:t>
      </w:r>
      <w:r w:rsidR="009B679E">
        <w:rPr>
          <w:rFonts w:cstheme="minorHAnsi"/>
        </w:rPr>
        <w:t xml:space="preserve"> and </w:t>
      </w:r>
      <w:r w:rsidRPr="0019280E">
        <w:rPr>
          <w:rFonts w:cstheme="minorHAnsi"/>
        </w:rPr>
        <w:t xml:space="preserve">commented </w:t>
      </w:r>
      <w:r>
        <w:rPr>
          <w:rFonts w:cstheme="minorHAnsi"/>
        </w:rPr>
        <w:t>on this update</w:t>
      </w:r>
      <w:r w:rsidRPr="0019280E">
        <w:rPr>
          <w:rFonts w:cstheme="minorHAnsi"/>
        </w:rPr>
        <w:t>.</w:t>
      </w:r>
      <w:r w:rsidRPr="0019280E">
        <w:rPr>
          <w:rFonts w:cstheme="minorHAnsi"/>
          <w:sz w:val="24"/>
          <w:szCs w:val="24"/>
        </w:rPr>
        <w:t xml:space="preserve"> </w:t>
      </w:r>
    </w:p>
    <w:p w14:paraId="7EFE5FDD" w14:textId="77777777" w:rsidR="007B1A45" w:rsidRDefault="00BA0FE8">
      <w:r>
        <w:rPr>
          <w:rStyle w:val="h4"/>
        </w:rPr>
        <w:t>7. Funding Formula Consultation Feedback.</w:t>
      </w:r>
    </w:p>
    <w:p w14:paraId="613F47E4" w14:textId="6B9C4970" w:rsidR="001B02BF" w:rsidRPr="002539F7" w:rsidRDefault="001B02BF" w:rsidP="001B02BF">
      <w:pPr>
        <w:rPr>
          <w:rFonts w:ascii="Calibri" w:hAnsi="Calibri" w:cs="Arial"/>
          <w:szCs w:val="24"/>
        </w:rPr>
      </w:pPr>
      <w:r>
        <w:t>M</w:t>
      </w:r>
      <w:r w:rsidR="009A7448">
        <w:t>D</w:t>
      </w:r>
      <w:r>
        <w:t xml:space="preserve"> updated the Schools forum on the process agreed</w:t>
      </w:r>
      <w:r w:rsidRPr="00F9723F">
        <w:rPr>
          <w:rFonts w:ascii="Calibri" w:hAnsi="Calibri" w:cs="Calibri"/>
          <w:szCs w:val="24"/>
        </w:rPr>
        <w:t xml:space="preserve"> as part of the 2019-20 Funding Formula</w:t>
      </w:r>
      <w:r w:rsidR="009A7448">
        <w:rPr>
          <w:rFonts w:ascii="Calibri" w:hAnsi="Calibri" w:cs="Calibri"/>
          <w:szCs w:val="24"/>
        </w:rPr>
        <w:t>. T</w:t>
      </w:r>
      <w:r w:rsidRPr="00F9723F">
        <w:rPr>
          <w:rFonts w:ascii="Calibri" w:hAnsi="Calibri" w:cs="Calibri"/>
          <w:szCs w:val="24"/>
        </w:rPr>
        <w:t>he basic principles for future Schools and Academies Funding Formula should wherever possible financially mirror the national funding formula and the following recommendation match this apart for the lump sum</w:t>
      </w:r>
      <w:r>
        <w:rPr>
          <w:rFonts w:ascii="Calibri" w:hAnsi="Calibri" w:cs="Arial"/>
          <w:szCs w:val="24"/>
        </w:rPr>
        <w:t>. T</w:t>
      </w:r>
      <w:r w:rsidRPr="002539F7">
        <w:rPr>
          <w:rFonts w:ascii="Calibri" w:hAnsi="Calibri" w:cs="Arial"/>
          <w:szCs w:val="24"/>
        </w:rPr>
        <w:t xml:space="preserve">hese decisions were provisional and subject to consultation with Medway Schools and Academies. </w:t>
      </w:r>
      <w:r>
        <w:rPr>
          <w:rFonts w:ascii="Calibri" w:hAnsi="Calibri" w:cs="Arial"/>
          <w:szCs w:val="24"/>
        </w:rPr>
        <w:t xml:space="preserve">The outcome of this consultation was shared noting the following items: </w:t>
      </w:r>
    </w:p>
    <w:p w14:paraId="794C92C1" w14:textId="77777777" w:rsidR="001B02BF" w:rsidRDefault="001B02BF" w:rsidP="001B02BF">
      <w:pPr>
        <w:rPr>
          <w:rFonts w:ascii="Calibri" w:hAnsi="Calibri"/>
          <w:b/>
          <w:sz w:val="24"/>
          <w:szCs w:val="24"/>
        </w:rPr>
      </w:pPr>
    </w:p>
    <w:p w14:paraId="63F40260" w14:textId="77777777" w:rsidR="001B02BF" w:rsidRDefault="001B02BF" w:rsidP="001B02BF">
      <w:pPr>
        <w:rPr>
          <w:rFonts w:ascii="Calibri" w:hAnsi="Calibri"/>
          <w:b/>
          <w:sz w:val="24"/>
          <w:szCs w:val="24"/>
        </w:rPr>
      </w:pPr>
    </w:p>
    <w:p w14:paraId="00967424" w14:textId="09A6ED8D" w:rsidR="001B02BF" w:rsidRPr="008E6240" w:rsidRDefault="001B02BF" w:rsidP="001B02BF">
      <w:pPr>
        <w:rPr>
          <w:rFonts w:ascii="Calibri" w:hAnsi="Calibri"/>
          <w:b/>
          <w:sz w:val="24"/>
          <w:szCs w:val="24"/>
        </w:rPr>
      </w:pPr>
      <w:r w:rsidRPr="008E6240">
        <w:rPr>
          <w:rFonts w:ascii="Calibri" w:hAnsi="Calibri"/>
          <w:b/>
          <w:sz w:val="24"/>
          <w:szCs w:val="24"/>
        </w:rPr>
        <w:t>Consultation for 2020-21</w:t>
      </w:r>
    </w:p>
    <w:p w14:paraId="360CC521" w14:textId="49818BB8" w:rsidR="001B02BF" w:rsidRPr="001B02BF" w:rsidRDefault="001B02BF" w:rsidP="001B02BF">
      <w:pPr>
        <w:pStyle w:val="ListParagraph"/>
        <w:numPr>
          <w:ilvl w:val="0"/>
          <w:numId w:val="15"/>
        </w:numPr>
        <w:rPr>
          <w:rFonts w:ascii="Calibri" w:hAnsi="Calibri"/>
        </w:rPr>
      </w:pPr>
      <w:r w:rsidRPr="001B02BF">
        <w:rPr>
          <w:rFonts w:ascii="Calibri" w:hAnsi="Calibri"/>
        </w:rPr>
        <w:t>The consultation was open from Monday 4</w:t>
      </w:r>
      <w:r w:rsidRPr="001B02BF">
        <w:rPr>
          <w:rFonts w:ascii="Calibri" w:hAnsi="Calibri"/>
          <w:vertAlign w:val="superscript"/>
        </w:rPr>
        <w:t>th</w:t>
      </w:r>
      <w:r w:rsidRPr="001B02BF">
        <w:rPr>
          <w:rFonts w:ascii="Calibri" w:hAnsi="Calibri"/>
        </w:rPr>
        <w:t xml:space="preserve"> November 2019 to Sunday 24</w:t>
      </w:r>
      <w:r w:rsidRPr="001B02BF">
        <w:rPr>
          <w:rFonts w:ascii="Calibri" w:hAnsi="Calibri"/>
          <w:vertAlign w:val="superscript"/>
        </w:rPr>
        <w:t>th</w:t>
      </w:r>
      <w:r w:rsidRPr="001B02BF">
        <w:rPr>
          <w:rFonts w:ascii="Calibri" w:hAnsi="Calibri"/>
        </w:rPr>
        <w:t xml:space="preserve"> November 2019. </w:t>
      </w:r>
    </w:p>
    <w:p w14:paraId="521F71A0" w14:textId="5322AEA1" w:rsidR="001B02BF" w:rsidRPr="001B02BF" w:rsidRDefault="001B02BF" w:rsidP="001B02BF">
      <w:pPr>
        <w:pStyle w:val="ListParagraph"/>
        <w:numPr>
          <w:ilvl w:val="0"/>
          <w:numId w:val="15"/>
        </w:numPr>
        <w:rPr>
          <w:rFonts w:ascii="Calibri" w:hAnsi="Calibri"/>
        </w:rPr>
      </w:pPr>
      <w:r w:rsidRPr="001B02BF">
        <w:rPr>
          <w:rFonts w:ascii="Calibri" w:hAnsi="Calibri"/>
        </w:rPr>
        <w:t xml:space="preserve">The consultation asked for schools and academies to submit their views on 16 questions. All questions were applicable to maintained schools and all but 3 questions were applicable to academies and free schools. </w:t>
      </w:r>
    </w:p>
    <w:p w14:paraId="70D5C052" w14:textId="562A9075" w:rsidR="001B02BF" w:rsidRPr="001B02BF" w:rsidRDefault="001B02BF" w:rsidP="001B02BF">
      <w:pPr>
        <w:pStyle w:val="ListParagraph"/>
        <w:numPr>
          <w:ilvl w:val="0"/>
          <w:numId w:val="15"/>
        </w:numPr>
        <w:rPr>
          <w:rFonts w:ascii="Calibri" w:hAnsi="Calibri"/>
        </w:rPr>
      </w:pPr>
      <w:r w:rsidRPr="001B02BF">
        <w:rPr>
          <w:rFonts w:ascii="Calibri" w:hAnsi="Calibri"/>
        </w:rPr>
        <w:t>27 responses (28%) were received from the 96 eligible schools, not all responders answered all questions and some academies answered the non-academy questions. This compares to the 32 responses received last year and the 33 response</w:t>
      </w:r>
      <w:r w:rsidR="00084521">
        <w:rPr>
          <w:rFonts w:ascii="Calibri" w:hAnsi="Calibri"/>
        </w:rPr>
        <w:t>s</w:t>
      </w:r>
      <w:r w:rsidRPr="001B02BF">
        <w:rPr>
          <w:rFonts w:ascii="Calibri" w:hAnsi="Calibri"/>
        </w:rPr>
        <w:t xml:space="preserve"> the year before.</w:t>
      </w:r>
    </w:p>
    <w:p w14:paraId="57CCA979" w14:textId="39F4A9CD" w:rsidR="001B02BF" w:rsidRPr="001B02BF" w:rsidRDefault="001B02BF" w:rsidP="001B02BF">
      <w:pPr>
        <w:pStyle w:val="ListParagraph"/>
        <w:numPr>
          <w:ilvl w:val="0"/>
          <w:numId w:val="15"/>
        </w:numPr>
        <w:rPr>
          <w:rFonts w:ascii="Calibri" w:hAnsi="Calibri"/>
        </w:rPr>
      </w:pPr>
      <w:r w:rsidRPr="001B02BF">
        <w:rPr>
          <w:rFonts w:ascii="Calibri" w:hAnsi="Calibri"/>
        </w:rPr>
        <w:t>Of the 27 responses, some schools who are part of an academy Trust responded with 1 response on behalf of the trust, if you take these schools into account the number of responses would have been 41. For this report and the data that follows we have only used the number of actual responses (27) received.</w:t>
      </w:r>
    </w:p>
    <w:p w14:paraId="59AFBDFC" w14:textId="75AC6674" w:rsidR="001B02BF" w:rsidRDefault="001B02BF" w:rsidP="001B02BF">
      <w:pPr>
        <w:ind w:left="360"/>
      </w:pPr>
      <w:r w:rsidRPr="001B02BF">
        <w:rPr>
          <w:b/>
          <w:bCs/>
        </w:rPr>
        <w:t>Q - Some schools took their answers as across their academies, and this is not shown in the tables shown so the tables should be altered to show that.</w:t>
      </w:r>
      <w:r>
        <w:t xml:space="preserve"> </w:t>
      </w:r>
      <w:r w:rsidRPr="001B02BF">
        <w:t>A – Yes, we can do that.</w:t>
      </w:r>
      <w:r>
        <w:t xml:space="preserve"> </w:t>
      </w:r>
    </w:p>
    <w:p w14:paraId="31FE376C" w14:textId="4979704E" w:rsidR="001B02BF" w:rsidRPr="001B02BF" w:rsidRDefault="001B02BF" w:rsidP="001B02BF">
      <w:pPr>
        <w:pStyle w:val="ListParagraph"/>
        <w:numPr>
          <w:ilvl w:val="0"/>
          <w:numId w:val="15"/>
        </w:numPr>
        <w:rPr>
          <w:rFonts w:ascii="Calibri" w:hAnsi="Calibri"/>
        </w:rPr>
      </w:pPr>
      <w:r w:rsidRPr="001B02BF">
        <w:rPr>
          <w:rFonts w:ascii="Calibri" w:hAnsi="Calibri"/>
        </w:rPr>
        <w:t xml:space="preserve">There </w:t>
      </w:r>
      <w:r w:rsidR="006B51EF" w:rsidRPr="001B02BF">
        <w:rPr>
          <w:rFonts w:ascii="Calibri" w:hAnsi="Calibri"/>
        </w:rPr>
        <w:t>ha</w:t>
      </w:r>
      <w:r w:rsidR="006B51EF">
        <w:rPr>
          <w:rFonts w:ascii="Calibri" w:hAnsi="Calibri"/>
        </w:rPr>
        <w:t>s</w:t>
      </w:r>
      <w:r w:rsidRPr="001B02BF">
        <w:rPr>
          <w:rFonts w:ascii="Calibri" w:hAnsi="Calibri"/>
        </w:rPr>
        <w:t xml:space="preserve"> been </w:t>
      </w:r>
      <w:r w:rsidR="005377C4">
        <w:rPr>
          <w:rFonts w:ascii="Calibri" w:hAnsi="Calibri"/>
        </w:rPr>
        <w:t xml:space="preserve">a </w:t>
      </w:r>
      <w:r w:rsidRPr="001B02BF">
        <w:rPr>
          <w:rFonts w:ascii="Calibri" w:hAnsi="Calibri"/>
        </w:rPr>
        <w:t>small improvement with the number of academy responses received. 52% of this year’s responses were received from academies compared to 50% received last year.</w:t>
      </w:r>
    </w:p>
    <w:p w14:paraId="7C86015D" w14:textId="699BD7E7" w:rsidR="007B1A45" w:rsidRDefault="00BA0FE8">
      <w:r w:rsidRPr="001B02BF">
        <w:rPr>
          <w:b/>
          <w:bCs/>
        </w:rPr>
        <w:t xml:space="preserve">Q </w:t>
      </w:r>
      <w:r w:rsidR="001B02BF" w:rsidRPr="001B02BF">
        <w:rPr>
          <w:b/>
          <w:bCs/>
        </w:rPr>
        <w:t xml:space="preserve">- Question </w:t>
      </w:r>
      <w:r w:rsidRPr="001B02BF">
        <w:rPr>
          <w:b/>
          <w:bCs/>
        </w:rPr>
        <w:t>16? How do you get the</w:t>
      </w:r>
      <w:r w:rsidR="001B02BF" w:rsidRPr="001B02BF">
        <w:rPr>
          <w:b/>
          <w:bCs/>
        </w:rPr>
        <w:t>se</w:t>
      </w:r>
      <w:r w:rsidRPr="001B02BF">
        <w:rPr>
          <w:b/>
          <w:bCs/>
        </w:rPr>
        <w:t xml:space="preserve"> scores?</w:t>
      </w:r>
      <w:r>
        <w:t xml:space="preserve"> A - It is weighted.  </w:t>
      </w:r>
    </w:p>
    <w:p w14:paraId="3BEF4964" w14:textId="67ED3A78" w:rsidR="007B1A45" w:rsidRDefault="00BA0FE8">
      <w:r w:rsidRPr="001B02BF">
        <w:rPr>
          <w:b/>
          <w:bCs/>
        </w:rPr>
        <w:t xml:space="preserve">Q </w:t>
      </w:r>
      <w:r w:rsidR="001B02BF" w:rsidRPr="001B02BF">
        <w:rPr>
          <w:b/>
          <w:bCs/>
        </w:rPr>
        <w:t xml:space="preserve">- </w:t>
      </w:r>
      <w:r w:rsidRPr="001B02BF">
        <w:rPr>
          <w:b/>
          <w:bCs/>
        </w:rPr>
        <w:t xml:space="preserve">Ranking of the questions </w:t>
      </w:r>
      <w:r w:rsidR="001B02BF" w:rsidRPr="001B02BF">
        <w:rPr>
          <w:b/>
          <w:bCs/>
        </w:rPr>
        <w:t>–</w:t>
      </w:r>
      <w:r w:rsidRPr="001B02BF">
        <w:rPr>
          <w:b/>
          <w:bCs/>
        </w:rPr>
        <w:t xml:space="preserve"> </w:t>
      </w:r>
      <w:r w:rsidR="001B02BF" w:rsidRPr="001B02BF">
        <w:rPr>
          <w:b/>
          <w:bCs/>
        </w:rPr>
        <w:t xml:space="preserve">75% responding was primary schools but the </w:t>
      </w:r>
      <w:r w:rsidRPr="001B02BF">
        <w:rPr>
          <w:b/>
          <w:bCs/>
        </w:rPr>
        <w:t>top 2 imp</w:t>
      </w:r>
      <w:r w:rsidR="001B02BF" w:rsidRPr="001B02BF">
        <w:rPr>
          <w:b/>
          <w:bCs/>
        </w:rPr>
        <w:t>ortant</w:t>
      </w:r>
      <w:r w:rsidRPr="001B02BF">
        <w:rPr>
          <w:b/>
          <w:bCs/>
        </w:rPr>
        <w:t xml:space="preserve"> questio</w:t>
      </w:r>
      <w:r w:rsidR="001B02BF" w:rsidRPr="001B02BF">
        <w:rPr>
          <w:b/>
          <w:bCs/>
        </w:rPr>
        <w:t>n</w:t>
      </w:r>
      <w:r w:rsidRPr="001B02BF">
        <w:rPr>
          <w:b/>
          <w:bCs/>
        </w:rPr>
        <w:t>s w</w:t>
      </w:r>
      <w:r w:rsidR="00F6102A">
        <w:rPr>
          <w:b/>
          <w:bCs/>
        </w:rPr>
        <w:t>ere</w:t>
      </w:r>
      <w:r w:rsidRPr="001B02BF">
        <w:rPr>
          <w:b/>
          <w:bCs/>
        </w:rPr>
        <w:t xml:space="preserve"> about secondary</w:t>
      </w:r>
      <w:r w:rsidR="001B02BF" w:rsidRPr="001B02BF">
        <w:rPr>
          <w:b/>
          <w:bCs/>
        </w:rPr>
        <w:t xml:space="preserve"> school funding</w:t>
      </w:r>
      <w:r w:rsidRPr="001B02BF">
        <w:rPr>
          <w:b/>
          <w:bCs/>
        </w:rPr>
        <w:t>?</w:t>
      </w:r>
      <w:r>
        <w:t xml:space="preserve"> A - It is weighted but also</w:t>
      </w:r>
      <w:r w:rsidR="001B02BF">
        <w:t xml:space="preserve"> a mixture of answers</w:t>
      </w:r>
      <w:r>
        <w:t xml:space="preserve">. </w:t>
      </w:r>
    </w:p>
    <w:p w14:paraId="65DF5DDD" w14:textId="55E35F6D" w:rsidR="007B1A45" w:rsidRDefault="00BA0FE8">
      <w:r w:rsidRPr="001B02BF">
        <w:rPr>
          <w:b/>
          <w:bCs/>
        </w:rPr>
        <w:t xml:space="preserve">Q </w:t>
      </w:r>
      <w:r w:rsidR="001B02BF" w:rsidRPr="001B02BF">
        <w:rPr>
          <w:b/>
          <w:bCs/>
        </w:rPr>
        <w:t>–</w:t>
      </w:r>
      <w:r w:rsidRPr="001B02BF">
        <w:rPr>
          <w:b/>
          <w:bCs/>
        </w:rPr>
        <w:t xml:space="preserve"> </w:t>
      </w:r>
      <w:r w:rsidR="001B02BF" w:rsidRPr="001B02BF">
        <w:rPr>
          <w:b/>
          <w:bCs/>
        </w:rPr>
        <w:t xml:space="preserve">Medway allocated funding from Government webpage states that for </w:t>
      </w:r>
      <w:r w:rsidRPr="001B02BF">
        <w:rPr>
          <w:b/>
          <w:bCs/>
        </w:rPr>
        <w:t>primary</w:t>
      </w:r>
      <w:r w:rsidR="001B02BF" w:rsidRPr="001B02BF">
        <w:rPr>
          <w:b/>
          <w:bCs/>
        </w:rPr>
        <w:t xml:space="preserve"> schools it </w:t>
      </w:r>
      <w:r w:rsidR="00FF5267" w:rsidRPr="001B02BF">
        <w:rPr>
          <w:b/>
          <w:bCs/>
        </w:rPr>
        <w:t>is £</w:t>
      </w:r>
      <w:r w:rsidRPr="001B02BF">
        <w:rPr>
          <w:b/>
          <w:bCs/>
        </w:rPr>
        <w:t xml:space="preserve">4370 and secondary </w:t>
      </w:r>
      <w:r w:rsidR="001B02BF" w:rsidRPr="001B02BF">
        <w:rPr>
          <w:b/>
          <w:bCs/>
        </w:rPr>
        <w:t>i</w:t>
      </w:r>
      <w:r w:rsidR="001B02BF">
        <w:rPr>
          <w:b/>
          <w:bCs/>
        </w:rPr>
        <w:t>t is</w:t>
      </w:r>
      <w:r w:rsidR="001B02BF" w:rsidRPr="001B02BF">
        <w:rPr>
          <w:b/>
          <w:bCs/>
        </w:rPr>
        <w:t xml:space="preserve"> £</w:t>
      </w:r>
      <w:r w:rsidRPr="001B02BF">
        <w:rPr>
          <w:b/>
          <w:bCs/>
        </w:rPr>
        <w:t xml:space="preserve">5326 - is this roughly what </w:t>
      </w:r>
      <w:r w:rsidR="001B02BF" w:rsidRPr="001B02BF">
        <w:rPr>
          <w:b/>
          <w:bCs/>
        </w:rPr>
        <w:t>they</w:t>
      </w:r>
      <w:r w:rsidRPr="001B02BF">
        <w:rPr>
          <w:b/>
          <w:bCs/>
        </w:rPr>
        <w:t xml:space="preserve"> will be getting? A</w:t>
      </w:r>
      <w:r>
        <w:t xml:space="preserve"> - Roughly </w:t>
      </w:r>
      <w:r w:rsidR="001B02BF">
        <w:t xml:space="preserve">on average </w:t>
      </w:r>
      <w:r>
        <w:t xml:space="preserve">yes.  </w:t>
      </w:r>
    </w:p>
    <w:p w14:paraId="4520CDA3" w14:textId="77777777" w:rsidR="007B1A45" w:rsidRDefault="00BA0FE8">
      <w:r>
        <w:rPr>
          <w:rStyle w:val="h4"/>
        </w:rPr>
        <w:t xml:space="preserve">8. Financial 2020-21 </w:t>
      </w:r>
      <w:proofErr w:type="gramStart"/>
      <w:r>
        <w:rPr>
          <w:rStyle w:val="h4"/>
        </w:rPr>
        <w:t>Centrally</w:t>
      </w:r>
      <w:proofErr w:type="gramEnd"/>
      <w:r>
        <w:rPr>
          <w:rStyle w:val="h4"/>
        </w:rPr>
        <w:t xml:space="preserve"> retained budgets.</w:t>
      </w:r>
    </w:p>
    <w:p w14:paraId="5E407486" w14:textId="499F23E9" w:rsidR="001B02BF" w:rsidRPr="005355B6" w:rsidRDefault="001B02BF" w:rsidP="001B02BF">
      <w:pPr>
        <w:keepNext/>
        <w:spacing w:after="0" w:line="240" w:lineRule="auto"/>
        <w:outlineLvl w:val="2"/>
        <w:rPr>
          <w:rFonts w:eastAsia="Times New Roman" w:cstheme="minorHAnsi"/>
          <w:sz w:val="24"/>
          <w:szCs w:val="24"/>
        </w:rPr>
      </w:pPr>
      <w:r w:rsidRPr="001B02BF">
        <w:rPr>
          <w:rFonts w:eastAsia="Times New Roman" w:cstheme="minorHAnsi"/>
          <w:bCs/>
          <w:sz w:val="24"/>
          <w:szCs w:val="24"/>
        </w:rPr>
        <w:t>MB explained that the Schools</w:t>
      </w:r>
      <w:r w:rsidRPr="005355B6">
        <w:rPr>
          <w:rFonts w:eastAsia="Times New Roman" w:cstheme="minorHAnsi"/>
          <w:sz w:val="24"/>
          <w:szCs w:val="24"/>
        </w:rPr>
        <w:t xml:space="preserve"> Block Dedicated Schools Grant (DSG) funds </w:t>
      </w:r>
      <w:r w:rsidR="00EB7704">
        <w:rPr>
          <w:rFonts w:eastAsia="Times New Roman" w:cstheme="minorHAnsi"/>
          <w:sz w:val="24"/>
          <w:szCs w:val="24"/>
        </w:rPr>
        <w:t xml:space="preserve">the </w:t>
      </w:r>
      <w:r w:rsidRPr="005355B6">
        <w:rPr>
          <w:rFonts w:eastAsia="Times New Roman" w:cstheme="minorHAnsi"/>
          <w:sz w:val="24"/>
          <w:szCs w:val="24"/>
        </w:rPr>
        <w:t>budgets</w:t>
      </w:r>
      <w:r>
        <w:rPr>
          <w:rFonts w:eastAsia="Times New Roman" w:cstheme="minorHAnsi"/>
          <w:sz w:val="24"/>
          <w:szCs w:val="24"/>
        </w:rPr>
        <w:t xml:space="preserve"> </w:t>
      </w:r>
      <w:r w:rsidRPr="005355B6">
        <w:rPr>
          <w:rFonts w:eastAsia="Times New Roman" w:cstheme="minorHAnsi"/>
          <w:sz w:val="24"/>
          <w:szCs w:val="24"/>
        </w:rPr>
        <w:t xml:space="preserve">delegated to schools/academies (via the funding formula) </w:t>
      </w:r>
      <w:r w:rsidR="001A16EC">
        <w:rPr>
          <w:rFonts w:eastAsia="Times New Roman" w:cstheme="minorHAnsi"/>
          <w:sz w:val="24"/>
          <w:szCs w:val="24"/>
        </w:rPr>
        <w:t>along with</w:t>
      </w:r>
      <w:r w:rsidRPr="005355B6">
        <w:rPr>
          <w:rFonts w:eastAsia="Times New Roman" w:cstheme="minorHAnsi"/>
          <w:sz w:val="24"/>
          <w:szCs w:val="24"/>
        </w:rPr>
        <w:t xml:space="preserve"> funding retained by the Local Authority (LA) to support schools.</w:t>
      </w:r>
      <w:r>
        <w:rPr>
          <w:rFonts w:eastAsia="Times New Roman" w:cstheme="minorHAnsi"/>
          <w:sz w:val="24"/>
          <w:szCs w:val="24"/>
        </w:rPr>
        <w:t xml:space="preserve"> </w:t>
      </w:r>
      <w:r w:rsidRPr="005355B6">
        <w:rPr>
          <w:rFonts w:eastAsia="Times New Roman" w:cstheme="minorHAnsi"/>
          <w:sz w:val="24"/>
          <w:szCs w:val="24"/>
        </w:rPr>
        <w:t>From April 2018, the DSG was sp</w:t>
      </w:r>
      <w:r w:rsidR="005377C4">
        <w:rPr>
          <w:rFonts w:eastAsia="Times New Roman" w:cstheme="minorHAnsi"/>
          <w:sz w:val="24"/>
          <w:szCs w:val="24"/>
        </w:rPr>
        <w:t>li</w:t>
      </w:r>
      <w:r w:rsidRPr="005355B6">
        <w:rPr>
          <w:rFonts w:eastAsia="Times New Roman" w:cstheme="minorHAnsi"/>
          <w:sz w:val="24"/>
          <w:szCs w:val="24"/>
        </w:rPr>
        <w:t xml:space="preserve">t into four blocks of funding one of which is the LA’s central services school block (CSSB) funding which requires ratification and approval by the Schools’ Forum. </w:t>
      </w:r>
    </w:p>
    <w:p w14:paraId="69C333DC" w14:textId="77777777" w:rsidR="001B02BF" w:rsidRPr="005355B6" w:rsidRDefault="001B02BF" w:rsidP="001B02BF">
      <w:pPr>
        <w:spacing w:after="0" w:line="240" w:lineRule="auto"/>
        <w:ind w:left="567" w:hanging="567"/>
        <w:rPr>
          <w:rFonts w:eastAsia="Times New Roman" w:cstheme="minorHAnsi"/>
          <w:sz w:val="24"/>
          <w:szCs w:val="24"/>
        </w:rPr>
      </w:pPr>
    </w:p>
    <w:p w14:paraId="3F739F74" w14:textId="615E7575" w:rsidR="001B02BF" w:rsidRPr="005355B6" w:rsidRDefault="001B02BF" w:rsidP="001B02BF">
      <w:pPr>
        <w:spacing w:after="0" w:line="240" w:lineRule="auto"/>
        <w:rPr>
          <w:rFonts w:eastAsia="Times New Roman" w:cstheme="minorHAnsi"/>
          <w:sz w:val="24"/>
          <w:szCs w:val="24"/>
        </w:rPr>
      </w:pPr>
      <w:r w:rsidRPr="005355B6">
        <w:rPr>
          <w:rFonts w:eastAsia="Times New Roman" w:cstheme="minorHAnsi"/>
          <w:sz w:val="24"/>
          <w:szCs w:val="24"/>
        </w:rPr>
        <w:t xml:space="preserve">LAs can only retain funds for the provision of central education services in circumstances which have been set by the Department for Education (DFE); these are known as </w:t>
      </w:r>
      <w:r w:rsidRPr="001B02BF">
        <w:rPr>
          <w:rFonts w:eastAsia="Times New Roman" w:cstheme="minorHAnsi"/>
          <w:b/>
          <w:bCs/>
          <w:sz w:val="24"/>
          <w:szCs w:val="24"/>
        </w:rPr>
        <w:t>Centrally Retained Budgets</w:t>
      </w:r>
      <w:r>
        <w:rPr>
          <w:rFonts w:eastAsia="Times New Roman" w:cstheme="minorHAnsi"/>
          <w:sz w:val="24"/>
          <w:szCs w:val="24"/>
        </w:rPr>
        <w:t xml:space="preserve">. </w:t>
      </w:r>
    </w:p>
    <w:p w14:paraId="51B90905" w14:textId="77777777" w:rsidR="001B02BF" w:rsidRPr="005355B6" w:rsidRDefault="001B02BF" w:rsidP="001B02BF">
      <w:pPr>
        <w:spacing w:after="0" w:line="240" w:lineRule="auto"/>
        <w:ind w:left="567" w:hanging="567"/>
        <w:rPr>
          <w:rFonts w:eastAsia="Times New Roman" w:cstheme="minorHAnsi"/>
          <w:sz w:val="24"/>
          <w:szCs w:val="24"/>
        </w:rPr>
      </w:pPr>
    </w:p>
    <w:p w14:paraId="7969AAD9" w14:textId="429D943C" w:rsidR="001B02BF" w:rsidRPr="005355B6" w:rsidRDefault="001B02BF" w:rsidP="001B02BF">
      <w:pPr>
        <w:spacing w:after="0" w:line="240" w:lineRule="auto"/>
        <w:rPr>
          <w:rFonts w:eastAsia="Times New Roman" w:cstheme="minorHAnsi"/>
          <w:b/>
          <w:sz w:val="24"/>
          <w:szCs w:val="24"/>
        </w:rPr>
      </w:pPr>
      <w:r>
        <w:rPr>
          <w:rFonts w:eastAsia="Times New Roman" w:cstheme="minorHAnsi"/>
          <w:color w:val="000000" w:themeColor="text1"/>
          <w:sz w:val="24"/>
          <w:szCs w:val="24"/>
        </w:rPr>
        <w:t>MB further explained that e</w:t>
      </w:r>
      <w:r w:rsidRPr="005355B6">
        <w:rPr>
          <w:rFonts w:eastAsia="Times New Roman" w:cstheme="minorHAnsi"/>
          <w:color w:val="000000" w:themeColor="text1"/>
          <w:sz w:val="24"/>
          <w:szCs w:val="24"/>
        </w:rPr>
        <w:t xml:space="preserve">ach year the Schools’ Forum is required to approve the centrally retained budgets and the CSSB funding. </w:t>
      </w:r>
    </w:p>
    <w:p w14:paraId="65CC380C" w14:textId="77777777" w:rsidR="001B02BF" w:rsidRPr="005355B6" w:rsidRDefault="001B02BF" w:rsidP="001B02BF">
      <w:pPr>
        <w:pStyle w:val="ListParagraph"/>
        <w:spacing w:after="0"/>
        <w:ind w:left="567" w:hanging="567"/>
        <w:rPr>
          <w:rFonts w:eastAsia="Times New Roman" w:cstheme="minorHAnsi"/>
          <w:b/>
          <w:sz w:val="24"/>
          <w:szCs w:val="24"/>
        </w:rPr>
      </w:pPr>
    </w:p>
    <w:p w14:paraId="668F0FE1" w14:textId="77777777" w:rsidR="001B02BF" w:rsidRPr="001B02BF" w:rsidRDefault="001B02BF" w:rsidP="001B02BF">
      <w:pPr>
        <w:spacing w:after="0" w:line="240" w:lineRule="auto"/>
        <w:rPr>
          <w:rFonts w:eastAsia="Times New Roman" w:cstheme="minorHAnsi"/>
          <w:sz w:val="24"/>
          <w:szCs w:val="24"/>
        </w:rPr>
      </w:pPr>
      <w:r w:rsidRPr="001B02BF">
        <w:rPr>
          <w:rFonts w:eastAsia="Times New Roman" w:cstheme="minorHAnsi"/>
          <w:sz w:val="24"/>
          <w:szCs w:val="24"/>
        </w:rPr>
        <w:t xml:space="preserve">The new CSSB DSG funding is intended to provide funding for LA’s to continue to operate and run their statutory functions and for 2020-21 the DSG allocation awarded is £768,337 broken down as follows: </w:t>
      </w:r>
    </w:p>
    <w:p w14:paraId="19611DAE" w14:textId="77777777" w:rsidR="001B02BF" w:rsidRPr="00A75011" w:rsidRDefault="001B02BF" w:rsidP="001B02BF">
      <w:pPr>
        <w:pStyle w:val="ListParagraph"/>
        <w:spacing w:after="0" w:line="240" w:lineRule="auto"/>
        <w:ind w:left="567" w:hanging="567"/>
        <w:rPr>
          <w:rFonts w:eastAsia="Times New Roman" w:cstheme="minorHAnsi"/>
          <w:sz w:val="24"/>
          <w:szCs w:val="24"/>
        </w:rPr>
      </w:pPr>
    </w:p>
    <w:p w14:paraId="3DBC681D" w14:textId="77777777" w:rsidR="001B02BF" w:rsidRPr="00A75011" w:rsidRDefault="001B02BF" w:rsidP="001B02BF">
      <w:pPr>
        <w:pStyle w:val="ListParagraph"/>
        <w:spacing w:after="0" w:line="240" w:lineRule="auto"/>
        <w:ind w:left="142" w:hanging="142"/>
        <w:rPr>
          <w:rFonts w:eastAsia="Times New Roman" w:cstheme="minorHAnsi"/>
          <w:sz w:val="24"/>
          <w:szCs w:val="24"/>
        </w:rPr>
      </w:pPr>
      <w:r w:rsidRPr="00A75011">
        <w:rPr>
          <w:rFonts w:eastAsia="Times New Roman" w:cstheme="minorHAnsi"/>
          <w:sz w:val="24"/>
          <w:szCs w:val="24"/>
        </w:rPr>
        <w:t>£373,603 for Co-ordinated Pupil Admissions processes</w:t>
      </w:r>
    </w:p>
    <w:p w14:paraId="7FF2FA72" w14:textId="77777777" w:rsidR="001B02BF" w:rsidRPr="00A75011" w:rsidRDefault="001B02BF" w:rsidP="001B02BF">
      <w:pPr>
        <w:pStyle w:val="ListParagraph"/>
        <w:spacing w:after="0" w:line="240" w:lineRule="auto"/>
        <w:ind w:left="142" w:hanging="142"/>
        <w:rPr>
          <w:rFonts w:eastAsia="Times New Roman" w:cstheme="minorHAnsi"/>
          <w:sz w:val="24"/>
          <w:szCs w:val="24"/>
        </w:rPr>
      </w:pPr>
      <w:r w:rsidRPr="00A75011">
        <w:rPr>
          <w:rFonts w:eastAsia="Times New Roman" w:cstheme="minorHAnsi"/>
          <w:sz w:val="24"/>
          <w:szCs w:val="24"/>
        </w:rPr>
        <w:t>£5,000 for Schools Forum administration</w:t>
      </w:r>
    </w:p>
    <w:p w14:paraId="277EE66B" w14:textId="10FE0C94" w:rsidR="001B02BF" w:rsidRPr="00A75011" w:rsidRDefault="001B02BF" w:rsidP="001B02BF">
      <w:pPr>
        <w:pStyle w:val="ListParagraph"/>
        <w:spacing w:after="0" w:line="240" w:lineRule="auto"/>
        <w:ind w:left="0"/>
        <w:rPr>
          <w:rFonts w:eastAsia="Times New Roman" w:cstheme="minorHAnsi"/>
          <w:sz w:val="24"/>
          <w:szCs w:val="24"/>
        </w:rPr>
      </w:pPr>
      <w:r w:rsidRPr="00A75011">
        <w:rPr>
          <w:rFonts w:eastAsia="Times New Roman" w:cstheme="minorHAnsi"/>
          <w:sz w:val="24"/>
          <w:szCs w:val="24"/>
        </w:rPr>
        <w:t>£</w:t>
      </w:r>
      <w:r>
        <w:rPr>
          <w:rFonts w:eastAsia="Times New Roman" w:cstheme="minorHAnsi"/>
          <w:sz w:val="24"/>
          <w:szCs w:val="24"/>
        </w:rPr>
        <w:t>389,734</w:t>
      </w:r>
      <w:r w:rsidRPr="00A75011">
        <w:rPr>
          <w:rFonts w:eastAsia="Times New Roman" w:cstheme="minorHAnsi"/>
          <w:sz w:val="24"/>
          <w:szCs w:val="24"/>
        </w:rPr>
        <w:t xml:space="preserve"> for general statutory duties relating to both maintained schools and</w:t>
      </w:r>
      <w:r>
        <w:rPr>
          <w:rFonts w:eastAsia="Times New Roman" w:cstheme="minorHAnsi"/>
          <w:sz w:val="24"/>
          <w:szCs w:val="24"/>
        </w:rPr>
        <w:t xml:space="preserve"> </w:t>
      </w:r>
      <w:r w:rsidRPr="00A75011">
        <w:rPr>
          <w:rFonts w:eastAsia="Times New Roman" w:cstheme="minorHAnsi"/>
          <w:sz w:val="24"/>
          <w:szCs w:val="24"/>
        </w:rPr>
        <w:t>academies as per table 1 below.</w:t>
      </w:r>
    </w:p>
    <w:p w14:paraId="4A5A6C37" w14:textId="77777777" w:rsidR="001B02BF" w:rsidRPr="005355B6" w:rsidRDefault="001B02BF" w:rsidP="001B02BF">
      <w:pPr>
        <w:ind w:left="567"/>
        <w:rPr>
          <w:b/>
          <w:bCs/>
          <w:color w:val="000000" w:themeColor="text1"/>
          <w:u w:val="single"/>
        </w:rPr>
      </w:pPr>
    </w:p>
    <w:p w14:paraId="09F64F8D" w14:textId="77777777" w:rsidR="001B02BF" w:rsidRPr="005355B6" w:rsidRDefault="001B02BF" w:rsidP="001B02BF">
      <w:pPr>
        <w:ind w:left="567"/>
        <w:rPr>
          <w:color w:val="000000" w:themeColor="text1"/>
        </w:rPr>
      </w:pPr>
      <w:r w:rsidRPr="005355B6">
        <w:rPr>
          <w:b/>
          <w:bCs/>
          <w:color w:val="000000" w:themeColor="text1"/>
          <w:u w:val="single"/>
        </w:rPr>
        <w:t>Table 1 – How is the CSSB funding spent?</w:t>
      </w:r>
      <w:r w:rsidRPr="005355B6">
        <w:rPr>
          <w:color w:val="000000" w:themeColor="text1"/>
        </w:rPr>
        <w:t xml:space="preserve"> </w:t>
      </w:r>
    </w:p>
    <w:tbl>
      <w:tblPr>
        <w:tblW w:w="5332" w:type="pct"/>
        <w:tblInd w:w="-5" w:type="dxa"/>
        <w:tblCellMar>
          <w:left w:w="0" w:type="dxa"/>
          <w:right w:w="0" w:type="dxa"/>
        </w:tblCellMar>
        <w:tblLook w:val="04A0" w:firstRow="1" w:lastRow="0" w:firstColumn="1" w:lastColumn="0" w:noHBand="0" w:noVBand="1"/>
      </w:tblPr>
      <w:tblGrid>
        <w:gridCol w:w="6324"/>
        <w:gridCol w:w="1674"/>
        <w:gridCol w:w="1606"/>
      </w:tblGrid>
      <w:tr w:rsidR="001B02BF" w:rsidRPr="00A75011" w14:paraId="0E0BBB53" w14:textId="77777777" w:rsidTr="001B02BF">
        <w:trPr>
          <w:trHeight w:val="415"/>
          <w:tblHeader/>
        </w:trPr>
        <w:tc>
          <w:tcPr>
            <w:tcW w:w="332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569855" w14:textId="77777777" w:rsidR="001B02BF" w:rsidRPr="00A75011" w:rsidRDefault="001B02BF" w:rsidP="006A624B">
            <w:pPr>
              <w:pStyle w:val="TableHeader"/>
              <w:spacing w:before="0" w:after="0" w:line="276" w:lineRule="auto"/>
              <w:ind w:left="567" w:right="0"/>
              <w:rPr>
                <w:rFonts w:ascii="Calibri" w:hAnsi="Calibri" w:cs="Calibri"/>
                <w:color w:val="0D0D0D"/>
                <w:lang w:eastAsia="en-US"/>
              </w:rPr>
            </w:pPr>
            <w:r w:rsidRPr="00A75011">
              <w:rPr>
                <w:rFonts w:ascii="Calibri" w:hAnsi="Calibri" w:cs="Calibri"/>
                <w:lang w:eastAsia="en-US"/>
              </w:rPr>
              <w:t>Service</w:t>
            </w:r>
          </w:p>
        </w:tc>
        <w:tc>
          <w:tcPr>
            <w:tcW w:w="799" w:type="pct"/>
            <w:tcBorders>
              <w:top w:val="single" w:sz="8" w:space="0" w:color="auto"/>
              <w:left w:val="nil"/>
              <w:bottom w:val="single" w:sz="8" w:space="0" w:color="auto"/>
              <w:right w:val="single" w:sz="8" w:space="0" w:color="auto"/>
            </w:tcBorders>
            <w:shd w:val="clear" w:color="auto" w:fill="auto"/>
            <w:hideMark/>
          </w:tcPr>
          <w:p w14:paraId="1A1ED2FE" w14:textId="77777777" w:rsidR="001B02BF" w:rsidRPr="00A75011" w:rsidRDefault="001B02BF" w:rsidP="001B02BF">
            <w:pPr>
              <w:pStyle w:val="TableHeader"/>
              <w:spacing w:before="0" w:after="0" w:line="276" w:lineRule="auto"/>
              <w:ind w:left="567" w:right="0"/>
              <w:jc w:val="left"/>
              <w:rPr>
                <w:rFonts w:ascii="Calibri" w:hAnsi="Calibri" w:cs="Calibri"/>
                <w:b w:val="0"/>
                <w:color w:val="000000"/>
                <w:lang w:eastAsia="en-US"/>
              </w:rPr>
            </w:pPr>
            <w:r w:rsidRPr="00A75011">
              <w:rPr>
                <w:rFonts w:ascii="Calibri" w:hAnsi="Calibri" w:cs="Calibri"/>
                <w:b w:val="0"/>
                <w:bCs/>
                <w:color w:val="000000"/>
                <w:lang w:eastAsia="en-US"/>
              </w:rPr>
              <w:t>Total</w:t>
            </w:r>
          </w:p>
          <w:p w14:paraId="2B911325" w14:textId="77777777" w:rsidR="001B02BF" w:rsidRPr="00A75011" w:rsidRDefault="001B02BF" w:rsidP="001B02BF">
            <w:pPr>
              <w:pStyle w:val="TableHeader"/>
              <w:spacing w:before="0" w:after="0" w:line="276" w:lineRule="auto"/>
              <w:ind w:left="567" w:right="0"/>
              <w:jc w:val="left"/>
              <w:rPr>
                <w:rFonts w:ascii="Calibri" w:hAnsi="Calibri" w:cs="Calibri"/>
                <w:b w:val="0"/>
                <w:bCs/>
                <w:color w:val="000000"/>
                <w:lang w:eastAsia="en-US"/>
              </w:rPr>
            </w:pPr>
            <w:r w:rsidRPr="00A75011">
              <w:rPr>
                <w:rFonts w:ascii="Calibri" w:hAnsi="Calibri" w:cs="Calibri"/>
                <w:b w:val="0"/>
                <w:bCs/>
                <w:color w:val="000000"/>
                <w:lang w:eastAsia="en-US"/>
              </w:rPr>
              <w:t>Budget</w:t>
            </w:r>
          </w:p>
          <w:p w14:paraId="7798471B" w14:textId="77777777" w:rsidR="001B02BF" w:rsidRPr="00A75011" w:rsidRDefault="001B02BF" w:rsidP="001B02BF">
            <w:pPr>
              <w:pStyle w:val="TableHeader"/>
              <w:spacing w:before="0" w:after="0" w:line="276" w:lineRule="auto"/>
              <w:ind w:left="567" w:right="0"/>
              <w:jc w:val="left"/>
              <w:rPr>
                <w:rFonts w:ascii="Calibri" w:hAnsi="Calibri" w:cs="Calibri"/>
                <w:b w:val="0"/>
                <w:bCs/>
                <w:color w:val="000000"/>
                <w:lang w:eastAsia="en-US"/>
              </w:rPr>
            </w:pPr>
            <w:r w:rsidRPr="00A75011">
              <w:rPr>
                <w:rFonts w:ascii="Calibri" w:hAnsi="Calibri" w:cs="Calibri"/>
                <w:b w:val="0"/>
                <w:bCs/>
                <w:color w:val="000000"/>
                <w:lang w:eastAsia="en-US"/>
              </w:rPr>
              <w:t>2020-21</w:t>
            </w:r>
          </w:p>
          <w:p w14:paraId="27ECE0C1" w14:textId="77777777" w:rsidR="001B02BF" w:rsidRPr="00A75011" w:rsidRDefault="001B02BF" w:rsidP="001B02BF">
            <w:pPr>
              <w:pStyle w:val="TableHeader"/>
              <w:spacing w:before="0" w:after="0" w:line="276" w:lineRule="auto"/>
              <w:ind w:left="567" w:right="0"/>
              <w:jc w:val="left"/>
              <w:rPr>
                <w:rFonts w:ascii="Calibri" w:hAnsi="Calibri" w:cs="Calibri"/>
                <w:b w:val="0"/>
                <w:bCs/>
                <w:color w:val="000000"/>
                <w:lang w:eastAsia="en-US"/>
              </w:rPr>
            </w:pPr>
            <w:r w:rsidRPr="00A75011">
              <w:rPr>
                <w:rFonts w:ascii="Calibri" w:hAnsi="Calibri" w:cs="Calibri"/>
                <w:b w:val="0"/>
                <w:bCs/>
                <w:color w:val="000000"/>
                <w:lang w:eastAsia="en-US"/>
              </w:rPr>
              <w:t>£</w:t>
            </w:r>
          </w:p>
        </w:tc>
        <w:tc>
          <w:tcPr>
            <w:tcW w:w="872" w:type="pct"/>
            <w:tcBorders>
              <w:top w:val="single" w:sz="8" w:space="0" w:color="auto"/>
              <w:left w:val="nil"/>
              <w:bottom w:val="single" w:sz="8" w:space="0" w:color="auto"/>
              <w:right w:val="single" w:sz="8" w:space="0" w:color="auto"/>
            </w:tcBorders>
            <w:shd w:val="clear" w:color="auto" w:fill="auto"/>
            <w:hideMark/>
          </w:tcPr>
          <w:p w14:paraId="45770F06" w14:textId="77777777" w:rsidR="001B02BF" w:rsidRPr="00A75011" w:rsidRDefault="001B02BF" w:rsidP="001B02BF">
            <w:pPr>
              <w:pStyle w:val="TableHeader"/>
              <w:spacing w:before="0" w:after="0" w:line="276" w:lineRule="auto"/>
              <w:ind w:left="567" w:right="0"/>
              <w:jc w:val="left"/>
              <w:rPr>
                <w:rFonts w:ascii="Calibri" w:hAnsi="Calibri" w:cs="Calibri"/>
                <w:b w:val="0"/>
                <w:bCs/>
                <w:color w:val="000000"/>
                <w:lang w:eastAsia="en-US"/>
              </w:rPr>
            </w:pPr>
            <w:r w:rsidRPr="00A75011">
              <w:rPr>
                <w:rFonts w:ascii="Calibri" w:hAnsi="Calibri" w:cs="Calibri"/>
                <w:b w:val="0"/>
                <w:bCs/>
                <w:color w:val="000000"/>
                <w:lang w:eastAsia="en-US"/>
              </w:rPr>
              <w:t>2020-21</w:t>
            </w:r>
          </w:p>
          <w:p w14:paraId="03883AE4" w14:textId="77777777" w:rsidR="001B02BF" w:rsidRPr="00A75011" w:rsidRDefault="001B02BF" w:rsidP="001B02BF">
            <w:pPr>
              <w:pStyle w:val="TableHeader"/>
              <w:spacing w:before="0" w:after="0" w:line="276" w:lineRule="auto"/>
              <w:ind w:left="567" w:right="0"/>
              <w:jc w:val="left"/>
              <w:rPr>
                <w:rFonts w:ascii="Calibri" w:hAnsi="Calibri" w:cs="Calibri"/>
                <w:b w:val="0"/>
                <w:bCs/>
                <w:color w:val="000000"/>
                <w:lang w:eastAsia="en-US"/>
              </w:rPr>
            </w:pPr>
            <w:r w:rsidRPr="00A75011">
              <w:rPr>
                <w:rFonts w:ascii="Calibri" w:hAnsi="Calibri" w:cs="Calibri"/>
                <w:b w:val="0"/>
                <w:bCs/>
                <w:color w:val="000000"/>
                <w:lang w:eastAsia="en-US"/>
              </w:rPr>
              <w:t>SB retained Services</w:t>
            </w:r>
          </w:p>
          <w:p w14:paraId="1C47EAE9" w14:textId="77777777" w:rsidR="001B02BF" w:rsidRPr="00A75011" w:rsidRDefault="001B02BF" w:rsidP="001B02BF">
            <w:pPr>
              <w:pStyle w:val="TableHeader"/>
              <w:spacing w:before="0" w:after="0" w:line="276" w:lineRule="auto"/>
              <w:ind w:left="567" w:right="0"/>
              <w:jc w:val="left"/>
              <w:rPr>
                <w:rFonts w:ascii="Calibri" w:hAnsi="Calibri" w:cs="Calibri"/>
                <w:b w:val="0"/>
                <w:bCs/>
                <w:color w:val="000000"/>
                <w:lang w:eastAsia="en-US"/>
              </w:rPr>
            </w:pPr>
            <w:r w:rsidRPr="00A75011">
              <w:rPr>
                <w:rFonts w:ascii="Calibri" w:hAnsi="Calibri" w:cs="Calibri"/>
                <w:b w:val="0"/>
                <w:bCs/>
                <w:color w:val="000000"/>
                <w:lang w:eastAsia="en-US"/>
              </w:rPr>
              <w:t>£</w:t>
            </w:r>
          </w:p>
        </w:tc>
      </w:tr>
      <w:tr w:rsidR="001B02BF" w:rsidRPr="00A75011" w14:paraId="26AFE3F4" w14:textId="77777777" w:rsidTr="001B02BF">
        <w:trPr>
          <w:trHeight w:val="415"/>
        </w:trPr>
        <w:tc>
          <w:tcPr>
            <w:tcW w:w="332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1E07FC" w14:textId="77777777" w:rsidR="001B02BF" w:rsidRPr="00A75011" w:rsidRDefault="001B02BF" w:rsidP="006A624B">
            <w:pPr>
              <w:spacing w:line="288" w:lineRule="auto"/>
              <w:ind w:left="567"/>
              <w:rPr>
                <w:rFonts w:ascii="Calibri" w:hAnsi="Calibri" w:cs="Calibri"/>
                <w:color w:val="000000"/>
                <w:sz w:val="24"/>
                <w:szCs w:val="24"/>
              </w:rPr>
            </w:pPr>
            <w:r w:rsidRPr="00A75011">
              <w:rPr>
                <w:color w:val="000000"/>
                <w:sz w:val="24"/>
                <w:szCs w:val="24"/>
              </w:rPr>
              <w:t>C&amp;A Directorate Management Team</w:t>
            </w:r>
          </w:p>
        </w:tc>
        <w:tc>
          <w:tcPr>
            <w:tcW w:w="799" w:type="pct"/>
            <w:tcBorders>
              <w:top w:val="nil"/>
              <w:left w:val="nil"/>
              <w:bottom w:val="single" w:sz="8" w:space="0" w:color="auto"/>
              <w:right w:val="single" w:sz="8" w:space="0" w:color="auto"/>
            </w:tcBorders>
            <w:shd w:val="clear" w:color="auto" w:fill="auto"/>
            <w:hideMark/>
          </w:tcPr>
          <w:p w14:paraId="62254E86" w14:textId="77777777" w:rsidR="001B02BF" w:rsidRPr="00A75011" w:rsidRDefault="001B02BF" w:rsidP="006A624B">
            <w:pPr>
              <w:spacing w:line="288" w:lineRule="auto"/>
              <w:ind w:left="567"/>
              <w:jc w:val="center"/>
              <w:rPr>
                <w:color w:val="000000"/>
                <w:sz w:val="24"/>
                <w:szCs w:val="24"/>
              </w:rPr>
            </w:pPr>
            <w:r>
              <w:rPr>
                <w:color w:val="000000"/>
                <w:sz w:val="24"/>
                <w:szCs w:val="24"/>
              </w:rPr>
              <w:t>585,477</w:t>
            </w:r>
          </w:p>
        </w:tc>
        <w:tc>
          <w:tcPr>
            <w:tcW w:w="872" w:type="pct"/>
            <w:tcBorders>
              <w:top w:val="nil"/>
              <w:left w:val="nil"/>
              <w:bottom w:val="single" w:sz="8" w:space="0" w:color="auto"/>
              <w:right w:val="single" w:sz="8" w:space="0" w:color="auto"/>
            </w:tcBorders>
            <w:shd w:val="clear" w:color="auto" w:fill="auto"/>
            <w:hideMark/>
          </w:tcPr>
          <w:p w14:paraId="4C424DCF"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85,027</w:t>
            </w:r>
          </w:p>
        </w:tc>
      </w:tr>
      <w:tr w:rsidR="001B02BF" w:rsidRPr="00A75011" w14:paraId="09F57889" w14:textId="77777777" w:rsidTr="001B02BF">
        <w:trPr>
          <w:trHeight w:val="415"/>
        </w:trPr>
        <w:tc>
          <w:tcPr>
            <w:tcW w:w="332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C8D4BE" w14:textId="77777777" w:rsidR="001B02BF" w:rsidRPr="00A75011" w:rsidRDefault="001B02BF" w:rsidP="006A624B">
            <w:pPr>
              <w:spacing w:line="288" w:lineRule="auto"/>
              <w:ind w:left="567"/>
              <w:rPr>
                <w:color w:val="000000"/>
                <w:sz w:val="24"/>
                <w:szCs w:val="24"/>
              </w:rPr>
            </w:pPr>
            <w:r w:rsidRPr="00A75011">
              <w:rPr>
                <w:color w:val="000000"/>
                <w:sz w:val="24"/>
                <w:szCs w:val="24"/>
              </w:rPr>
              <w:t>Commissioning Management Team</w:t>
            </w:r>
          </w:p>
        </w:tc>
        <w:tc>
          <w:tcPr>
            <w:tcW w:w="799" w:type="pct"/>
            <w:tcBorders>
              <w:top w:val="nil"/>
              <w:left w:val="nil"/>
              <w:bottom w:val="single" w:sz="8" w:space="0" w:color="auto"/>
              <w:right w:val="single" w:sz="8" w:space="0" w:color="auto"/>
            </w:tcBorders>
            <w:shd w:val="clear" w:color="auto" w:fill="auto"/>
            <w:hideMark/>
          </w:tcPr>
          <w:p w14:paraId="67965357"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172,129</w:t>
            </w:r>
          </w:p>
        </w:tc>
        <w:tc>
          <w:tcPr>
            <w:tcW w:w="872" w:type="pct"/>
            <w:tcBorders>
              <w:top w:val="nil"/>
              <w:left w:val="nil"/>
              <w:bottom w:val="single" w:sz="8" w:space="0" w:color="auto"/>
              <w:right w:val="single" w:sz="8" w:space="0" w:color="auto"/>
            </w:tcBorders>
            <w:shd w:val="clear" w:color="auto" w:fill="auto"/>
            <w:hideMark/>
          </w:tcPr>
          <w:p w14:paraId="0D08140A"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137,000</w:t>
            </w:r>
          </w:p>
        </w:tc>
      </w:tr>
      <w:tr w:rsidR="001B02BF" w:rsidRPr="00A75011" w14:paraId="1416CCA5" w14:textId="77777777" w:rsidTr="001B02BF">
        <w:trPr>
          <w:trHeight w:val="415"/>
        </w:trPr>
        <w:tc>
          <w:tcPr>
            <w:tcW w:w="332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1DDC63" w14:textId="77777777" w:rsidR="001B02BF" w:rsidRPr="00A75011" w:rsidRDefault="001B02BF" w:rsidP="006A624B">
            <w:pPr>
              <w:spacing w:line="288" w:lineRule="auto"/>
              <w:ind w:left="567"/>
              <w:rPr>
                <w:color w:val="000000"/>
                <w:sz w:val="24"/>
                <w:szCs w:val="24"/>
              </w:rPr>
            </w:pPr>
            <w:r w:rsidRPr="00A75011">
              <w:rPr>
                <w:color w:val="000000"/>
                <w:sz w:val="24"/>
                <w:szCs w:val="24"/>
              </w:rPr>
              <w:t>Schools Forum Administration</w:t>
            </w:r>
          </w:p>
        </w:tc>
        <w:tc>
          <w:tcPr>
            <w:tcW w:w="799" w:type="pct"/>
            <w:tcBorders>
              <w:top w:val="nil"/>
              <w:left w:val="nil"/>
              <w:bottom w:val="single" w:sz="8" w:space="0" w:color="auto"/>
              <w:right w:val="single" w:sz="8" w:space="0" w:color="auto"/>
            </w:tcBorders>
            <w:shd w:val="clear" w:color="auto" w:fill="auto"/>
            <w:hideMark/>
          </w:tcPr>
          <w:p w14:paraId="799C99C7"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5,000</w:t>
            </w:r>
          </w:p>
        </w:tc>
        <w:tc>
          <w:tcPr>
            <w:tcW w:w="872" w:type="pct"/>
            <w:tcBorders>
              <w:top w:val="nil"/>
              <w:left w:val="nil"/>
              <w:bottom w:val="single" w:sz="8" w:space="0" w:color="auto"/>
              <w:right w:val="single" w:sz="8" w:space="0" w:color="auto"/>
            </w:tcBorders>
            <w:shd w:val="clear" w:color="auto" w:fill="auto"/>
            <w:hideMark/>
          </w:tcPr>
          <w:p w14:paraId="07C46301"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5,000</w:t>
            </w:r>
          </w:p>
        </w:tc>
      </w:tr>
      <w:tr w:rsidR="001B02BF" w:rsidRPr="00A75011" w14:paraId="702C328F" w14:textId="77777777" w:rsidTr="001B02BF">
        <w:trPr>
          <w:trHeight w:val="350"/>
        </w:trPr>
        <w:tc>
          <w:tcPr>
            <w:tcW w:w="332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B5A105" w14:textId="77777777" w:rsidR="001B02BF" w:rsidRPr="00A75011" w:rsidRDefault="001B02BF" w:rsidP="006A624B">
            <w:pPr>
              <w:ind w:left="567"/>
              <w:rPr>
                <w:color w:val="000000"/>
                <w:sz w:val="24"/>
                <w:szCs w:val="24"/>
              </w:rPr>
            </w:pPr>
            <w:r w:rsidRPr="00A75011">
              <w:rPr>
                <w:color w:val="000000"/>
                <w:sz w:val="24"/>
                <w:szCs w:val="24"/>
              </w:rPr>
              <w:t>SACRE</w:t>
            </w:r>
          </w:p>
        </w:tc>
        <w:tc>
          <w:tcPr>
            <w:tcW w:w="799" w:type="pct"/>
            <w:tcBorders>
              <w:top w:val="nil"/>
              <w:left w:val="nil"/>
              <w:bottom w:val="single" w:sz="8" w:space="0" w:color="auto"/>
              <w:right w:val="single" w:sz="8" w:space="0" w:color="auto"/>
            </w:tcBorders>
            <w:shd w:val="clear" w:color="auto" w:fill="auto"/>
            <w:hideMark/>
          </w:tcPr>
          <w:p w14:paraId="57EF16CE"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15,094</w:t>
            </w:r>
          </w:p>
        </w:tc>
        <w:tc>
          <w:tcPr>
            <w:tcW w:w="872" w:type="pct"/>
            <w:tcBorders>
              <w:top w:val="nil"/>
              <w:left w:val="nil"/>
              <w:bottom w:val="single" w:sz="8" w:space="0" w:color="auto"/>
              <w:right w:val="single" w:sz="8" w:space="0" w:color="auto"/>
            </w:tcBorders>
            <w:shd w:val="clear" w:color="auto" w:fill="auto"/>
            <w:hideMark/>
          </w:tcPr>
          <w:p w14:paraId="0A4ABC73"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15,094</w:t>
            </w:r>
          </w:p>
        </w:tc>
      </w:tr>
      <w:tr w:rsidR="001B02BF" w:rsidRPr="00A75011" w14:paraId="7C9312BD" w14:textId="77777777" w:rsidTr="001B02BF">
        <w:trPr>
          <w:trHeight w:val="415"/>
        </w:trPr>
        <w:tc>
          <w:tcPr>
            <w:tcW w:w="332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9C8D49" w14:textId="77777777" w:rsidR="001B02BF" w:rsidRPr="00A75011" w:rsidRDefault="001B02BF" w:rsidP="006A624B">
            <w:pPr>
              <w:ind w:left="567"/>
              <w:rPr>
                <w:color w:val="000000"/>
                <w:sz w:val="24"/>
                <w:szCs w:val="24"/>
              </w:rPr>
            </w:pPr>
            <w:r w:rsidRPr="00A75011">
              <w:rPr>
                <w:color w:val="000000"/>
                <w:sz w:val="24"/>
                <w:szCs w:val="24"/>
              </w:rPr>
              <w:t>Achieve Officer</w:t>
            </w:r>
          </w:p>
        </w:tc>
        <w:tc>
          <w:tcPr>
            <w:tcW w:w="799" w:type="pct"/>
            <w:tcBorders>
              <w:top w:val="nil"/>
              <w:left w:val="nil"/>
              <w:bottom w:val="single" w:sz="8" w:space="0" w:color="auto"/>
              <w:right w:val="single" w:sz="8" w:space="0" w:color="auto"/>
            </w:tcBorders>
            <w:shd w:val="clear" w:color="auto" w:fill="auto"/>
            <w:hideMark/>
          </w:tcPr>
          <w:p w14:paraId="12E514BF"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32,623</w:t>
            </w:r>
          </w:p>
        </w:tc>
        <w:tc>
          <w:tcPr>
            <w:tcW w:w="872" w:type="pct"/>
            <w:tcBorders>
              <w:top w:val="nil"/>
              <w:left w:val="nil"/>
              <w:bottom w:val="single" w:sz="8" w:space="0" w:color="auto"/>
              <w:right w:val="single" w:sz="8" w:space="0" w:color="auto"/>
            </w:tcBorders>
            <w:shd w:val="clear" w:color="auto" w:fill="auto"/>
            <w:hideMark/>
          </w:tcPr>
          <w:p w14:paraId="79599416"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32,623</w:t>
            </w:r>
          </w:p>
        </w:tc>
      </w:tr>
      <w:tr w:rsidR="001B02BF" w:rsidRPr="00A75011" w14:paraId="2217FA29" w14:textId="77777777" w:rsidTr="001B02BF">
        <w:trPr>
          <w:trHeight w:val="415"/>
        </w:trPr>
        <w:tc>
          <w:tcPr>
            <w:tcW w:w="3329"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142DB84" w14:textId="77777777" w:rsidR="001B02BF" w:rsidRPr="00A75011" w:rsidRDefault="001B02BF" w:rsidP="006A624B">
            <w:pPr>
              <w:ind w:left="567"/>
              <w:jc w:val="both"/>
              <w:rPr>
                <w:color w:val="000000"/>
                <w:sz w:val="24"/>
                <w:szCs w:val="24"/>
              </w:rPr>
            </w:pPr>
            <w:r w:rsidRPr="00A75011">
              <w:rPr>
                <w:color w:val="000000"/>
                <w:sz w:val="24"/>
                <w:szCs w:val="24"/>
              </w:rPr>
              <w:t>Admissions and Medway Test – Excluding Appeals.</w:t>
            </w:r>
          </w:p>
        </w:tc>
        <w:tc>
          <w:tcPr>
            <w:tcW w:w="799" w:type="pct"/>
            <w:tcBorders>
              <w:top w:val="nil"/>
              <w:left w:val="nil"/>
              <w:bottom w:val="single" w:sz="4" w:space="0" w:color="auto"/>
              <w:right w:val="single" w:sz="8" w:space="0" w:color="auto"/>
            </w:tcBorders>
            <w:shd w:val="clear" w:color="auto" w:fill="auto"/>
            <w:hideMark/>
          </w:tcPr>
          <w:p w14:paraId="6CEC1E5B"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373,603</w:t>
            </w:r>
          </w:p>
        </w:tc>
        <w:tc>
          <w:tcPr>
            <w:tcW w:w="872" w:type="pct"/>
            <w:tcBorders>
              <w:top w:val="nil"/>
              <w:left w:val="nil"/>
              <w:bottom w:val="single" w:sz="4" w:space="0" w:color="auto"/>
              <w:right w:val="single" w:sz="8" w:space="0" w:color="auto"/>
            </w:tcBorders>
            <w:shd w:val="clear" w:color="auto" w:fill="auto"/>
            <w:hideMark/>
          </w:tcPr>
          <w:p w14:paraId="39558D3C"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373,603</w:t>
            </w:r>
          </w:p>
        </w:tc>
      </w:tr>
      <w:tr w:rsidR="001B02BF" w:rsidRPr="00A75011" w14:paraId="0E0F1614" w14:textId="77777777" w:rsidTr="001B02BF">
        <w:trPr>
          <w:trHeight w:val="415"/>
        </w:trPr>
        <w:tc>
          <w:tcPr>
            <w:tcW w:w="332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CE4B5B0" w14:textId="77777777" w:rsidR="001B02BF" w:rsidRPr="00A75011" w:rsidRDefault="001B02BF" w:rsidP="006A624B">
            <w:pPr>
              <w:ind w:left="567"/>
              <w:rPr>
                <w:color w:val="000000"/>
                <w:sz w:val="24"/>
                <w:szCs w:val="24"/>
              </w:rPr>
            </w:pPr>
            <w:r w:rsidRPr="00A75011">
              <w:rPr>
                <w:color w:val="000000"/>
                <w:sz w:val="24"/>
                <w:szCs w:val="24"/>
              </w:rPr>
              <w:t>Planning and Review Team</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14:paraId="3D1ADCA8"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167,272</w:t>
            </w:r>
          </w:p>
        </w:tc>
        <w:tc>
          <w:tcPr>
            <w:tcW w:w="872" w:type="pct"/>
            <w:tcBorders>
              <w:top w:val="single" w:sz="4" w:space="0" w:color="auto"/>
              <w:left w:val="single" w:sz="4" w:space="0" w:color="auto"/>
              <w:bottom w:val="single" w:sz="4" w:space="0" w:color="auto"/>
              <w:right w:val="single" w:sz="4" w:space="0" w:color="auto"/>
            </w:tcBorders>
            <w:shd w:val="clear" w:color="auto" w:fill="auto"/>
            <w:hideMark/>
          </w:tcPr>
          <w:p w14:paraId="4A8FE9F4" w14:textId="77777777" w:rsidR="001B02BF" w:rsidRPr="00A75011" w:rsidRDefault="001B02BF" w:rsidP="006A624B">
            <w:pPr>
              <w:spacing w:line="288" w:lineRule="auto"/>
              <w:ind w:left="567"/>
              <w:jc w:val="center"/>
              <w:rPr>
                <w:color w:val="000000"/>
                <w:sz w:val="24"/>
                <w:szCs w:val="24"/>
              </w:rPr>
            </w:pPr>
            <w:r w:rsidRPr="00A75011">
              <w:rPr>
                <w:color w:val="000000"/>
                <w:sz w:val="24"/>
                <w:szCs w:val="24"/>
              </w:rPr>
              <w:t>100,000</w:t>
            </w:r>
          </w:p>
        </w:tc>
      </w:tr>
      <w:tr w:rsidR="001B02BF" w:rsidRPr="00A75011" w14:paraId="26075776" w14:textId="77777777" w:rsidTr="001B02BF">
        <w:trPr>
          <w:trHeight w:val="415"/>
        </w:trPr>
        <w:tc>
          <w:tcPr>
            <w:tcW w:w="332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EA7F9" w14:textId="77777777" w:rsidR="001B02BF" w:rsidRPr="00A75011" w:rsidRDefault="001B02BF" w:rsidP="006A624B">
            <w:pPr>
              <w:ind w:left="567"/>
              <w:rPr>
                <w:bCs/>
                <w:color w:val="000000"/>
                <w:sz w:val="24"/>
                <w:szCs w:val="24"/>
              </w:rPr>
            </w:pPr>
            <w:r w:rsidRPr="00A75011">
              <w:rPr>
                <w:bCs/>
                <w:color w:val="000000"/>
                <w:sz w:val="24"/>
                <w:szCs w:val="24"/>
              </w:rPr>
              <w:t>Governor Services</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5A0EE9D3" w14:textId="77777777" w:rsidR="001B02BF" w:rsidRPr="00A75011" w:rsidRDefault="001B02BF" w:rsidP="006A624B">
            <w:pPr>
              <w:spacing w:line="288" w:lineRule="auto"/>
              <w:ind w:left="567"/>
              <w:jc w:val="center"/>
              <w:rPr>
                <w:bCs/>
                <w:color w:val="000000"/>
                <w:sz w:val="24"/>
                <w:szCs w:val="24"/>
              </w:rPr>
            </w:pPr>
            <w:r w:rsidRPr="00A75011">
              <w:rPr>
                <w:bCs/>
                <w:color w:val="000000"/>
                <w:sz w:val="24"/>
                <w:szCs w:val="24"/>
              </w:rPr>
              <w:t>£19,990</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092D32ED" w14:textId="77777777" w:rsidR="001B02BF" w:rsidRPr="00A75011" w:rsidRDefault="001B02BF" w:rsidP="006A624B">
            <w:pPr>
              <w:spacing w:line="288" w:lineRule="auto"/>
              <w:ind w:left="567"/>
              <w:jc w:val="center"/>
              <w:rPr>
                <w:bCs/>
                <w:color w:val="000000"/>
                <w:sz w:val="24"/>
                <w:szCs w:val="24"/>
              </w:rPr>
            </w:pPr>
            <w:r w:rsidRPr="00A75011">
              <w:rPr>
                <w:bCs/>
                <w:color w:val="000000"/>
                <w:sz w:val="24"/>
                <w:szCs w:val="24"/>
              </w:rPr>
              <w:t>£19,990</w:t>
            </w:r>
          </w:p>
        </w:tc>
      </w:tr>
      <w:tr w:rsidR="001B02BF" w:rsidRPr="00A75011" w14:paraId="69ABA0E5" w14:textId="77777777" w:rsidTr="001B02BF">
        <w:trPr>
          <w:trHeight w:val="415"/>
        </w:trPr>
        <w:tc>
          <w:tcPr>
            <w:tcW w:w="332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B3078A" w14:textId="77777777" w:rsidR="001B02BF" w:rsidRPr="00A75011" w:rsidRDefault="001B02BF" w:rsidP="006A624B">
            <w:pPr>
              <w:ind w:left="567"/>
              <w:rPr>
                <w:b/>
                <w:bCs/>
                <w:color w:val="000000"/>
                <w:sz w:val="24"/>
                <w:szCs w:val="24"/>
              </w:rPr>
            </w:pPr>
            <w:r w:rsidRPr="00A75011">
              <w:rPr>
                <w:b/>
                <w:bCs/>
                <w:color w:val="000000"/>
                <w:sz w:val="24"/>
                <w:szCs w:val="24"/>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14:paraId="2934D90E" w14:textId="77777777" w:rsidR="001B02BF" w:rsidRPr="00A75011" w:rsidRDefault="001B02BF" w:rsidP="006A624B">
            <w:pPr>
              <w:spacing w:line="288" w:lineRule="auto"/>
              <w:ind w:left="567"/>
              <w:jc w:val="center"/>
              <w:rPr>
                <w:b/>
                <w:bCs/>
                <w:color w:val="000000"/>
                <w:sz w:val="24"/>
                <w:szCs w:val="24"/>
              </w:rPr>
            </w:pPr>
            <w:r w:rsidRPr="00A75011">
              <w:rPr>
                <w:b/>
                <w:bCs/>
                <w:color w:val="000000"/>
                <w:sz w:val="24"/>
                <w:szCs w:val="24"/>
              </w:rPr>
              <w:t>£1,274,188</w:t>
            </w:r>
          </w:p>
        </w:tc>
        <w:tc>
          <w:tcPr>
            <w:tcW w:w="872" w:type="pct"/>
            <w:tcBorders>
              <w:top w:val="single" w:sz="4" w:space="0" w:color="auto"/>
              <w:left w:val="single" w:sz="4" w:space="0" w:color="auto"/>
              <w:bottom w:val="single" w:sz="4" w:space="0" w:color="auto"/>
              <w:right w:val="single" w:sz="4" w:space="0" w:color="auto"/>
            </w:tcBorders>
            <w:shd w:val="clear" w:color="auto" w:fill="auto"/>
            <w:hideMark/>
          </w:tcPr>
          <w:p w14:paraId="6B77B019" w14:textId="77777777" w:rsidR="001B02BF" w:rsidRPr="00A75011" w:rsidRDefault="001B02BF" w:rsidP="006A624B">
            <w:pPr>
              <w:spacing w:line="288" w:lineRule="auto"/>
              <w:ind w:left="567"/>
              <w:jc w:val="center"/>
              <w:rPr>
                <w:b/>
                <w:bCs/>
                <w:color w:val="000000"/>
                <w:sz w:val="24"/>
                <w:szCs w:val="24"/>
              </w:rPr>
            </w:pPr>
            <w:r w:rsidRPr="00A75011">
              <w:rPr>
                <w:b/>
                <w:bCs/>
                <w:color w:val="000000"/>
                <w:sz w:val="24"/>
                <w:szCs w:val="24"/>
              </w:rPr>
              <w:t>£</w:t>
            </w:r>
            <w:r>
              <w:rPr>
                <w:b/>
                <w:bCs/>
                <w:color w:val="000000"/>
                <w:sz w:val="24"/>
                <w:szCs w:val="24"/>
              </w:rPr>
              <w:t>768,337</w:t>
            </w:r>
          </w:p>
        </w:tc>
      </w:tr>
    </w:tbl>
    <w:p w14:paraId="78486E18" w14:textId="33417D2A" w:rsidR="001B02BF" w:rsidRPr="005355B6" w:rsidRDefault="001B02BF" w:rsidP="001B02BF">
      <w:pPr>
        <w:spacing w:after="0" w:line="240" w:lineRule="auto"/>
        <w:ind w:left="567"/>
        <w:rPr>
          <w:rFonts w:eastAsia="Times New Roman" w:cstheme="minorHAnsi"/>
          <w:sz w:val="24"/>
          <w:szCs w:val="24"/>
        </w:rPr>
      </w:pPr>
      <w:r w:rsidRPr="005355B6">
        <w:rPr>
          <w:rFonts w:eastAsia="Times New Roman" w:cstheme="minorHAnsi"/>
          <w:sz w:val="24"/>
          <w:szCs w:val="24"/>
        </w:rPr>
        <w:t>20</w:t>
      </w:r>
      <w:r>
        <w:rPr>
          <w:rFonts w:eastAsia="Times New Roman" w:cstheme="minorHAnsi"/>
          <w:sz w:val="24"/>
          <w:szCs w:val="24"/>
        </w:rPr>
        <w:t>20</w:t>
      </w:r>
      <w:r w:rsidRPr="005355B6">
        <w:rPr>
          <w:rFonts w:eastAsia="Times New Roman" w:cstheme="minorHAnsi"/>
          <w:sz w:val="24"/>
          <w:szCs w:val="24"/>
        </w:rPr>
        <w:t>/2</w:t>
      </w:r>
      <w:r>
        <w:rPr>
          <w:rFonts w:eastAsia="Times New Roman" w:cstheme="minorHAnsi"/>
          <w:sz w:val="24"/>
          <w:szCs w:val="24"/>
        </w:rPr>
        <w:t>1</w:t>
      </w:r>
      <w:r w:rsidRPr="005355B6">
        <w:rPr>
          <w:rFonts w:eastAsia="Times New Roman" w:cstheme="minorHAnsi"/>
          <w:sz w:val="24"/>
          <w:szCs w:val="24"/>
        </w:rPr>
        <w:t xml:space="preserve"> budgets are</w:t>
      </w:r>
      <w:r>
        <w:rPr>
          <w:rFonts w:eastAsia="Times New Roman" w:cstheme="minorHAnsi"/>
          <w:sz w:val="24"/>
          <w:szCs w:val="24"/>
        </w:rPr>
        <w:t xml:space="preserve"> shown as gross and remain</w:t>
      </w:r>
      <w:r w:rsidRPr="005355B6">
        <w:rPr>
          <w:rFonts w:eastAsia="Times New Roman" w:cstheme="minorHAnsi"/>
          <w:sz w:val="24"/>
          <w:szCs w:val="24"/>
        </w:rPr>
        <w:t xml:space="preserve"> provisional until they are approved by </w:t>
      </w:r>
      <w:r w:rsidR="00D46878">
        <w:rPr>
          <w:rFonts w:eastAsia="Times New Roman" w:cstheme="minorHAnsi"/>
          <w:sz w:val="24"/>
          <w:szCs w:val="24"/>
        </w:rPr>
        <w:t>the LA</w:t>
      </w:r>
      <w:r w:rsidRPr="005355B6">
        <w:rPr>
          <w:rFonts w:eastAsia="Times New Roman" w:cstheme="minorHAnsi"/>
          <w:sz w:val="24"/>
          <w:szCs w:val="24"/>
        </w:rPr>
        <w:t xml:space="preserve"> in February.</w:t>
      </w:r>
    </w:p>
    <w:p w14:paraId="0DB4870F" w14:textId="77777777" w:rsidR="001B02BF" w:rsidRPr="005355B6" w:rsidRDefault="001B02BF" w:rsidP="001B02BF">
      <w:pPr>
        <w:pStyle w:val="ListParagraph"/>
        <w:spacing w:after="0" w:line="240" w:lineRule="auto"/>
        <w:rPr>
          <w:rFonts w:eastAsia="Times New Roman" w:cstheme="minorHAnsi"/>
          <w:sz w:val="24"/>
          <w:szCs w:val="24"/>
        </w:rPr>
      </w:pPr>
    </w:p>
    <w:p w14:paraId="61ADF322" w14:textId="1CDF92F1" w:rsidR="001B02BF" w:rsidRPr="001B02BF" w:rsidRDefault="001B02BF" w:rsidP="001B02BF">
      <w:pPr>
        <w:spacing w:after="0" w:line="240" w:lineRule="auto"/>
        <w:rPr>
          <w:rFonts w:eastAsia="Times New Roman" w:cstheme="minorHAnsi"/>
          <w:sz w:val="24"/>
          <w:szCs w:val="24"/>
        </w:rPr>
      </w:pPr>
      <w:r>
        <w:rPr>
          <w:rFonts w:eastAsia="Times New Roman" w:cstheme="minorHAnsi"/>
          <w:sz w:val="24"/>
          <w:szCs w:val="24"/>
        </w:rPr>
        <w:t>MB further noted that a</w:t>
      </w:r>
      <w:r w:rsidRPr="001B02BF">
        <w:rPr>
          <w:rFonts w:eastAsia="Times New Roman" w:cstheme="minorHAnsi"/>
          <w:sz w:val="24"/>
          <w:szCs w:val="24"/>
        </w:rPr>
        <w:t>ny underspends at the year-end will be carried forward to fund the statutory functions of the LA in 2021-2022.</w:t>
      </w:r>
    </w:p>
    <w:p w14:paraId="3F9DC44D" w14:textId="5D120C96" w:rsidR="001B02BF" w:rsidRPr="00705AA5" w:rsidRDefault="001B02BF" w:rsidP="001B02BF">
      <w:pPr>
        <w:pStyle w:val="ListParagraph"/>
        <w:spacing w:after="0" w:line="240" w:lineRule="auto"/>
        <w:ind w:left="0"/>
        <w:rPr>
          <w:rFonts w:eastAsia="Times New Roman" w:cstheme="minorHAnsi"/>
          <w:sz w:val="24"/>
          <w:szCs w:val="24"/>
          <w:highlight w:val="yellow"/>
        </w:rPr>
      </w:pPr>
    </w:p>
    <w:p w14:paraId="6C1B7B19" w14:textId="3ACC9374" w:rsidR="001B02BF" w:rsidRDefault="001B02BF" w:rsidP="001B02BF">
      <w:pPr>
        <w:spacing w:after="0" w:line="240" w:lineRule="auto"/>
        <w:rPr>
          <w:rFonts w:eastAsia="Times New Roman" w:cstheme="minorHAnsi"/>
          <w:b/>
          <w:sz w:val="24"/>
          <w:szCs w:val="24"/>
        </w:rPr>
      </w:pPr>
      <w:r w:rsidRPr="001B02BF">
        <w:rPr>
          <w:rFonts w:eastAsia="Times New Roman" w:cstheme="minorHAnsi"/>
          <w:b/>
          <w:sz w:val="24"/>
          <w:szCs w:val="24"/>
        </w:rPr>
        <w:t xml:space="preserve">Q - Why has </w:t>
      </w:r>
      <w:r w:rsidR="005377C4">
        <w:rPr>
          <w:rFonts w:eastAsia="Times New Roman" w:cstheme="minorHAnsi"/>
          <w:b/>
          <w:sz w:val="24"/>
          <w:szCs w:val="24"/>
        </w:rPr>
        <w:t xml:space="preserve">the </w:t>
      </w:r>
      <w:proofErr w:type="gramStart"/>
      <w:r w:rsidRPr="001B02BF">
        <w:rPr>
          <w:b/>
          <w:color w:val="000000"/>
          <w:sz w:val="24"/>
          <w:szCs w:val="24"/>
        </w:rPr>
        <w:t>C&amp;A</w:t>
      </w:r>
      <w:proofErr w:type="gramEnd"/>
      <w:r w:rsidRPr="001B02BF">
        <w:rPr>
          <w:b/>
          <w:color w:val="000000"/>
          <w:sz w:val="24"/>
          <w:szCs w:val="24"/>
        </w:rPr>
        <w:t xml:space="preserve"> Directorate Management Team dropped by £500,000?</w:t>
      </w:r>
      <w:r>
        <w:rPr>
          <w:color w:val="000000"/>
          <w:sz w:val="24"/>
          <w:szCs w:val="24"/>
        </w:rPr>
        <w:t xml:space="preserve"> A – Because this is for the entire management team. The LA is only asking for the school’s forum to pay £85,000 of this. </w:t>
      </w:r>
    </w:p>
    <w:p w14:paraId="59B0BD4F" w14:textId="77777777" w:rsidR="001B02BF" w:rsidRDefault="001B02BF" w:rsidP="001B02BF">
      <w:pPr>
        <w:spacing w:after="0" w:line="240" w:lineRule="auto"/>
        <w:rPr>
          <w:rFonts w:eastAsia="Times New Roman" w:cstheme="minorHAnsi"/>
          <w:b/>
          <w:sz w:val="24"/>
          <w:szCs w:val="24"/>
        </w:rPr>
      </w:pPr>
    </w:p>
    <w:p w14:paraId="7124BCE8" w14:textId="03ECF17B" w:rsidR="001B02BF" w:rsidRPr="005355B6" w:rsidRDefault="001B02BF" w:rsidP="001B02BF">
      <w:pPr>
        <w:spacing w:after="0" w:line="240" w:lineRule="auto"/>
        <w:rPr>
          <w:rFonts w:eastAsia="Times New Roman" w:cs="Arial"/>
          <w:b/>
          <w:sz w:val="24"/>
          <w:szCs w:val="24"/>
        </w:rPr>
      </w:pPr>
      <w:r>
        <w:rPr>
          <w:rFonts w:eastAsia="Times New Roman" w:cstheme="minorHAnsi"/>
          <w:b/>
          <w:sz w:val="24"/>
          <w:szCs w:val="24"/>
        </w:rPr>
        <w:t>G</w:t>
      </w:r>
      <w:r w:rsidRPr="004A455A">
        <w:rPr>
          <w:rFonts w:eastAsia="Times New Roman" w:cstheme="minorHAnsi"/>
          <w:b/>
          <w:sz w:val="24"/>
          <w:szCs w:val="24"/>
        </w:rPr>
        <w:t xml:space="preserve">rowth Funding and </w:t>
      </w:r>
      <w:r w:rsidRPr="004A455A">
        <w:rPr>
          <w:rFonts w:eastAsia="Times New Roman" w:cs="Arial"/>
          <w:b/>
          <w:sz w:val="24"/>
          <w:szCs w:val="24"/>
        </w:rPr>
        <w:t>Pupil Number Variations</w:t>
      </w:r>
    </w:p>
    <w:p w14:paraId="297011FC" w14:textId="77777777" w:rsidR="001B02BF" w:rsidRPr="005355B6" w:rsidRDefault="001B02BF" w:rsidP="001B02BF">
      <w:pPr>
        <w:spacing w:after="0"/>
        <w:ind w:left="567" w:hanging="567"/>
        <w:rPr>
          <w:rFonts w:eastAsia="Times New Roman" w:cstheme="minorHAnsi"/>
          <w:b/>
          <w:sz w:val="24"/>
          <w:szCs w:val="24"/>
        </w:rPr>
      </w:pPr>
    </w:p>
    <w:p w14:paraId="48AF1BF8" w14:textId="1F1CC213" w:rsidR="001B02BF" w:rsidRPr="001B02BF" w:rsidRDefault="001B02BF" w:rsidP="001B02BF">
      <w:pPr>
        <w:spacing w:after="0" w:line="240" w:lineRule="auto"/>
        <w:rPr>
          <w:rFonts w:eastAsia="Times New Roman" w:cs="Arial"/>
          <w:sz w:val="24"/>
          <w:szCs w:val="24"/>
        </w:rPr>
      </w:pPr>
      <w:r>
        <w:rPr>
          <w:rFonts w:eastAsia="Times New Roman" w:cs="Arial"/>
          <w:sz w:val="24"/>
          <w:szCs w:val="24"/>
        </w:rPr>
        <w:t>MB presented the paper on growth funding and pupil number variations to the members</w:t>
      </w:r>
      <w:r w:rsidR="007B402A">
        <w:rPr>
          <w:rFonts w:eastAsia="Times New Roman" w:cs="Arial"/>
          <w:sz w:val="24"/>
          <w:szCs w:val="24"/>
        </w:rPr>
        <w:t>,</w:t>
      </w:r>
      <w:r>
        <w:rPr>
          <w:rFonts w:eastAsia="Times New Roman" w:cs="Arial"/>
          <w:sz w:val="24"/>
          <w:szCs w:val="24"/>
        </w:rPr>
        <w:t xml:space="preserve"> explaining that e</w:t>
      </w:r>
      <w:r w:rsidRPr="001B02BF">
        <w:rPr>
          <w:rFonts w:eastAsia="Times New Roman" w:cs="Arial"/>
          <w:sz w:val="24"/>
          <w:szCs w:val="24"/>
        </w:rPr>
        <w:t>stimated pupil numbers have been used to for the new PAN increases</w:t>
      </w:r>
      <w:r w:rsidR="006A0FE9">
        <w:rPr>
          <w:rFonts w:eastAsia="Times New Roman" w:cs="Arial"/>
          <w:sz w:val="24"/>
          <w:szCs w:val="24"/>
        </w:rPr>
        <w:t xml:space="preserve"> these</w:t>
      </w:r>
      <w:r w:rsidRPr="001B02BF">
        <w:rPr>
          <w:rFonts w:eastAsia="Times New Roman" w:cs="Arial"/>
          <w:sz w:val="24"/>
          <w:szCs w:val="24"/>
        </w:rPr>
        <w:t xml:space="preserve"> have also been weighted to take account of the different school and academy funding years.</w:t>
      </w:r>
    </w:p>
    <w:p w14:paraId="00D0CB98" w14:textId="77777777" w:rsidR="001B02BF" w:rsidRPr="005355B6" w:rsidRDefault="001B02BF" w:rsidP="001B02BF">
      <w:pPr>
        <w:pStyle w:val="ListParagraph"/>
        <w:spacing w:after="0"/>
        <w:rPr>
          <w:rFonts w:eastAsia="Times New Roman" w:cs="Arial"/>
          <w:sz w:val="24"/>
          <w:szCs w:val="24"/>
        </w:rPr>
      </w:pPr>
    </w:p>
    <w:p w14:paraId="651F392B" w14:textId="2D4E0F85" w:rsidR="001B02BF" w:rsidRPr="005355B6" w:rsidRDefault="001B02BF" w:rsidP="001B02BF">
      <w:pPr>
        <w:pStyle w:val="ListParagraph"/>
        <w:numPr>
          <w:ilvl w:val="0"/>
          <w:numId w:val="19"/>
        </w:numPr>
        <w:spacing w:after="0" w:line="240" w:lineRule="auto"/>
        <w:jc w:val="both"/>
        <w:rPr>
          <w:rFonts w:eastAsia="Times New Roman" w:cs="Arial"/>
          <w:sz w:val="24"/>
          <w:szCs w:val="24"/>
        </w:rPr>
      </w:pPr>
      <w:r w:rsidRPr="005355B6">
        <w:rPr>
          <w:rFonts w:eastAsia="Times New Roman" w:cs="Arial"/>
          <w:sz w:val="24"/>
          <w:szCs w:val="24"/>
        </w:rPr>
        <w:t>7/12ths have been used for maintained schools - i.e. September 20 – March 21</w:t>
      </w:r>
      <w:r w:rsidR="006A0FE9">
        <w:rPr>
          <w:rFonts w:eastAsia="Times New Roman" w:cs="Arial"/>
          <w:sz w:val="24"/>
          <w:szCs w:val="24"/>
        </w:rPr>
        <w:t>.</w:t>
      </w:r>
    </w:p>
    <w:p w14:paraId="79E1143D" w14:textId="77777777" w:rsidR="001B02BF" w:rsidRPr="005355B6" w:rsidRDefault="001B02BF" w:rsidP="001B02BF">
      <w:pPr>
        <w:pStyle w:val="ListParagraph"/>
        <w:numPr>
          <w:ilvl w:val="0"/>
          <w:numId w:val="19"/>
        </w:numPr>
        <w:spacing w:after="0" w:line="240" w:lineRule="auto"/>
        <w:jc w:val="both"/>
        <w:rPr>
          <w:rFonts w:eastAsia="Times New Roman" w:cs="Arial"/>
          <w:sz w:val="24"/>
          <w:szCs w:val="24"/>
        </w:rPr>
      </w:pPr>
      <w:r w:rsidRPr="005355B6">
        <w:rPr>
          <w:rFonts w:eastAsia="Times New Roman" w:cs="Arial"/>
          <w:sz w:val="24"/>
          <w:szCs w:val="24"/>
        </w:rPr>
        <w:t>12/12ths have been used for academies - i.e. September 20 – August 21.</w:t>
      </w:r>
    </w:p>
    <w:p w14:paraId="4AD269DC" w14:textId="77777777" w:rsidR="001B02BF" w:rsidRPr="00705AA5" w:rsidRDefault="001B02BF" w:rsidP="001B02BF">
      <w:pPr>
        <w:pStyle w:val="ListParagraph"/>
        <w:spacing w:after="0"/>
        <w:ind w:left="567" w:hanging="567"/>
        <w:rPr>
          <w:rFonts w:eastAsia="Times New Roman" w:cs="Arial"/>
          <w:sz w:val="24"/>
          <w:szCs w:val="24"/>
          <w:highlight w:val="yellow"/>
        </w:rPr>
      </w:pPr>
    </w:p>
    <w:p w14:paraId="053406F3" w14:textId="2A8C2612" w:rsidR="001B02BF" w:rsidRPr="009040B9" w:rsidRDefault="001B02BF" w:rsidP="001B02BF">
      <w:pPr>
        <w:spacing w:after="0" w:line="240" w:lineRule="auto"/>
        <w:rPr>
          <w:rFonts w:eastAsia="Times New Roman" w:cs="Arial"/>
          <w:sz w:val="24"/>
          <w:szCs w:val="24"/>
        </w:rPr>
      </w:pPr>
      <w:r w:rsidRPr="005355B6">
        <w:rPr>
          <w:rFonts w:eastAsia="Times New Roman" w:cs="Arial"/>
          <w:sz w:val="24"/>
          <w:szCs w:val="24"/>
        </w:rPr>
        <w:t xml:space="preserve">Table 3 below shows a number of new school’s places required from September 2020 relating to PAN increases agreed at previous Schools’ </w:t>
      </w:r>
      <w:r w:rsidRPr="009040B9">
        <w:rPr>
          <w:rFonts w:eastAsia="Times New Roman" w:cs="Arial"/>
          <w:sz w:val="24"/>
          <w:szCs w:val="24"/>
        </w:rPr>
        <w:t>Forum meetings. The new class growth funding associated with this group of schools is £660,000.</w:t>
      </w:r>
    </w:p>
    <w:p w14:paraId="37FB4C94" w14:textId="77777777" w:rsidR="001B02BF" w:rsidRPr="009040B9" w:rsidRDefault="001B02BF" w:rsidP="001B02BF">
      <w:pPr>
        <w:spacing w:after="0"/>
        <w:ind w:left="567" w:hanging="567"/>
        <w:rPr>
          <w:rFonts w:eastAsia="Times New Roman" w:cstheme="minorHAnsi"/>
          <w:sz w:val="24"/>
          <w:szCs w:val="24"/>
        </w:rPr>
      </w:pPr>
    </w:p>
    <w:p w14:paraId="3EB59B5D" w14:textId="77777777" w:rsidR="001B02BF" w:rsidRPr="009040B9" w:rsidRDefault="001B02BF" w:rsidP="001B02BF">
      <w:pPr>
        <w:spacing w:after="0"/>
        <w:ind w:left="567"/>
        <w:rPr>
          <w:rFonts w:eastAsia="Times New Roman" w:cstheme="minorHAnsi"/>
          <w:b/>
          <w:sz w:val="24"/>
          <w:szCs w:val="24"/>
          <w:u w:val="single"/>
        </w:rPr>
      </w:pPr>
      <w:r w:rsidRPr="009040B9">
        <w:rPr>
          <w:rFonts w:eastAsia="Times New Roman" w:cstheme="minorHAnsi"/>
          <w:b/>
          <w:sz w:val="24"/>
          <w:szCs w:val="24"/>
          <w:u w:val="single"/>
        </w:rPr>
        <w:t>Table 3 – On-going Identified School PAN Increase</w:t>
      </w:r>
    </w:p>
    <w:p w14:paraId="58161135" w14:textId="77777777" w:rsidR="001B02BF" w:rsidRPr="009040B9" w:rsidRDefault="001B02BF" w:rsidP="001B02BF">
      <w:pPr>
        <w:spacing w:after="0"/>
        <w:ind w:left="567"/>
        <w:rPr>
          <w:rFonts w:eastAsia="Times New Roman" w:cstheme="minorHAnsi"/>
          <w:sz w:val="24"/>
          <w:szCs w:val="24"/>
        </w:rPr>
      </w:pPr>
      <w:r w:rsidRPr="009040B9">
        <w:rPr>
          <w:noProof/>
          <w:lang w:val="en-GB" w:eastAsia="en-GB"/>
        </w:rPr>
        <w:drawing>
          <wp:anchor distT="0" distB="0" distL="114300" distR="114300" simplePos="0" relativeHeight="251658240" behindDoc="1" locked="0" layoutInCell="1" allowOverlap="1" wp14:anchorId="7FCF99DD" wp14:editId="7BD20EC8">
            <wp:simplePos x="0" y="0"/>
            <wp:positionH relativeFrom="column">
              <wp:posOffset>361950</wp:posOffset>
            </wp:positionH>
            <wp:positionV relativeFrom="paragraph">
              <wp:posOffset>1905</wp:posOffset>
            </wp:positionV>
            <wp:extent cx="6078855" cy="2247900"/>
            <wp:effectExtent l="0" t="0" r="0" b="0"/>
            <wp:wrapTight wrapText="bothSides">
              <wp:wrapPolygon edited="0">
                <wp:start x="0" y="0"/>
                <wp:lineTo x="0" y="20136"/>
                <wp:lineTo x="3858" y="20868"/>
                <wp:lineTo x="0" y="21051"/>
                <wp:lineTo x="0" y="21417"/>
                <wp:lineTo x="21526" y="21417"/>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8855" cy="2247900"/>
                    </a:xfrm>
                    <a:prstGeom prst="rect">
                      <a:avLst/>
                    </a:prstGeom>
                    <a:noFill/>
                    <a:ln>
                      <a:noFill/>
                    </a:ln>
                  </pic:spPr>
                </pic:pic>
              </a:graphicData>
            </a:graphic>
          </wp:anchor>
        </w:drawing>
      </w:r>
    </w:p>
    <w:p w14:paraId="619EF099" w14:textId="77777777" w:rsidR="001B02BF" w:rsidRPr="009040B9" w:rsidRDefault="001B02BF" w:rsidP="001B02BF">
      <w:pPr>
        <w:spacing w:after="0"/>
        <w:ind w:left="567"/>
        <w:rPr>
          <w:rFonts w:eastAsia="Times New Roman" w:cstheme="minorHAnsi"/>
          <w:sz w:val="24"/>
          <w:szCs w:val="24"/>
        </w:rPr>
      </w:pPr>
    </w:p>
    <w:p w14:paraId="1883C39B" w14:textId="77777777" w:rsidR="001B02BF" w:rsidRDefault="001B02BF" w:rsidP="001B02BF">
      <w:pPr>
        <w:spacing w:after="0"/>
        <w:rPr>
          <w:rFonts w:eastAsia="Times New Roman" w:cstheme="minorHAnsi"/>
          <w:sz w:val="24"/>
          <w:szCs w:val="24"/>
        </w:rPr>
      </w:pPr>
    </w:p>
    <w:p w14:paraId="51A5AF9C" w14:textId="77777777" w:rsidR="001B02BF" w:rsidRDefault="001B02BF" w:rsidP="001B02BF">
      <w:pPr>
        <w:spacing w:after="0"/>
        <w:rPr>
          <w:rFonts w:eastAsia="Times New Roman" w:cstheme="minorHAnsi"/>
          <w:sz w:val="24"/>
          <w:szCs w:val="24"/>
        </w:rPr>
      </w:pPr>
    </w:p>
    <w:p w14:paraId="5735B2A6" w14:textId="09C73B66" w:rsidR="001B02BF" w:rsidRPr="001B02BF" w:rsidRDefault="001B02BF" w:rsidP="001B02BF">
      <w:pPr>
        <w:spacing w:after="0"/>
        <w:rPr>
          <w:rFonts w:eastAsia="Times New Roman" w:cstheme="minorHAnsi"/>
        </w:rPr>
      </w:pPr>
      <w:r w:rsidRPr="001B02BF">
        <w:rPr>
          <w:rFonts w:eastAsia="Times New Roman" w:cstheme="minorHAnsi"/>
        </w:rPr>
        <w:t xml:space="preserve">New classes are shown in red and highlighted total </w:t>
      </w:r>
      <w:r w:rsidR="000679E0">
        <w:rPr>
          <w:rFonts w:eastAsia="Times New Roman" w:cstheme="minorHAnsi"/>
        </w:rPr>
        <w:t xml:space="preserve">of </w:t>
      </w:r>
      <w:r w:rsidRPr="001B02BF">
        <w:rPr>
          <w:rFonts w:eastAsia="Times New Roman" w:cstheme="minorHAnsi"/>
        </w:rPr>
        <w:t>355 (pro-rated to reflect the different financial years) and are reflected in the funding formula proposals.</w:t>
      </w:r>
    </w:p>
    <w:p w14:paraId="47AAD1C1" w14:textId="7F3DAA2F" w:rsidR="001B02BF" w:rsidRPr="001B02BF" w:rsidRDefault="001B02BF" w:rsidP="001B02BF">
      <w:pPr>
        <w:spacing w:after="0"/>
        <w:rPr>
          <w:rFonts w:eastAsia="Times New Roman" w:cstheme="minorHAnsi"/>
        </w:rPr>
      </w:pPr>
    </w:p>
    <w:p w14:paraId="7BB6BB71" w14:textId="6B22C988" w:rsidR="001B02BF" w:rsidRPr="001B02BF" w:rsidRDefault="001B02BF" w:rsidP="001B02BF">
      <w:pPr>
        <w:spacing w:after="0"/>
        <w:rPr>
          <w:rFonts w:eastAsia="Times New Roman" w:cstheme="minorHAnsi"/>
        </w:rPr>
      </w:pPr>
      <w:r w:rsidRPr="001B02BF">
        <w:rPr>
          <w:rFonts w:eastAsia="Times New Roman" w:cstheme="minorHAnsi"/>
          <w:b/>
          <w:bCs/>
        </w:rPr>
        <w:t>Q – The total classes shown is 365 and not 355</w:t>
      </w:r>
      <w:r w:rsidRPr="001B02BF">
        <w:rPr>
          <w:rFonts w:eastAsia="Times New Roman" w:cstheme="minorHAnsi"/>
        </w:rPr>
        <w:t xml:space="preserve">? A – There is an adjustment as one is a maintained school and is accounted slightly differently. </w:t>
      </w:r>
    </w:p>
    <w:p w14:paraId="236F9DB5" w14:textId="4705204D" w:rsidR="001B02BF" w:rsidRDefault="001B02BF" w:rsidP="001B02BF">
      <w:pPr>
        <w:spacing w:after="0"/>
        <w:rPr>
          <w:rFonts w:eastAsia="Times New Roman" w:cstheme="minorHAnsi"/>
        </w:rPr>
      </w:pPr>
      <w:r w:rsidRPr="001B02BF">
        <w:rPr>
          <w:rFonts w:eastAsia="Times New Roman" w:cstheme="minorHAnsi"/>
          <w:b/>
          <w:bCs/>
        </w:rPr>
        <w:t>Q – These are new classes coming in which are in their 3</w:t>
      </w:r>
      <w:r w:rsidRPr="001B02BF">
        <w:rPr>
          <w:rFonts w:eastAsia="Times New Roman" w:cstheme="minorHAnsi"/>
          <w:b/>
          <w:bCs/>
          <w:vertAlign w:val="superscript"/>
        </w:rPr>
        <w:t>rd</w:t>
      </w:r>
      <w:r w:rsidRPr="001B02BF">
        <w:rPr>
          <w:rFonts w:eastAsia="Times New Roman" w:cstheme="minorHAnsi"/>
          <w:b/>
          <w:bCs/>
        </w:rPr>
        <w:t xml:space="preserve"> year of previously agreed funding?</w:t>
      </w:r>
      <w:r w:rsidRPr="001B02BF">
        <w:rPr>
          <w:rFonts w:eastAsia="Times New Roman" w:cstheme="minorHAnsi"/>
        </w:rPr>
        <w:t xml:space="preserve"> A – Yes. </w:t>
      </w:r>
    </w:p>
    <w:p w14:paraId="2AB4F74D" w14:textId="77777777" w:rsidR="001B02BF" w:rsidRDefault="001B02BF" w:rsidP="001B02BF">
      <w:pPr>
        <w:spacing w:after="0"/>
        <w:rPr>
          <w:rFonts w:eastAsia="Times New Roman" w:cstheme="minorHAnsi"/>
        </w:rPr>
      </w:pPr>
    </w:p>
    <w:p w14:paraId="5841FABC" w14:textId="6FD8F7B9" w:rsidR="001B02BF" w:rsidRPr="001B02BF" w:rsidRDefault="001B02BF" w:rsidP="001B02BF">
      <w:pPr>
        <w:spacing w:after="0"/>
        <w:rPr>
          <w:rFonts w:eastAsia="Times New Roman" w:cstheme="minorHAnsi"/>
        </w:rPr>
      </w:pPr>
      <w:r w:rsidRPr="001B02BF">
        <w:rPr>
          <w:rFonts w:asciiTheme="majorHAnsi" w:eastAsia="Times New Roman" w:hAnsiTheme="majorHAnsi" w:cstheme="majorHAnsi"/>
          <w:b/>
          <w:bCs/>
          <w:sz w:val="24"/>
          <w:szCs w:val="24"/>
        </w:rPr>
        <w:t>Decision -</w:t>
      </w:r>
      <w:r>
        <w:rPr>
          <w:rFonts w:eastAsia="Times New Roman" w:cstheme="minorHAnsi"/>
        </w:rPr>
        <w:t xml:space="preserve"> </w:t>
      </w:r>
      <w:r w:rsidRPr="001B02BF">
        <w:rPr>
          <w:rFonts w:eastAsia="Times New Roman" w:cstheme="minorHAnsi"/>
        </w:rPr>
        <w:t>The</w:t>
      </w:r>
      <w:r w:rsidRPr="001B02BF">
        <w:rPr>
          <w:rFonts w:eastAsia="Times New Roman" w:cstheme="minorHAnsi"/>
          <w:sz w:val="24"/>
          <w:szCs w:val="24"/>
        </w:rPr>
        <w:t xml:space="preserve"> ongoing PAN commitments as per table 3 above – All voted and agreed. </w:t>
      </w:r>
    </w:p>
    <w:p w14:paraId="42137FCB" w14:textId="763CDDC1" w:rsidR="001B02BF" w:rsidRDefault="001B02BF" w:rsidP="001B02BF">
      <w:pPr>
        <w:spacing w:after="0"/>
        <w:ind w:left="567" w:hanging="567"/>
        <w:rPr>
          <w:rFonts w:eastAsia="Times New Roman" w:cstheme="minorHAnsi"/>
        </w:rPr>
      </w:pPr>
    </w:p>
    <w:p w14:paraId="011A6165" w14:textId="288D3025" w:rsidR="001B02BF" w:rsidRDefault="001B02BF" w:rsidP="001B02BF">
      <w:pPr>
        <w:rPr>
          <w:rFonts w:eastAsia="Times New Roman" w:cs="Arial"/>
          <w:sz w:val="24"/>
          <w:szCs w:val="24"/>
        </w:rPr>
      </w:pPr>
      <w:r w:rsidRPr="001B02BF">
        <w:rPr>
          <w:rFonts w:eastAsia="Times New Roman" w:cs="Arial"/>
          <w:sz w:val="24"/>
          <w:szCs w:val="24"/>
        </w:rPr>
        <w:t>Table 4 below shows the new school</w:t>
      </w:r>
      <w:r w:rsidR="00310875">
        <w:rPr>
          <w:rFonts w:eastAsia="Times New Roman" w:cs="Arial"/>
          <w:sz w:val="24"/>
          <w:szCs w:val="24"/>
        </w:rPr>
        <w:t>'</w:t>
      </w:r>
      <w:r w:rsidRPr="001B02BF">
        <w:rPr>
          <w:rFonts w:eastAsia="Times New Roman" w:cs="Arial"/>
          <w:sz w:val="24"/>
          <w:szCs w:val="24"/>
        </w:rPr>
        <w:t>s places required from September 2020 where the PAN changes have been agreed with the place planning team</w:t>
      </w:r>
      <w:r>
        <w:rPr>
          <w:rFonts w:eastAsia="Times New Roman" w:cs="Arial"/>
          <w:sz w:val="24"/>
          <w:szCs w:val="24"/>
        </w:rPr>
        <w:t xml:space="preserve"> but have not been to the school</w:t>
      </w:r>
      <w:r w:rsidR="00310875">
        <w:rPr>
          <w:rFonts w:eastAsia="Times New Roman" w:cs="Arial"/>
          <w:sz w:val="24"/>
          <w:szCs w:val="24"/>
        </w:rPr>
        <w:t>'</w:t>
      </w:r>
      <w:r>
        <w:rPr>
          <w:rFonts w:eastAsia="Times New Roman" w:cs="Arial"/>
          <w:sz w:val="24"/>
          <w:szCs w:val="24"/>
        </w:rPr>
        <w:t xml:space="preserve">s forum before. </w:t>
      </w:r>
      <w:r w:rsidRPr="001B02BF">
        <w:rPr>
          <w:rFonts w:eastAsia="Times New Roman" w:cs="Arial"/>
          <w:sz w:val="24"/>
          <w:szCs w:val="24"/>
        </w:rPr>
        <w:t>The new class growth funding associated with this group of schools is £90,000.</w:t>
      </w:r>
      <w:r>
        <w:rPr>
          <w:rFonts w:eastAsia="Times New Roman" w:cs="Arial"/>
          <w:sz w:val="24"/>
          <w:szCs w:val="24"/>
        </w:rPr>
        <w:t xml:space="preserve"> This includes the bulge year for secondary. </w:t>
      </w:r>
    </w:p>
    <w:p w14:paraId="23FFDE3C" w14:textId="77777777" w:rsidR="001B02BF" w:rsidRDefault="001B02BF" w:rsidP="001B02BF">
      <w:r w:rsidRPr="001B02BF">
        <w:rPr>
          <w:b/>
          <w:bCs/>
        </w:rPr>
        <w:t>Q - Bulge classes have a 6% cap, this would affect small schools e.g. If you are a cohort of 120 an extra class won’t affect you if you are 30 Pan and then asked to take another 30 and would be affected in their funding?</w:t>
      </w:r>
      <w:r>
        <w:t xml:space="preserve"> A – Yes on </w:t>
      </w:r>
      <w:proofErr w:type="spellStart"/>
      <w:r>
        <w:t>secondaries</w:t>
      </w:r>
      <w:proofErr w:type="spellEnd"/>
      <w:r>
        <w:t>, not so much with primaries, it would be adjusted for the additional.</w:t>
      </w:r>
    </w:p>
    <w:p w14:paraId="1BB1B46A" w14:textId="77777777" w:rsidR="001B02BF" w:rsidRPr="004C136D" w:rsidRDefault="001B02BF" w:rsidP="001B02BF">
      <w:pPr>
        <w:pStyle w:val="ListParagraph"/>
        <w:ind w:left="567"/>
        <w:rPr>
          <w:rFonts w:eastAsia="Times New Roman" w:cs="Arial"/>
          <w:b/>
          <w:sz w:val="24"/>
          <w:szCs w:val="24"/>
          <w:u w:val="single"/>
        </w:rPr>
      </w:pPr>
      <w:r w:rsidRPr="004C136D">
        <w:rPr>
          <w:rFonts w:eastAsia="Times New Roman" w:cs="Arial"/>
          <w:b/>
          <w:sz w:val="24"/>
          <w:szCs w:val="24"/>
          <w:u w:val="single"/>
        </w:rPr>
        <w:t>Table 4 – New School Places from September 2020.</w:t>
      </w:r>
    </w:p>
    <w:p w14:paraId="0B62FAD0" w14:textId="77777777" w:rsidR="001B02BF" w:rsidRDefault="001B02BF" w:rsidP="001B02BF">
      <w:pPr>
        <w:pStyle w:val="ListParagraph"/>
        <w:spacing w:after="0" w:line="240" w:lineRule="auto"/>
        <w:ind w:left="567"/>
        <w:rPr>
          <w:rFonts w:eastAsia="Times New Roman" w:cs="Arial"/>
          <w:b/>
          <w:sz w:val="24"/>
          <w:szCs w:val="24"/>
        </w:rPr>
      </w:pPr>
    </w:p>
    <w:p w14:paraId="6F3CA8CB" w14:textId="77777777" w:rsidR="001B02BF" w:rsidRDefault="001B02BF" w:rsidP="001B02BF">
      <w:pPr>
        <w:pStyle w:val="ListParagraph"/>
        <w:spacing w:after="0" w:line="240" w:lineRule="auto"/>
        <w:ind w:left="567"/>
        <w:rPr>
          <w:rFonts w:eastAsia="Times New Roman" w:cs="Arial"/>
          <w:b/>
          <w:sz w:val="24"/>
          <w:szCs w:val="24"/>
        </w:rPr>
      </w:pPr>
      <w:r w:rsidRPr="004C136D">
        <w:rPr>
          <w:noProof/>
          <w:lang w:val="en-GB" w:eastAsia="en-GB"/>
        </w:rPr>
        <w:drawing>
          <wp:inline distT="0" distB="0" distL="0" distR="0" wp14:anchorId="17685E3F" wp14:editId="19F45F6C">
            <wp:extent cx="5731510" cy="282298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22983"/>
                    </a:xfrm>
                    <a:prstGeom prst="rect">
                      <a:avLst/>
                    </a:prstGeom>
                    <a:noFill/>
                    <a:ln>
                      <a:noFill/>
                    </a:ln>
                  </pic:spPr>
                </pic:pic>
              </a:graphicData>
            </a:graphic>
          </wp:inline>
        </w:drawing>
      </w:r>
    </w:p>
    <w:p w14:paraId="40DA7A58" w14:textId="77777777" w:rsidR="001B02BF" w:rsidRDefault="001B02BF" w:rsidP="001B02BF">
      <w:pPr>
        <w:pStyle w:val="ListParagraph"/>
        <w:spacing w:after="0" w:line="240" w:lineRule="auto"/>
        <w:ind w:left="0"/>
        <w:rPr>
          <w:rFonts w:eastAsia="Times New Roman" w:cs="Arial"/>
        </w:rPr>
      </w:pPr>
    </w:p>
    <w:p w14:paraId="7535DEBA" w14:textId="1F6C21D4" w:rsidR="001B02BF" w:rsidRPr="001B02BF" w:rsidRDefault="001B02BF" w:rsidP="001B02BF">
      <w:pPr>
        <w:rPr>
          <w:rFonts w:eastAsia="Times New Roman" w:cstheme="minorHAnsi"/>
          <w:sz w:val="24"/>
          <w:szCs w:val="24"/>
        </w:rPr>
      </w:pPr>
      <w:r w:rsidRPr="001B02BF">
        <w:rPr>
          <w:rFonts w:asciiTheme="majorHAnsi" w:eastAsia="Times New Roman" w:hAnsiTheme="majorHAnsi" w:cstheme="majorHAnsi"/>
          <w:b/>
          <w:bCs/>
          <w:sz w:val="24"/>
          <w:szCs w:val="24"/>
        </w:rPr>
        <w:t>Decision -</w:t>
      </w:r>
      <w:r>
        <w:rPr>
          <w:rFonts w:eastAsia="Times New Roman" w:cstheme="minorHAnsi"/>
          <w:sz w:val="24"/>
          <w:szCs w:val="24"/>
        </w:rPr>
        <w:t xml:space="preserve"> </w:t>
      </w:r>
      <w:r w:rsidRPr="001B02BF">
        <w:rPr>
          <w:rFonts w:eastAsia="Times New Roman" w:cstheme="minorHAnsi"/>
          <w:sz w:val="24"/>
          <w:szCs w:val="24"/>
        </w:rPr>
        <w:t xml:space="preserve">The new specified school PAN increase as per table 4 above. – </w:t>
      </w:r>
      <w:bookmarkStart w:id="2" w:name="_Hlk30156740"/>
      <w:r w:rsidRPr="001B02BF">
        <w:rPr>
          <w:rFonts w:eastAsia="Times New Roman" w:cstheme="minorHAnsi"/>
          <w:sz w:val="24"/>
          <w:szCs w:val="24"/>
        </w:rPr>
        <w:t>All eligible members voted and agreed. (Those with declarations abstained.)</w:t>
      </w:r>
    </w:p>
    <w:bookmarkEnd w:id="2"/>
    <w:p w14:paraId="49FE52EB" w14:textId="77777777" w:rsidR="001B02BF" w:rsidRDefault="001B02BF" w:rsidP="001B02BF">
      <w:pPr>
        <w:pStyle w:val="ListParagraph"/>
        <w:spacing w:after="0" w:line="240" w:lineRule="auto"/>
        <w:ind w:left="567"/>
        <w:rPr>
          <w:rFonts w:eastAsia="Times New Roman" w:cs="Arial"/>
          <w:sz w:val="24"/>
          <w:szCs w:val="24"/>
        </w:rPr>
      </w:pPr>
    </w:p>
    <w:p w14:paraId="193F5346" w14:textId="4B7CCFF6" w:rsidR="001B02BF" w:rsidRPr="001B02BF" w:rsidRDefault="001B02BF" w:rsidP="001B02BF">
      <w:pPr>
        <w:pStyle w:val="ListParagraph"/>
        <w:spacing w:after="0" w:line="240" w:lineRule="auto"/>
        <w:ind w:left="0"/>
        <w:rPr>
          <w:rFonts w:eastAsia="Times New Roman" w:cs="Arial"/>
          <w:b/>
          <w:u w:val="single"/>
        </w:rPr>
      </w:pPr>
      <w:r w:rsidRPr="001B02BF">
        <w:rPr>
          <w:rFonts w:eastAsia="Times New Roman" w:cs="Arial"/>
        </w:rPr>
        <w:t>Table 5 below shows the new school</w:t>
      </w:r>
      <w:r w:rsidR="00310875">
        <w:rPr>
          <w:rFonts w:eastAsia="Times New Roman" w:cs="Arial"/>
        </w:rPr>
        <w:t>'</w:t>
      </w:r>
      <w:r w:rsidRPr="001B02BF">
        <w:rPr>
          <w:rFonts w:eastAsia="Times New Roman" w:cs="Arial"/>
        </w:rPr>
        <w:t>s places required from September 2020 but where the place planning team are still negotiating with schools and the cost associated with this group of school or schools is £118,500.</w:t>
      </w:r>
    </w:p>
    <w:p w14:paraId="2D6A738E" w14:textId="77777777" w:rsidR="001B02BF" w:rsidRPr="00A87F4D" w:rsidRDefault="001B02BF" w:rsidP="001B02BF">
      <w:pPr>
        <w:pStyle w:val="ListParagraph"/>
        <w:spacing w:after="0" w:line="240" w:lineRule="auto"/>
        <w:ind w:left="0"/>
        <w:rPr>
          <w:rFonts w:eastAsia="Times New Roman" w:cs="Arial"/>
          <w:b/>
          <w:sz w:val="24"/>
          <w:szCs w:val="24"/>
          <w:u w:val="single"/>
        </w:rPr>
      </w:pPr>
    </w:p>
    <w:p w14:paraId="67DFE13B" w14:textId="77777777" w:rsidR="001B02BF" w:rsidRPr="00A87F4D" w:rsidRDefault="001B02BF" w:rsidP="001B02BF">
      <w:pPr>
        <w:pStyle w:val="ListParagraph"/>
        <w:spacing w:after="0" w:line="240" w:lineRule="auto"/>
        <w:ind w:left="567"/>
        <w:rPr>
          <w:rFonts w:eastAsia="Times New Roman" w:cs="Arial"/>
          <w:b/>
          <w:sz w:val="24"/>
          <w:szCs w:val="24"/>
          <w:u w:val="single"/>
        </w:rPr>
      </w:pPr>
      <w:r w:rsidRPr="00A87F4D">
        <w:rPr>
          <w:rFonts w:eastAsia="Times New Roman" w:cs="Arial"/>
          <w:b/>
          <w:sz w:val="24"/>
          <w:szCs w:val="24"/>
          <w:u w:val="single"/>
        </w:rPr>
        <w:t xml:space="preserve">Table </w:t>
      </w:r>
      <w:r>
        <w:rPr>
          <w:rFonts w:eastAsia="Times New Roman" w:cs="Arial"/>
          <w:b/>
          <w:sz w:val="24"/>
          <w:szCs w:val="24"/>
          <w:u w:val="single"/>
        </w:rPr>
        <w:t>5</w:t>
      </w:r>
      <w:r w:rsidRPr="00A87F4D">
        <w:rPr>
          <w:rFonts w:eastAsia="Times New Roman" w:cs="Arial"/>
          <w:b/>
          <w:sz w:val="24"/>
          <w:szCs w:val="24"/>
          <w:u w:val="single"/>
        </w:rPr>
        <w:t xml:space="preserve"> – Newly unspecified school places.</w:t>
      </w:r>
    </w:p>
    <w:p w14:paraId="12D07BB0" w14:textId="77777777" w:rsidR="001B02BF" w:rsidRPr="00A87F4D" w:rsidRDefault="001B02BF" w:rsidP="001B02BF">
      <w:pPr>
        <w:pStyle w:val="ListParagraph"/>
        <w:spacing w:after="0" w:line="240" w:lineRule="auto"/>
        <w:ind w:left="567"/>
        <w:rPr>
          <w:rFonts w:eastAsia="Times New Roman" w:cs="Arial"/>
          <w:b/>
          <w:sz w:val="24"/>
          <w:szCs w:val="24"/>
          <w:u w:val="single"/>
        </w:rPr>
      </w:pPr>
    </w:p>
    <w:p w14:paraId="6325CDF3" w14:textId="77777777" w:rsidR="001B02BF" w:rsidRPr="00A87F4D" w:rsidRDefault="001B02BF" w:rsidP="001B02BF">
      <w:pPr>
        <w:spacing w:after="0"/>
        <w:ind w:left="567"/>
        <w:rPr>
          <w:rFonts w:eastAsia="Times New Roman" w:cstheme="minorHAnsi"/>
          <w:sz w:val="24"/>
          <w:szCs w:val="24"/>
        </w:rPr>
      </w:pPr>
      <w:r w:rsidRPr="00A87F4D">
        <w:rPr>
          <w:noProof/>
          <w:lang w:val="en-GB" w:eastAsia="en-GB"/>
        </w:rPr>
        <w:drawing>
          <wp:inline distT="0" distB="0" distL="0" distR="0" wp14:anchorId="4EFD5F1E" wp14:editId="6936D42B">
            <wp:extent cx="5731510" cy="945404"/>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45404"/>
                    </a:xfrm>
                    <a:prstGeom prst="rect">
                      <a:avLst/>
                    </a:prstGeom>
                    <a:noFill/>
                    <a:ln>
                      <a:noFill/>
                    </a:ln>
                  </pic:spPr>
                </pic:pic>
              </a:graphicData>
            </a:graphic>
          </wp:inline>
        </w:drawing>
      </w:r>
    </w:p>
    <w:p w14:paraId="3C5ADA44" w14:textId="77777777" w:rsidR="001B02BF" w:rsidRPr="00A87F4D" w:rsidRDefault="001B02BF" w:rsidP="001B02BF">
      <w:pPr>
        <w:spacing w:after="0"/>
        <w:ind w:left="567"/>
        <w:rPr>
          <w:rFonts w:eastAsia="Times New Roman" w:cstheme="minorHAnsi"/>
          <w:sz w:val="24"/>
          <w:szCs w:val="24"/>
        </w:rPr>
      </w:pPr>
    </w:p>
    <w:p w14:paraId="3CDC0628" w14:textId="52431164" w:rsidR="001B02BF" w:rsidRPr="001B02BF" w:rsidRDefault="001B02BF" w:rsidP="001B02BF">
      <w:pPr>
        <w:spacing w:after="0"/>
        <w:rPr>
          <w:rFonts w:eastAsia="Times New Roman" w:cstheme="minorHAnsi"/>
          <w:b/>
        </w:rPr>
      </w:pPr>
      <w:r w:rsidRPr="001B02BF">
        <w:rPr>
          <w:rFonts w:eastAsia="Times New Roman" w:cstheme="minorHAnsi"/>
        </w:rPr>
        <w:t>The 2020-21 growth fund budget has been allocated at £1,363,500 this compares to the £1,062,631 allocated in 2019/20.</w:t>
      </w:r>
    </w:p>
    <w:p w14:paraId="5FE50B04" w14:textId="6A2AD158" w:rsidR="001B02BF" w:rsidRPr="003111DA" w:rsidRDefault="001B02BF" w:rsidP="001B02BF">
      <w:pPr>
        <w:spacing w:after="0"/>
        <w:ind w:left="567" w:hanging="567"/>
        <w:rPr>
          <w:rFonts w:eastAsia="Times New Roman" w:cstheme="minorHAnsi"/>
          <w:b/>
          <w:sz w:val="24"/>
          <w:szCs w:val="24"/>
        </w:rPr>
      </w:pPr>
    </w:p>
    <w:p w14:paraId="3EA2F97D" w14:textId="47C86F08" w:rsidR="001B02BF" w:rsidRDefault="001B02BF" w:rsidP="001B02BF">
      <w:pPr>
        <w:spacing w:after="0" w:line="240" w:lineRule="auto"/>
        <w:rPr>
          <w:rFonts w:eastAsia="Times New Roman" w:cstheme="minorHAnsi"/>
          <w:sz w:val="24"/>
          <w:szCs w:val="24"/>
        </w:rPr>
      </w:pPr>
      <w:r w:rsidRPr="001B02BF">
        <w:rPr>
          <w:rFonts w:asciiTheme="majorHAnsi" w:eastAsia="Times New Roman" w:hAnsiTheme="majorHAnsi" w:cstheme="majorHAnsi"/>
          <w:b/>
          <w:bCs/>
          <w:sz w:val="24"/>
          <w:szCs w:val="24"/>
        </w:rPr>
        <w:t>Decision -</w:t>
      </w:r>
      <w:r w:rsidRPr="001B02BF">
        <w:rPr>
          <w:rFonts w:eastAsia="Times New Roman" w:cstheme="minorHAnsi"/>
          <w:sz w:val="24"/>
          <w:szCs w:val="24"/>
        </w:rPr>
        <w:t xml:space="preserve"> The 1 newly unspecified school PAN increase as per table 5 above and to </w:t>
      </w:r>
      <w:r>
        <w:rPr>
          <w:rFonts w:eastAsia="Times New Roman" w:cstheme="minorHAnsi"/>
          <w:sz w:val="24"/>
          <w:szCs w:val="24"/>
        </w:rPr>
        <w:t>r</w:t>
      </w:r>
      <w:r w:rsidRPr="001B02BF">
        <w:rPr>
          <w:rFonts w:eastAsia="Times New Roman" w:cstheme="minorHAnsi"/>
          <w:sz w:val="24"/>
          <w:szCs w:val="24"/>
        </w:rPr>
        <w:t xml:space="preserve">atify the Growth fund budget of £1,363,500 for 2020-21. </w:t>
      </w:r>
      <w:r>
        <w:rPr>
          <w:rFonts w:eastAsia="Times New Roman" w:cstheme="minorHAnsi"/>
          <w:sz w:val="24"/>
          <w:szCs w:val="24"/>
        </w:rPr>
        <w:t xml:space="preserve">- </w:t>
      </w:r>
      <w:r w:rsidRPr="001B02BF">
        <w:t xml:space="preserve"> </w:t>
      </w:r>
      <w:r w:rsidRPr="001B02BF">
        <w:rPr>
          <w:rFonts w:eastAsia="Times New Roman" w:cstheme="minorHAnsi"/>
          <w:sz w:val="24"/>
          <w:szCs w:val="24"/>
        </w:rPr>
        <w:t>All eligible members voted and agreed. (Those with declarations abstained.)</w:t>
      </w:r>
    </w:p>
    <w:p w14:paraId="6F586A9B" w14:textId="77777777" w:rsidR="001B02BF" w:rsidRPr="001B02BF" w:rsidRDefault="001B02BF" w:rsidP="001B02BF">
      <w:pPr>
        <w:spacing w:after="0" w:line="240" w:lineRule="auto"/>
        <w:rPr>
          <w:rFonts w:eastAsia="Times New Roman" w:cstheme="minorHAnsi"/>
          <w:sz w:val="24"/>
          <w:szCs w:val="24"/>
        </w:rPr>
      </w:pPr>
    </w:p>
    <w:p w14:paraId="70E4742A" w14:textId="45D4C7FA" w:rsidR="001B02BF" w:rsidRPr="003111DA" w:rsidRDefault="001B02BF" w:rsidP="001B02BF">
      <w:pPr>
        <w:spacing w:after="0"/>
        <w:ind w:left="567" w:hanging="567"/>
        <w:rPr>
          <w:rFonts w:eastAsia="Times New Roman" w:cstheme="minorHAnsi"/>
          <w:b/>
          <w:sz w:val="24"/>
          <w:szCs w:val="24"/>
        </w:rPr>
      </w:pPr>
      <w:r w:rsidRPr="003111DA">
        <w:rPr>
          <w:rFonts w:eastAsia="Times New Roman" w:cstheme="minorHAnsi"/>
          <w:b/>
          <w:sz w:val="24"/>
          <w:szCs w:val="24"/>
        </w:rPr>
        <w:t>De-Delegated Services</w:t>
      </w:r>
    </w:p>
    <w:p w14:paraId="074955B0" w14:textId="77777777" w:rsidR="001B02BF" w:rsidRPr="001B02BF" w:rsidRDefault="001B02BF" w:rsidP="001B02BF">
      <w:pPr>
        <w:spacing w:after="0"/>
        <w:ind w:left="567" w:hanging="567"/>
        <w:rPr>
          <w:rFonts w:eastAsia="Times New Roman" w:cstheme="minorHAnsi"/>
          <w:b/>
        </w:rPr>
      </w:pPr>
    </w:p>
    <w:p w14:paraId="7F9DBCCC" w14:textId="13DF50B6" w:rsidR="001B02BF" w:rsidRPr="001B02BF" w:rsidRDefault="001B02BF" w:rsidP="001B02BF">
      <w:pPr>
        <w:pStyle w:val="ListParagraph"/>
        <w:spacing w:after="0"/>
        <w:ind w:left="0"/>
        <w:rPr>
          <w:rFonts w:eastAsia="Times New Roman" w:cstheme="minorHAnsi"/>
        </w:rPr>
      </w:pPr>
      <w:r w:rsidRPr="001B02BF">
        <w:rPr>
          <w:rFonts w:eastAsia="Times New Roman" w:cstheme="minorHAnsi"/>
        </w:rPr>
        <w:t>MB note</w:t>
      </w:r>
      <w:r w:rsidR="00AC00EE">
        <w:rPr>
          <w:rFonts w:eastAsia="Times New Roman" w:cstheme="minorHAnsi"/>
        </w:rPr>
        <w:t>d</w:t>
      </w:r>
      <w:r w:rsidRPr="001B02BF">
        <w:rPr>
          <w:rFonts w:eastAsia="Times New Roman" w:cstheme="minorHAnsi"/>
        </w:rPr>
        <w:t xml:space="preserve"> that there is a shortlist of budgets that are currently held centrally</w:t>
      </w:r>
      <w:r w:rsidR="00AC00EE">
        <w:rPr>
          <w:rFonts w:eastAsia="Times New Roman" w:cstheme="minorHAnsi"/>
        </w:rPr>
        <w:t>,</w:t>
      </w:r>
      <w:r w:rsidRPr="001B02BF">
        <w:rPr>
          <w:rFonts w:eastAsia="Times New Roman" w:cstheme="minorHAnsi"/>
        </w:rPr>
        <w:t xml:space="preserve"> </w:t>
      </w:r>
      <w:r w:rsidR="00AC00EE">
        <w:rPr>
          <w:rFonts w:eastAsia="Times New Roman" w:cstheme="minorHAnsi"/>
        </w:rPr>
        <w:t>these</w:t>
      </w:r>
      <w:r w:rsidRPr="001B02BF">
        <w:rPr>
          <w:rFonts w:eastAsia="Times New Roman" w:cstheme="minorHAnsi"/>
        </w:rPr>
        <w:t xml:space="preserve"> must be delegated to schools/academies through the funding formula in 2020-21. However, the LA can ask the Schools Forum’s approval for them to be ‘de-delegated’ in order for these funds to be pooled centrally and managed by the LA. Any underspends at year-end will be carried forward to De-delegations or to the Schools Block of the Dedicated Schools Grant. De-delegation applies only to mainstream maintained schools (so not academies, special schools or PRUs) as only these schools would benefit from the services that are funded centrally.  It is, however, possible for academies, special schools and PRUs to buy into these services as part of the LA’s ‘buy-</w:t>
      </w:r>
      <w:proofErr w:type="gramStart"/>
      <w:r w:rsidRPr="001B02BF">
        <w:rPr>
          <w:rFonts w:eastAsia="Times New Roman" w:cstheme="minorHAnsi"/>
        </w:rPr>
        <w:t xml:space="preserve">back’ </w:t>
      </w:r>
      <w:r w:rsidR="00AC00EE">
        <w:rPr>
          <w:rFonts w:eastAsia="Times New Roman" w:cstheme="minorHAnsi"/>
        </w:rPr>
        <w:t>.</w:t>
      </w:r>
      <w:proofErr w:type="gramEnd"/>
    </w:p>
    <w:p w14:paraId="1EE33CE0" w14:textId="77777777" w:rsidR="001B02BF" w:rsidRDefault="001B02BF" w:rsidP="001B02BF">
      <w:pPr>
        <w:spacing w:after="0" w:line="240" w:lineRule="auto"/>
        <w:ind w:left="567" w:hanging="567"/>
        <w:rPr>
          <w:rFonts w:eastAsia="Times New Roman" w:cstheme="minorHAnsi"/>
          <w:sz w:val="24"/>
          <w:szCs w:val="24"/>
        </w:rPr>
      </w:pPr>
    </w:p>
    <w:p w14:paraId="6BF9A90B" w14:textId="78E1B3A0" w:rsidR="001B02BF" w:rsidRPr="001B02BF" w:rsidRDefault="001B02BF" w:rsidP="001B02BF">
      <w:pPr>
        <w:spacing w:after="0" w:line="240" w:lineRule="auto"/>
        <w:ind w:left="567" w:hanging="567"/>
        <w:rPr>
          <w:rFonts w:eastAsia="Times New Roman" w:cstheme="minorHAnsi"/>
        </w:rPr>
      </w:pPr>
      <w:bookmarkStart w:id="3" w:name="_Hlk30157125"/>
      <w:r w:rsidRPr="001B02BF">
        <w:rPr>
          <w:rFonts w:asciiTheme="majorHAnsi" w:eastAsia="Times New Roman" w:hAnsiTheme="majorHAnsi" w:cstheme="majorHAnsi"/>
          <w:b/>
          <w:bCs/>
          <w:sz w:val="24"/>
          <w:szCs w:val="24"/>
        </w:rPr>
        <w:t xml:space="preserve">Decision - </w:t>
      </w:r>
      <w:r w:rsidRPr="001B02BF">
        <w:rPr>
          <w:rFonts w:eastAsia="Times New Roman" w:cstheme="minorHAnsi"/>
        </w:rPr>
        <w:t>Maintained</w:t>
      </w:r>
      <w:r w:rsidRPr="001B02BF">
        <w:rPr>
          <w:rFonts w:eastAsia="Times New Roman" w:cstheme="minorHAnsi"/>
          <w:b/>
          <w:bCs/>
        </w:rPr>
        <w:t xml:space="preserve"> Secondary</w:t>
      </w:r>
      <w:r w:rsidRPr="001B02BF">
        <w:rPr>
          <w:rFonts w:eastAsia="Times New Roman" w:cstheme="minorHAnsi"/>
        </w:rPr>
        <w:t xml:space="preserve"> school members voted and agreed.  </w:t>
      </w:r>
    </w:p>
    <w:p w14:paraId="63D70E6B" w14:textId="77777777" w:rsidR="001B02BF" w:rsidRPr="001B02BF" w:rsidRDefault="001B02BF" w:rsidP="001B02BF">
      <w:pPr>
        <w:pStyle w:val="ListParagraph"/>
        <w:numPr>
          <w:ilvl w:val="1"/>
          <w:numId w:val="25"/>
        </w:numPr>
        <w:spacing w:after="0" w:line="240" w:lineRule="auto"/>
        <w:rPr>
          <w:rFonts w:eastAsia="Times New Roman" w:cstheme="minorHAnsi"/>
        </w:rPr>
      </w:pPr>
      <w:r w:rsidRPr="001B02BF">
        <w:rPr>
          <w:rFonts w:eastAsia="Times New Roman" w:cstheme="minorHAnsi"/>
        </w:rPr>
        <w:t>Trade Union support</w:t>
      </w:r>
      <w:r w:rsidRPr="001B02BF">
        <w:rPr>
          <w:rFonts w:cstheme="minorHAnsi"/>
        </w:rPr>
        <w:t xml:space="preserve"> </w:t>
      </w:r>
      <w:r w:rsidRPr="001B02BF">
        <w:rPr>
          <w:rFonts w:eastAsia="Times New Roman" w:cstheme="minorHAnsi"/>
        </w:rPr>
        <w:t>- £1.45 per pupil for both primary and secondary.</w:t>
      </w:r>
    </w:p>
    <w:p w14:paraId="4C510FCA" w14:textId="166B679D" w:rsidR="001B02BF" w:rsidRPr="001B02BF" w:rsidRDefault="001B02BF" w:rsidP="001B02BF">
      <w:pPr>
        <w:pStyle w:val="ListParagraph"/>
        <w:numPr>
          <w:ilvl w:val="1"/>
          <w:numId w:val="25"/>
        </w:numPr>
        <w:spacing w:after="0" w:line="240" w:lineRule="auto"/>
        <w:rPr>
          <w:rFonts w:eastAsia="Times New Roman" w:cstheme="minorHAnsi"/>
        </w:rPr>
      </w:pPr>
      <w:r w:rsidRPr="001B02BF">
        <w:rPr>
          <w:rFonts w:eastAsia="Times New Roman" w:cstheme="minorHAnsi"/>
        </w:rPr>
        <w:t xml:space="preserve">Central Services </w:t>
      </w:r>
      <w:r w:rsidRPr="001B02BF">
        <w:rPr>
          <w:rFonts w:cstheme="minorHAnsi"/>
        </w:rPr>
        <w:t>-</w:t>
      </w:r>
      <w:r w:rsidRPr="001B02BF">
        <w:rPr>
          <w:rFonts w:eastAsia="Times New Roman" w:cstheme="minorHAnsi"/>
        </w:rPr>
        <w:t xml:space="preserve"> £66.00 per pupil for both primary and secondary </w:t>
      </w:r>
      <w:r w:rsidR="00310875">
        <w:rPr>
          <w:rFonts w:eastAsia="Times New Roman" w:cstheme="minorHAnsi"/>
        </w:rPr>
        <w:t>s</w:t>
      </w:r>
      <w:r w:rsidRPr="001B02BF">
        <w:rPr>
          <w:rFonts w:eastAsia="Times New Roman" w:cstheme="minorHAnsi"/>
        </w:rPr>
        <w:t xml:space="preserve">chools. </w:t>
      </w:r>
    </w:p>
    <w:p w14:paraId="5CD787F5" w14:textId="77777777" w:rsidR="001B02BF" w:rsidRPr="001B02BF" w:rsidRDefault="001B02BF" w:rsidP="001B02BF">
      <w:pPr>
        <w:pStyle w:val="ListParagraph"/>
        <w:numPr>
          <w:ilvl w:val="1"/>
          <w:numId w:val="25"/>
        </w:numPr>
        <w:spacing w:after="0" w:line="240" w:lineRule="auto"/>
        <w:rPr>
          <w:rFonts w:eastAsia="Times New Roman" w:cstheme="minorHAnsi"/>
        </w:rPr>
      </w:pPr>
      <w:r w:rsidRPr="001B02BF">
        <w:rPr>
          <w:rFonts w:eastAsia="Times New Roman" w:cstheme="minorHAnsi"/>
        </w:rPr>
        <w:t>Free School Meals - £0.60 per pupil for both primary and secondary.</w:t>
      </w:r>
    </w:p>
    <w:bookmarkEnd w:id="3"/>
    <w:p w14:paraId="09FDEC27" w14:textId="6C1D938F" w:rsidR="001B02BF" w:rsidRPr="001B02BF" w:rsidRDefault="001B02BF" w:rsidP="001B02BF">
      <w:pPr>
        <w:spacing w:after="0" w:line="240" w:lineRule="auto"/>
        <w:ind w:left="567" w:hanging="567"/>
        <w:rPr>
          <w:rFonts w:eastAsia="Times New Roman" w:cstheme="minorHAnsi"/>
        </w:rPr>
      </w:pPr>
      <w:r w:rsidRPr="001B02BF">
        <w:rPr>
          <w:rFonts w:asciiTheme="majorHAnsi" w:eastAsia="Times New Roman" w:hAnsiTheme="majorHAnsi" w:cstheme="majorHAnsi"/>
          <w:b/>
          <w:bCs/>
          <w:sz w:val="24"/>
          <w:szCs w:val="24"/>
        </w:rPr>
        <w:t xml:space="preserve">Decision - </w:t>
      </w:r>
      <w:r w:rsidRPr="001B02BF">
        <w:rPr>
          <w:rFonts w:eastAsia="Times New Roman" w:cstheme="minorHAnsi"/>
        </w:rPr>
        <w:t>Maintained</w:t>
      </w:r>
      <w:r w:rsidRPr="001B02BF">
        <w:rPr>
          <w:rFonts w:eastAsia="Times New Roman" w:cstheme="minorHAnsi"/>
          <w:b/>
          <w:bCs/>
        </w:rPr>
        <w:t xml:space="preserve"> Primary</w:t>
      </w:r>
      <w:r w:rsidRPr="001B02BF">
        <w:rPr>
          <w:rFonts w:eastAsia="Times New Roman" w:cstheme="minorHAnsi"/>
        </w:rPr>
        <w:t xml:space="preserve"> school members voted and agreed.  </w:t>
      </w:r>
    </w:p>
    <w:p w14:paraId="6D594D7C" w14:textId="77777777" w:rsidR="001B02BF" w:rsidRPr="001B02BF" w:rsidRDefault="001B02BF" w:rsidP="001B02BF">
      <w:pPr>
        <w:pStyle w:val="ListParagraph"/>
        <w:numPr>
          <w:ilvl w:val="0"/>
          <w:numId w:val="30"/>
        </w:numPr>
        <w:spacing w:after="0" w:line="240" w:lineRule="auto"/>
        <w:ind w:firstLine="273"/>
        <w:rPr>
          <w:rFonts w:eastAsia="Times New Roman" w:cstheme="minorHAnsi"/>
        </w:rPr>
      </w:pPr>
      <w:r w:rsidRPr="001B02BF">
        <w:rPr>
          <w:rFonts w:eastAsia="Times New Roman" w:cstheme="minorHAnsi"/>
        </w:rPr>
        <w:t>Trade Union support</w:t>
      </w:r>
      <w:r w:rsidRPr="001B02BF">
        <w:rPr>
          <w:rFonts w:cstheme="minorHAnsi"/>
        </w:rPr>
        <w:t xml:space="preserve"> </w:t>
      </w:r>
      <w:r w:rsidRPr="001B02BF">
        <w:rPr>
          <w:rFonts w:eastAsia="Times New Roman" w:cstheme="minorHAnsi"/>
        </w:rPr>
        <w:t>- £1.45 per pupil for both primary and secondary.</w:t>
      </w:r>
    </w:p>
    <w:p w14:paraId="15FE8C87" w14:textId="1721BA4E" w:rsidR="001B02BF" w:rsidRPr="001B02BF" w:rsidRDefault="001B02BF" w:rsidP="001B02BF">
      <w:pPr>
        <w:pStyle w:val="ListParagraph"/>
        <w:numPr>
          <w:ilvl w:val="0"/>
          <w:numId w:val="30"/>
        </w:numPr>
        <w:spacing w:after="0" w:line="240" w:lineRule="auto"/>
        <w:ind w:firstLine="273"/>
        <w:rPr>
          <w:rFonts w:eastAsia="Times New Roman" w:cstheme="minorHAnsi"/>
        </w:rPr>
      </w:pPr>
      <w:r w:rsidRPr="001B02BF">
        <w:rPr>
          <w:rFonts w:eastAsia="Times New Roman" w:cstheme="minorHAnsi"/>
        </w:rPr>
        <w:t xml:space="preserve">Central Services </w:t>
      </w:r>
      <w:r w:rsidRPr="001B02BF">
        <w:rPr>
          <w:rFonts w:cstheme="minorHAnsi"/>
        </w:rPr>
        <w:t>-</w:t>
      </w:r>
      <w:r w:rsidRPr="001B02BF">
        <w:rPr>
          <w:rFonts w:eastAsia="Times New Roman" w:cstheme="minorHAnsi"/>
        </w:rPr>
        <w:t xml:space="preserve"> £66.00 per pupil for both primary and secondary </w:t>
      </w:r>
      <w:r w:rsidR="00310875">
        <w:rPr>
          <w:rFonts w:eastAsia="Times New Roman" w:cstheme="minorHAnsi"/>
        </w:rPr>
        <w:t>s</w:t>
      </w:r>
      <w:r w:rsidRPr="001B02BF">
        <w:rPr>
          <w:rFonts w:eastAsia="Times New Roman" w:cstheme="minorHAnsi"/>
        </w:rPr>
        <w:t xml:space="preserve">chools. </w:t>
      </w:r>
    </w:p>
    <w:p w14:paraId="6161E1E5" w14:textId="77777777" w:rsidR="001B02BF" w:rsidRPr="001B02BF" w:rsidRDefault="001B02BF" w:rsidP="001B02BF">
      <w:pPr>
        <w:pStyle w:val="ListParagraph"/>
        <w:numPr>
          <w:ilvl w:val="0"/>
          <w:numId w:val="30"/>
        </w:numPr>
        <w:spacing w:after="0" w:line="240" w:lineRule="auto"/>
        <w:ind w:firstLine="273"/>
        <w:rPr>
          <w:rFonts w:eastAsia="Times New Roman" w:cstheme="minorHAnsi"/>
        </w:rPr>
      </w:pPr>
      <w:r w:rsidRPr="001B02BF">
        <w:rPr>
          <w:rFonts w:eastAsia="Times New Roman" w:cstheme="minorHAnsi"/>
        </w:rPr>
        <w:t>Free School Meals - £0.60 per pupil for both primary and secondary.</w:t>
      </w:r>
    </w:p>
    <w:p w14:paraId="66F7B14A" w14:textId="77777777" w:rsidR="007B1A45" w:rsidRDefault="007B1A45" w:rsidP="001B02BF">
      <w:pPr>
        <w:ind w:left="426"/>
      </w:pPr>
    </w:p>
    <w:p w14:paraId="4459AEEC" w14:textId="424275DC" w:rsidR="007B1A45" w:rsidRDefault="00BA0FE8">
      <w:pPr>
        <w:rPr>
          <w:rStyle w:val="h4"/>
        </w:rPr>
      </w:pPr>
      <w:r>
        <w:rPr>
          <w:rStyle w:val="h4"/>
        </w:rPr>
        <w:t>9. 2020-</w:t>
      </w:r>
      <w:r w:rsidR="00CB3BCB">
        <w:rPr>
          <w:rStyle w:val="h4"/>
        </w:rPr>
        <w:t>21 Schools and academy funding f</w:t>
      </w:r>
      <w:r>
        <w:rPr>
          <w:rStyle w:val="h4"/>
        </w:rPr>
        <w:t>ormula</w:t>
      </w:r>
      <w:r w:rsidR="006A624B">
        <w:rPr>
          <w:rStyle w:val="h4"/>
        </w:rPr>
        <w:t xml:space="preserve"> </w:t>
      </w:r>
      <w:r w:rsidR="001B02BF">
        <w:rPr>
          <w:rStyle w:val="h4"/>
        </w:rPr>
        <w:t xml:space="preserve"> </w:t>
      </w:r>
    </w:p>
    <w:p w14:paraId="07B63A2C" w14:textId="19DE436E" w:rsidR="006A624B" w:rsidRPr="006A624B" w:rsidRDefault="00CB3BCB">
      <w:r>
        <w:t xml:space="preserve">MB presented the report and explained the changes from the provisional formula, the main change is the reduction of the lump sum from £90,000 to £76,000. </w:t>
      </w:r>
    </w:p>
    <w:p w14:paraId="2727F15E" w14:textId="6C2CA4AC" w:rsidR="006A624B" w:rsidRDefault="006A624B">
      <w:r w:rsidRPr="006A624B">
        <w:rPr>
          <w:b/>
        </w:rPr>
        <w:t>Decision</w:t>
      </w:r>
      <w:r w:rsidRPr="006A624B">
        <w:t xml:space="preserve"> </w:t>
      </w:r>
      <w:r>
        <w:t>– All members voted and agreed.</w:t>
      </w:r>
    </w:p>
    <w:p w14:paraId="242076A3" w14:textId="1CEF0FB5" w:rsidR="006A624B" w:rsidRDefault="006A624B" w:rsidP="006A624B">
      <w:pPr>
        <w:spacing w:after="0" w:line="240" w:lineRule="auto"/>
        <w:ind w:left="1417" w:hanging="425"/>
        <w:rPr>
          <w:rStyle w:val="h4"/>
          <w:rFonts w:asciiTheme="minorHAnsi" w:hAnsiTheme="minorHAnsi" w:cstheme="minorHAnsi"/>
          <w:b w:val="0"/>
          <w:sz w:val="22"/>
        </w:rPr>
      </w:pPr>
      <w:r w:rsidRPr="006A624B">
        <w:rPr>
          <w:rStyle w:val="h4"/>
          <w:rFonts w:asciiTheme="minorHAnsi" w:hAnsiTheme="minorHAnsi" w:cstheme="minorHAnsi"/>
          <w:b w:val="0"/>
          <w:sz w:val="22"/>
        </w:rPr>
        <w:t>•</w:t>
      </w:r>
      <w:r w:rsidRPr="006A624B">
        <w:rPr>
          <w:rStyle w:val="h4"/>
          <w:rFonts w:asciiTheme="minorHAnsi" w:hAnsiTheme="minorHAnsi" w:cstheme="minorHAnsi"/>
          <w:b w:val="0"/>
          <w:sz w:val="22"/>
        </w:rPr>
        <w:tab/>
        <w:t>To transfer £953,622 or 0.5% from the schools block to the high needs block.</w:t>
      </w:r>
    </w:p>
    <w:p w14:paraId="39CDF915" w14:textId="12C0D2BE" w:rsidR="006A624B" w:rsidRPr="006A624B" w:rsidRDefault="006A624B" w:rsidP="006A624B">
      <w:pPr>
        <w:spacing w:after="0" w:line="240" w:lineRule="auto"/>
        <w:ind w:left="1417" w:hanging="425"/>
        <w:rPr>
          <w:rStyle w:val="h4"/>
          <w:rFonts w:asciiTheme="minorHAnsi" w:hAnsiTheme="minorHAnsi" w:cstheme="minorHAnsi"/>
          <w:b w:val="0"/>
          <w:sz w:val="22"/>
        </w:rPr>
      </w:pPr>
      <w:r w:rsidRPr="006A624B">
        <w:rPr>
          <w:rStyle w:val="h4"/>
          <w:rFonts w:asciiTheme="minorHAnsi" w:hAnsiTheme="minorHAnsi" w:cstheme="minorHAnsi"/>
          <w:b w:val="0"/>
          <w:sz w:val="22"/>
        </w:rPr>
        <w:t>•</w:t>
      </w:r>
      <w:r w:rsidRPr="006A624B">
        <w:rPr>
          <w:rStyle w:val="h4"/>
          <w:rFonts w:asciiTheme="minorHAnsi" w:hAnsiTheme="minorHAnsi" w:cstheme="minorHAnsi"/>
          <w:b w:val="0"/>
          <w:sz w:val="22"/>
        </w:rPr>
        <w:tab/>
        <w:t xml:space="preserve">To </w:t>
      </w:r>
      <w:r>
        <w:rPr>
          <w:rStyle w:val="h4"/>
          <w:rFonts w:asciiTheme="minorHAnsi" w:hAnsiTheme="minorHAnsi" w:cstheme="minorHAnsi"/>
          <w:b w:val="0"/>
          <w:sz w:val="22"/>
        </w:rPr>
        <w:t xml:space="preserve">repay the 2018-19 </w:t>
      </w:r>
      <w:r w:rsidRPr="006A624B">
        <w:rPr>
          <w:rStyle w:val="h4"/>
          <w:rFonts w:asciiTheme="minorHAnsi" w:hAnsiTheme="minorHAnsi" w:cstheme="minorHAnsi"/>
          <w:b w:val="0"/>
          <w:sz w:val="22"/>
        </w:rPr>
        <w:t>S</w:t>
      </w:r>
      <w:r>
        <w:rPr>
          <w:rStyle w:val="h4"/>
          <w:rFonts w:asciiTheme="minorHAnsi" w:hAnsiTheme="minorHAnsi" w:cstheme="minorHAnsi"/>
          <w:b w:val="0"/>
          <w:sz w:val="22"/>
        </w:rPr>
        <w:t xml:space="preserve">chools </w:t>
      </w:r>
      <w:r w:rsidRPr="006A624B">
        <w:rPr>
          <w:rStyle w:val="h4"/>
          <w:rFonts w:asciiTheme="minorHAnsi" w:hAnsiTheme="minorHAnsi" w:cstheme="minorHAnsi"/>
          <w:b w:val="0"/>
          <w:sz w:val="22"/>
        </w:rPr>
        <w:t>B</w:t>
      </w:r>
      <w:r>
        <w:rPr>
          <w:rStyle w:val="h4"/>
          <w:rFonts w:asciiTheme="minorHAnsi" w:hAnsiTheme="minorHAnsi" w:cstheme="minorHAnsi"/>
          <w:b w:val="0"/>
          <w:sz w:val="22"/>
        </w:rPr>
        <w:t>lock</w:t>
      </w:r>
      <w:r w:rsidRPr="006A624B">
        <w:rPr>
          <w:rStyle w:val="h4"/>
          <w:rFonts w:asciiTheme="minorHAnsi" w:hAnsiTheme="minorHAnsi" w:cstheme="minorHAnsi"/>
          <w:b w:val="0"/>
          <w:sz w:val="22"/>
        </w:rPr>
        <w:t xml:space="preserve"> overspend of £797,205.</w:t>
      </w:r>
    </w:p>
    <w:p w14:paraId="0165309C" w14:textId="7E4E0C95" w:rsidR="006A624B" w:rsidRPr="006A624B" w:rsidRDefault="006A624B" w:rsidP="006A624B">
      <w:pPr>
        <w:spacing w:after="0" w:line="240" w:lineRule="auto"/>
        <w:ind w:left="1417" w:hanging="425"/>
        <w:rPr>
          <w:rStyle w:val="h4"/>
          <w:rFonts w:asciiTheme="minorHAnsi" w:hAnsiTheme="minorHAnsi" w:cstheme="minorHAnsi"/>
          <w:b w:val="0"/>
          <w:sz w:val="22"/>
        </w:rPr>
      </w:pPr>
      <w:r w:rsidRPr="006A624B">
        <w:rPr>
          <w:rStyle w:val="h4"/>
          <w:rFonts w:asciiTheme="minorHAnsi" w:hAnsiTheme="minorHAnsi" w:cstheme="minorHAnsi"/>
          <w:b w:val="0"/>
          <w:sz w:val="22"/>
        </w:rPr>
        <w:t>•</w:t>
      </w:r>
      <w:r w:rsidRPr="006A624B">
        <w:rPr>
          <w:rStyle w:val="h4"/>
          <w:rFonts w:asciiTheme="minorHAnsi" w:hAnsiTheme="minorHAnsi" w:cstheme="minorHAnsi"/>
          <w:b w:val="0"/>
          <w:sz w:val="22"/>
        </w:rPr>
        <w:tab/>
        <w:t>Medway’s Final Schools and Aca</w:t>
      </w:r>
      <w:r>
        <w:rPr>
          <w:rStyle w:val="h4"/>
          <w:rFonts w:asciiTheme="minorHAnsi" w:hAnsiTheme="minorHAnsi" w:cstheme="minorHAnsi"/>
          <w:b w:val="0"/>
          <w:sz w:val="22"/>
        </w:rPr>
        <w:t xml:space="preserve">demies Funding Formula 2020-21 and to recommend this is </w:t>
      </w:r>
      <w:r w:rsidRPr="006A624B">
        <w:rPr>
          <w:rStyle w:val="h4"/>
          <w:rFonts w:asciiTheme="minorHAnsi" w:hAnsiTheme="minorHAnsi" w:cstheme="minorHAnsi"/>
          <w:b w:val="0"/>
          <w:sz w:val="22"/>
        </w:rPr>
        <w:t>reported to the Cou</w:t>
      </w:r>
      <w:r>
        <w:rPr>
          <w:rStyle w:val="h4"/>
          <w:rFonts w:asciiTheme="minorHAnsi" w:hAnsiTheme="minorHAnsi" w:cstheme="minorHAnsi"/>
          <w:b w:val="0"/>
          <w:sz w:val="22"/>
        </w:rPr>
        <w:t>ncil’s Cabinet on 4 February 2020 for political approval</w:t>
      </w:r>
      <w:r w:rsidR="00CB3BCB">
        <w:rPr>
          <w:rStyle w:val="h4"/>
          <w:rFonts w:asciiTheme="minorHAnsi" w:hAnsiTheme="minorHAnsi" w:cstheme="minorHAnsi"/>
          <w:b w:val="0"/>
          <w:sz w:val="22"/>
        </w:rPr>
        <w:t>.</w:t>
      </w:r>
    </w:p>
    <w:p w14:paraId="2DAF80E7" w14:textId="191F4EF7" w:rsidR="006A624B" w:rsidRDefault="006A624B">
      <w:pPr>
        <w:rPr>
          <w:rStyle w:val="h4"/>
        </w:rPr>
      </w:pPr>
    </w:p>
    <w:p w14:paraId="61250616" w14:textId="0672E27F" w:rsidR="00CB3BCB" w:rsidRDefault="00CB3BCB">
      <w:pPr>
        <w:rPr>
          <w:rStyle w:val="h4"/>
        </w:rPr>
      </w:pPr>
    </w:p>
    <w:p w14:paraId="0067D5B1" w14:textId="77777777" w:rsidR="00CB3BCB" w:rsidRDefault="00CB3BCB">
      <w:pPr>
        <w:rPr>
          <w:rStyle w:val="h4"/>
        </w:rPr>
      </w:pPr>
    </w:p>
    <w:p w14:paraId="4234B10D" w14:textId="6DB757C8" w:rsidR="007B1A45" w:rsidRDefault="00BA0FE8">
      <w:pPr>
        <w:rPr>
          <w:rStyle w:val="h4"/>
        </w:rPr>
      </w:pPr>
      <w:r>
        <w:rPr>
          <w:rStyle w:val="h4"/>
        </w:rPr>
        <w:t>10. Forward Plan.</w:t>
      </w:r>
      <w:r w:rsidR="001B02BF">
        <w:rPr>
          <w:rStyle w:val="h4"/>
        </w:rPr>
        <w:t xml:space="preserve"> </w:t>
      </w:r>
    </w:p>
    <w:p w14:paraId="1CFA5F05" w14:textId="03F51150" w:rsidR="001B02BF" w:rsidRDefault="001B02BF">
      <w:pPr>
        <w:rPr>
          <w:rStyle w:val="h4"/>
          <w:rFonts w:asciiTheme="minorHAnsi" w:hAnsiTheme="minorHAnsi" w:cstheme="minorHAnsi"/>
          <w:b w:val="0"/>
          <w:bCs/>
          <w:sz w:val="22"/>
        </w:rPr>
      </w:pPr>
      <w:r w:rsidRPr="001B02BF">
        <w:rPr>
          <w:rStyle w:val="h4"/>
          <w:rFonts w:asciiTheme="minorHAnsi" w:hAnsiTheme="minorHAnsi" w:cstheme="minorHAnsi"/>
          <w:b w:val="0"/>
          <w:bCs/>
          <w:sz w:val="22"/>
        </w:rPr>
        <w:t xml:space="preserve">Members noted that </w:t>
      </w:r>
      <w:r>
        <w:rPr>
          <w:rStyle w:val="h4"/>
          <w:rFonts w:asciiTheme="minorHAnsi" w:hAnsiTheme="minorHAnsi" w:cstheme="minorHAnsi"/>
          <w:b w:val="0"/>
          <w:bCs/>
          <w:sz w:val="22"/>
        </w:rPr>
        <w:t>new additional meeting date has been arranged for the 11</w:t>
      </w:r>
      <w:r w:rsidRPr="001B02BF">
        <w:rPr>
          <w:rStyle w:val="h4"/>
          <w:rFonts w:asciiTheme="minorHAnsi" w:hAnsiTheme="minorHAnsi" w:cstheme="minorHAnsi"/>
          <w:b w:val="0"/>
          <w:bCs/>
          <w:sz w:val="22"/>
          <w:vertAlign w:val="superscript"/>
        </w:rPr>
        <w:t>th</w:t>
      </w:r>
      <w:r>
        <w:rPr>
          <w:rStyle w:val="h4"/>
          <w:rFonts w:asciiTheme="minorHAnsi" w:hAnsiTheme="minorHAnsi" w:cstheme="minorHAnsi"/>
          <w:b w:val="0"/>
          <w:bCs/>
          <w:sz w:val="22"/>
        </w:rPr>
        <w:t xml:space="preserve"> February at 4</w:t>
      </w:r>
      <w:r w:rsidR="00310875">
        <w:rPr>
          <w:rStyle w:val="h4"/>
          <w:rFonts w:asciiTheme="minorHAnsi" w:hAnsiTheme="minorHAnsi" w:cstheme="minorHAnsi"/>
          <w:b w:val="0"/>
          <w:bCs/>
          <w:sz w:val="22"/>
        </w:rPr>
        <w:t xml:space="preserve"> </w:t>
      </w:r>
      <w:r>
        <w:rPr>
          <w:rStyle w:val="h4"/>
          <w:rFonts w:asciiTheme="minorHAnsi" w:hAnsiTheme="minorHAnsi" w:cstheme="minorHAnsi"/>
          <w:b w:val="0"/>
          <w:bCs/>
          <w:sz w:val="22"/>
        </w:rPr>
        <w:t xml:space="preserve">pm to discuss, arrangements for the education of pupils with SEN, and the schools in financial difficulty funding Policy wording review. </w:t>
      </w:r>
    </w:p>
    <w:p w14:paraId="36EDCA06" w14:textId="051F74BE" w:rsidR="001B02BF" w:rsidRPr="001B02BF" w:rsidRDefault="001B02BF">
      <w:pPr>
        <w:rPr>
          <w:rFonts w:cstheme="minorHAnsi"/>
          <w:b/>
          <w:bCs/>
        </w:rPr>
      </w:pPr>
      <w:r>
        <w:rPr>
          <w:rStyle w:val="h4"/>
          <w:rFonts w:asciiTheme="minorHAnsi" w:hAnsiTheme="minorHAnsi" w:cstheme="minorHAnsi"/>
          <w:b w:val="0"/>
          <w:bCs/>
          <w:sz w:val="22"/>
        </w:rPr>
        <w:t>The date of the May meeting was confirmed as 13</w:t>
      </w:r>
      <w:r w:rsidRPr="001B02BF">
        <w:rPr>
          <w:rStyle w:val="h4"/>
          <w:rFonts w:asciiTheme="minorHAnsi" w:hAnsiTheme="minorHAnsi" w:cstheme="minorHAnsi"/>
          <w:b w:val="0"/>
          <w:bCs/>
          <w:sz w:val="22"/>
          <w:vertAlign w:val="superscript"/>
        </w:rPr>
        <w:t>th</w:t>
      </w:r>
      <w:r>
        <w:rPr>
          <w:rStyle w:val="h4"/>
          <w:rFonts w:asciiTheme="minorHAnsi" w:hAnsiTheme="minorHAnsi" w:cstheme="minorHAnsi"/>
          <w:b w:val="0"/>
          <w:bCs/>
          <w:sz w:val="22"/>
        </w:rPr>
        <w:t xml:space="preserve"> May and not the stated 15</w:t>
      </w:r>
      <w:r w:rsidRPr="001B02BF">
        <w:rPr>
          <w:rStyle w:val="h4"/>
          <w:rFonts w:asciiTheme="minorHAnsi" w:hAnsiTheme="minorHAnsi" w:cstheme="minorHAnsi"/>
          <w:b w:val="0"/>
          <w:bCs/>
          <w:sz w:val="22"/>
          <w:vertAlign w:val="superscript"/>
        </w:rPr>
        <w:t>th</w:t>
      </w:r>
      <w:r>
        <w:rPr>
          <w:rStyle w:val="h4"/>
          <w:rFonts w:asciiTheme="minorHAnsi" w:hAnsiTheme="minorHAnsi" w:cstheme="minorHAnsi"/>
          <w:b w:val="0"/>
          <w:bCs/>
          <w:sz w:val="22"/>
        </w:rPr>
        <w:t xml:space="preserve"> May 2020. </w:t>
      </w:r>
    </w:p>
    <w:p w14:paraId="7A792758" w14:textId="7EC9A0A9" w:rsidR="007B1A45" w:rsidRDefault="00BA0FE8">
      <w:r>
        <w:rPr>
          <w:rStyle w:val="h4"/>
        </w:rPr>
        <w:t xml:space="preserve">11. Date and time of next meeting. </w:t>
      </w:r>
      <w:r w:rsidR="001B02BF">
        <w:rPr>
          <w:rStyle w:val="h4"/>
        </w:rPr>
        <w:t>– 11</w:t>
      </w:r>
      <w:r w:rsidR="001B02BF" w:rsidRPr="001B02BF">
        <w:rPr>
          <w:rStyle w:val="h4"/>
          <w:vertAlign w:val="superscript"/>
        </w:rPr>
        <w:t>th</w:t>
      </w:r>
      <w:r w:rsidR="001B02BF">
        <w:rPr>
          <w:rStyle w:val="h4"/>
        </w:rPr>
        <w:t xml:space="preserve"> February 2020. </w:t>
      </w:r>
    </w:p>
    <w:p w14:paraId="14E76331" w14:textId="0CCC6DEF" w:rsidR="007B1A45" w:rsidRDefault="00BA0FE8">
      <w:r>
        <w:rPr>
          <w:rStyle w:val="h4"/>
        </w:rPr>
        <w:t>12. A</w:t>
      </w:r>
      <w:r w:rsidR="00310875">
        <w:rPr>
          <w:rStyle w:val="h4"/>
        </w:rPr>
        <w:t>OB</w:t>
      </w:r>
      <w:r>
        <w:rPr>
          <w:rStyle w:val="h4"/>
        </w:rPr>
        <w:t xml:space="preserve"> </w:t>
      </w:r>
    </w:p>
    <w:p w14:paraId="0712A078" w14:textId="7197F159" w:rsidR="007B1A45" w:rsidRDefault="001B02BF">
      <w:r>
        <w:t xml:space="preserve">MB noted that </w:t>
      </w:r>
      <w:r w:rsidR="00BA0FE8">
        <w:t xml:space="preserve">David Watkins </w:t>
      </w:r>
      <w:r>
        <w:t>has asked to share that he is happy with the feedback of the SEND LA I</w:t>
      </w:r>
      <w:r w:rsidR="00BA0FE8">
        <w:t>nspection</w:t>
      </w:r>
      <w:r>
        <w:t xml:space="preserve"> and would like to thank all those who supported. </w:t>
      </w:r>
      <w:r w:rsidR="00BA0FE8">
        <w:t xml:space="preserve"> </w:t>
      </w:r>
    </w:p>
    <w:p w14:paraId="12675278" w14:textId="185C6E40" w:rsidR="007B1A45" w:rsidRDefault="00BA0FE8">
      <w:r>
        <w:t xml:space="preserve">All </w:t>
      </w:r>
      <w:r w:rsidR="001B02BF">
        <w:t>Schools forums po</w:t>
      </w:r>
      <w:r w:rsidR="00310875">
        <w:t>lici</w:t>
      </w:r>
      <w:r w:rsidR="001B02BF">
        <w:t xml:space="preserve">es </w:t>
      </w:r>
      <w:r>
        <w:t xml:space="preserve">will come back </w:t>
      </w:r>
      <w:r w:rsidR="001B02BF">
        <w:t>for review in</w:t>
      </w:r>
      <w:r>
        <w:t xml:space="preserve"> May</w:t>
      </w:r>
      <w:r w:rsidR="001B02BF">
        <w:t xml:space="preserve"> 2020.</w:t>
      </w:r>
    </w:p>
    <w:p w14:paraId="64337872" w14:textId="77777777" w:rsidR="001B02BF" w:rsidRDefault="001B02BF"/>
    <w:p w14:paraId="71B29D5D" w14:textId="77777777" w:rsidR="00BA0FE8" w:rsidRPr="00BA0FE8" w:rsidRDefault="00BA0FE8" w:rsidP="00BA0FE8">
      <w:pPr>
        <w:rPr>
          <w:rFonts w:ascii="Calibri" w:eastAsia="Calibri" w:hAnsi="Calibri" w:cs="Calibri"/>
          <w:lang w:eastAsia="en-GB"/>
        </w:rPr>
      </w:pPr>
      <w:r w:rsidRPr="00BA0FE8">
        <w:rPr>
          <w:rFonts w:ascii="Calibri" w:eastAsia="Calibri" w:hAnsi="Calibri" w:cs="Calibri"/>
          <w:lang w:eastAsia="en-GB"/>
        </w:rPr>
        <w:t>I confirm as Chairman of the school's forum that this is a factual representation of the meeting.</w:t>
      </w:r>
    </w:p>
    <w:p w14:paraId="6C4BF131" w14:textId="0C79177C" w:rsidR="00BA0FE8" w:rsidRPr="00BA0FE8" w:rsidRDefault="00BA0FE8" w:rsidP="00BA0FE8">
      <w:pPr>
        <w:rPr>
          <w:rFonts w:ascii="Calibri" w:eastAsia="Calibri" w:hAnsi="Calibri" w:cs="Calibri"/>
          <w:lang w:eastAsia="en-GB"/>
        </w:rPr>
      </w:pPr>
      <w:r w:rsidRPr="00BA0FE8">
        <w:rPr>
          <w:rFonts w:ascii="Calibri" w:eastAsia="Calibri" w:hAnsi="Calibri" w:cs="Calibri"/>
          <w:lang w:eastAsia="en-GB"/>
        </w:rPr>
        <w:t>Sign………………</w:t>
      </w:r>
    </w:p>
    <w:p w14:paraId="3870E11C" w14:textId="76EB1E71" w:rsidR="00BA0FE8" w:rsidRPr="00BA0FE8" w:rsidRDefault="00BA0FE8" w:rsidP="00BA0FE8">
      <w:pPr>
        <w:rPr>
          <w:rFonts w:ascii="Calibri" w:eastAsia="Calibri" w:hAnsi="Calibri" w:cs="Calibri"/>
          <w:lang w:eastAsia="en-GB"/>
        </w:rPr>
      </w:pPr>
      <w:r w:rsidRPr="00BA0FE8">
        <w:rPr>
          <w:rFonts w:ascii="Calibri" w:eastAsia="Calibri" w:hAnsi="Calibri" w:cs="Calibri"/>
          <w:lang w:eastAsia="en-GB"/>
        </w:rPr>
        <w:t>Date ………………</w:t>
      </w:r>
    </w:p>
    <w:p w14:paraId="5D78AFD5" w14:textId="77777777" w:rsidR="00BA0FE8" w:rsidRPr="00BA0FE8" w:rsidRDefault="00BA0FE8" w:rsidP="00BA0FE8">
      <w:pPr>
        <w:rPr>
          <w:rFonts w:ascii="Calibri" w:eastAsia="Calibri" w:hAnsi="Calibri" w:cs="Calibri"/>
          <w:lang w:eastAsia="en-GB"/>
        </w:rPr>
      </w:pPr>
    </w:p>
    <w:p w14:paraId="5E2A070B" w14:textId="77777777" w:rsidR="001B02BF" w:rsidRDefault="001B02BF">
      <w:pPr>
        <w:rPr>
          <w:rFonts w:asciiTheme="majorHAnsi" w:hAnsiTheme="majorHAnsi" w:cstheme="majorHAnsi"/>
          <w:sz w:val="44"/>
          <w:szCs w:val="44"/>
        </w:rPr>
      </w:pPr>
      <w:r>
        <w:rPr>
          <w:rFonts w:asciiTheme="majorHAnsi" w:hAnsiTheme="majorHAnsi" w:cstheme="majorHAnsi"/>
          <w:sz w:val="44"/>
          <w:szCs w:val="44"/>
        </w:rPr>
        <w:br w:type="page"/>
      </w:r>
    </w:p>
    <w:p w14:paraId="7650BA70" w14:textId="0F7A3403" w:rsidR="00BA0FE8" w:rsidRPr="00BA0FE8" w:rsidRDefault="00BA0FE8" w:rsidP="001B02BF">
      <w:pPr>
        <w:rPr>
          <w:rFonts w:asciiTheme="majorHAnsi" w:hAnsiTheme="majorHAnsi" w:cstheme="majorHAnsi"/>
          <w:sz w:val="44"/>
          <w:szCs w:val="44"/>
        </w:rPr>
      </w:pPr>
      <w:r w:rsidRPr="00BA0FE8">
        <w:rPr>
          <w:rFonts w:asciiTheme="majorHAnsi" w:hAnsiTheme="majorHAnsi" w:cstheme="majorHAnsi"/>
          <w:sz w:val="44"/>
          <w:szCs w:val="44"/>
        </w:rPr>
        <w:t>Confidential Minutes</w:t>
      </w:r>
    </w:p>
    <w:p w14:paraId="1D274956" w14:textId="77777777" w:rsidR="00BA0FE8" w:rsidRDefault="00BA0FE8" w:rsidP="00BA0FE8">
      <w:bookmarkStart w:id="4" w:name="_Hlk30066266"/>
      <w:r>
        <w:t xml:space="preserve"> </w:t>
      </w:r>
      <w:r>
        <w:rPr>
          <w:rStyle w:val="h4"/>
        </w:rPr>
        <w:t xml:space="preserve">4. Funding Support Business Cases (6 Cases) – Confidential item. </w:t>
      </w:r>
    </w:p>
    <w:bookmarkEnd w:id="4"/>
    <w:p w14:paraId="50080561" w14:textId="236DEA7C" w:rsidR="00BA0FE8" w:rsidRPr="00021F54" w:rsidRDefault="00BA0FE8" w:rsidP="00BA0FE8">
      <w:pPr>
        <w:spacing w:after="0" w:line="240" w:lineRule="auto"/>
        <w:rPr>
          <w:rFonts w:eastAsia="Times New Roman" w:cstheme="minorHAnsi"/>
          <w:sz w:val="24"/>
          <w:szCs w:val="24"/>
        </w:rPr>
      </w:pPr>
      <w:r>
        <w:t xml:space="preserve">MB </w:t>
      </w:r>
      <w:r w:rsidR="00726A86">
        <w:t xml:space="preserve">outlined </w:t>
      </w:r>
      <w:r>
        <w:t xml:space="preserve">the </w:t>
      </w:r>
      <w:r w:rsidRPr="00BA0FE8">
        <w:rPr>
          <w:rFonts w:cstheme="minorHAnsi"/>
        </w:rPr>
        <w:t xml:space="preserve">proposed applications for additional funding under </w:t>
      </w:r>
      <w:r w:rsidRPr="00BA0FE8">
        <w:rPr>
          <w:rFonts w:eastAsia="Times New Roman" w:cstheme="minorHAnsi"/>
        </w:rPr>
        <w:t>The Schools in Financial Difficulty due to Class sizes policy</w:t>
      </w:r>
      <w:r w:rsidR="00726A86">
        <w:rPr>
          <w:rFonts w:eastAsia="Times New Roman" w:cstheme="minorHAnsi"/>
        </w:rPr>
        <w:t>,</w:t>
      </w:r>
      <w:r w:rsidRPr="00BA0FE8">
        <w:rPr>
          <w:rFonts w:eastAsia="Times New Roman" w:cstheme="minorHAnsi"/>
        </w:rPr>
        <w:t xml:space="preserve"> stating it was introduced to provide stability for those schools whose numbers in key stage 1 are less than 2/3’s full. £55,000 per class.</w:t>
      </w:r>
      <w:r>
        <w:rPr>
          <w:rFonts w:eastAsia="Times New Roman" w:cstheme="minorHAnsi"/>
          <w:sz w:val="24"/>
          <w:szCs w:val="24"/>
        </w:rPr>
        <w:t xml:space="preserve"> </w:t>
      </w:r>
    </w:p>
    <w:p w14:paraId="2192A86C" w14:textId="77777777" w:rsidR="00BA0FE8" w:rsidRDefault="00BA0FE8" w:rsidP="00BA0FE8">
      <w:pPr>
        <w:spacing w:after="0"/>
      </w:pPr>
    </w:p>
    <w:p w14:paraId="1913690F" w14:textId="779B7055" w:rsidR="00BA0FE8" w:rsidRDefault="00BA0FE8" w:rsidP="00BA0FE8">
      <w:pPr>
        <w:spacing w:after="0"/>
      </w:pPr>
      <w:r>
        <w:t xml:space="preserve">Upon reviewing the first </w:t>
      </w:r>
      <w:r w:rsidR="00373CD8">
        <w:t>school’s</w:t>
      </w:r>
      <w:r>
        <w:t xml:space="preserve"> business case members noted concerns around the wording of the May 2019 Policies</w:t>
      </w:r>
      <w:r w:rsidR="007F70C5">
        <w:t xml:space="preserve">. One </w:t>
      </w:r>
      <w:r>
        <w:t>example</w:t>
      </w:r>
      <w:proofErr w:type="gramStart"/>
      <w:r>
        <w:t>,</w:t>
      </w:r>
      <w:r w:rsidR="007A2F75">
        <w:t xml:space="preserve"> </w:t>
      </w:r>
      <w:r>
        <w:t xml:space="preserve"> discussed</w:t>
      </w:r>
      <w:proofErr w:type="gramEnd"/>
      <w:r>
        <w:t xml:space="preserve"> in detail was felt that the interpretation of this wording and example was confusing.   This referred in particular to the 2/3rds of PAN or classroom sizes limits. </w:t>
      </w:r>
    </w:p>
    <w:p w14:paraId="629EBE9D" w14:textId="77777777" w:rsidR="00BA0FE8" w:rsidRDefault="00BA0FE8" w:rsidP="00BA0FE8">
      <w:pPr>
        <w:spacing w:after="0"/>
      </w:pPr>
    </w:p>
    <w:p w14:paraId="2B5536BC" w14:textId="272B83CC" w:rsidR="00BA0FE8" w:rsidRDefault="00BA0FE8" w:rsidP="00BA0FE8">
      <w:pPr>
        <w:rPr>
          <w:rFonts w:eastAsia="Times New Roman" w:cstheme="minorHAnsi"/>
          <w:sz w:val="24"/>
          <w:szCs w:val="24"/>
        </w:rPr>
      </w:pPr>
      <w:r w:rsidRPr="00BA0FE8">
        <w:rPr>
          <w:b/>
          <w:bCs/>
        </w:rPr>
        <w:t xml:space="preserve">Q </w:t>
      </w:r>
      <w:r>
        <w:rPr>
          <w:b/>
          <w:bCs/>
        </w:rPr>
        <w:t>–</w:t>
      </w:r>
      <w:r w:rsidRPr="00BA0FE8">
        <w:rPr>
          <w:b/>
          <w:bCs/>
        </w:rPr>
        <w:t xml:space="preserve"> Th</w:t>
      </w:r>
      <w:r>
        <w:rPr>
          <w:b/>
          <w:bCs/>
        </w:rPr>
        <w:t>e first</w:t>
      </w:r>
      <w:r w:rsidRPr="00BA0FE8">
        <w:rPr>
          <w:b/>
          <w:bCs/>
        </w:rPr>
        <w:t xml:space="preserve"> school states that their </w:t>
      </w:r>
      <w:r w:rsidR="00373CD8" w:rsidRPr="00BA0FE8">
        <w:rPr>
          <w:b/>
          <w:bCs/>
        </w:rPr>
        <w:t>Yr.</w:t>
      </w:r>
      <w:r w:rsidRPr="00BA0FE8">
        <w:rPr>
          <w:b/>
          <w:bCs/>
        </w:rPr>
        <w:t xml:space="preserve"> </w:t>
      </w:r>
      <w:r w:rsidR="00373CD8" w:rsidRPr="00BA0FE8">
        <w:rPr>
          <w:b/>
          <w:bCs/>
        </w:rPr>
        <w:t>1 has</w:t>
      </w:r>
      <w:r w:rsidRPr="00BA0FE8">
        <w:rPr>
          <w:b/>
          <w:bCs/>
        </w:rPr>
        <w:t xml:space="preserve"> a class size of 73 but this isn’t 2/3rds of their PAN of 90?</w:t>
      </w:r>
      <w:r>
        <w:t xml:space="preserve"> A - I believe it means 2/3</w:t>
      </w:r>
      <w:r w:rsidRPr="00BA0FE8">
        <w:rPr>
          <w:vertAlign w:val="superscript"/>
        </w:rPr>
        <w:t>rd</w:t>
      </w:r>
      <w:r>
        <w:t xml:space="preserve"> full of the third class.  </w:t>
      </w:r>
    </w:p>
    <w:p w14:paraId="67115003" w14:textId="71238535" w:rsidR="00BA0FE8" w:rsidRDefault="00BA0FE8" w:rsidP="00BA0FE8">
      <w:r>
        <w:t>The members discussed that being less than 2/3</w:t>
      </w:r>
      <w:r w:rsidRPr="00BA0FE8">
        <w:rPr>
          <w:vertAlign w:val="superscript"/>
        </w:rPr>
        <w:t>rd</w:t>
      </w:r>
      <w:r>
        <w:t xml:space="preserve"> full in the third class would allow a large number of schools to be eligible for this funding </w:t>
      </w:r>
      <w:r w:rsidR="00373CD8">
        <w:t>e.g.</w:t>
      </w:r>
      <w:r>
        <w:t xml:space="preserve"> any school with 10 places could then apply. It was felt that there was an error in the policy wording around the 2/3rds and one of the examples given.  A member noted that if it was 2/3</w:t>
      </w:r>
      <w:r w:rsidRPr="00BA0FE8">
        <w:rPr>
          <w:vertAlign w:val="superscript"/>
        </w:rPr>
        <w:t>rd</w:t>
      </w:r>
      <w:r>
        <w:t xml:space="preserve"> of the third class </w:t>
      </w:r>
      <w:r w:rsidR="00916FB7">
        <w:t xml:space="preserve">would </w:t>
      </w:r>
      <w:r>
        <w:t xml:space="preserve">give a figure </w:t>
      </w:r>
      <w:r w:rsidR="00694712">
        <w:t>(</w:t>
      </w:r>
      <w:r>
        <w:t>for a school of a 90 PAN</w:t>
      </w:r>
      <w:r w:rsidR="00694712">
        <w:t>) would be</w:t>
      </w:r>
      <w:r>
        <w:t xml:space="preserve"> 80 and not the example that was given of 75.  MB noted that this was to allow access to the funding for those schools with a 90 PAN. </w:t>
      </w:r>
    </w:p>
    <w:p w14:paraId="0026DDC2" w14:textId="4AAD91A3" w:rsidR="00BA0FE8" w:rsidRDefault="00BA0FE8" w:rsidP="00BA0FE8">
      <w:r>
        <w:t>It was noted that the other examples given in the policy support the 2/3rds of the PAN in the policy</w:t>
      </w:r>
      <w:r w:rsidR="00961212">
        <w:t xml:space="preserve">. </w:t>
      </w:r>
      <w:r>
        <w:t xml:space="preserve"> </w:t>
      </w:r>
      <w:r w:rsidR="00961212">
        <w:t>T</w:t>
      </w:r>
      <w:r>
        <w:t>he relevant members noted that believed that they agreed for the policy to state 2/3</w:t>
      </w:r>
      <w:r w:rsidRPr="00BA0FE8">
        <w:rPr>
          <w:vertAlign w:val="superscript"/>
        </w:rPr>
        <w:t>rd</w:t>
      </w:r>
      <w:r>
        <w:t xml:space="preserve"> of the total PAN and not classroom. </w:t>
      </w:r>
    </w:p>
    <w:p w14:paraId="1B7F5754" w14:textId="77777777" w:rsidR="00BA0FE8" w:rsidRDefault="00BA0FE8" w:rsidP="00BA0FE8">
      <w:r>
        <w:t xml:space="preserve">This matter was discussed in great detail, with members considering the impact of this wording and if it was suitably clear. It was agreed that the examples shown were unclear and could be confusing to schools. </w:t>
      </w:r>
    </w:p>
    <w:p w14:paraId="7E25D93D" w14:textId="7275CC93" w:rsidR="00BA0FE8" w:rsidRDefault="00BA0FE8" w:rsidP="00BA0FE8">
      <w:r>
        <w:t xml:space="preserve">It was noted that if funding was improved under this policy then it would </w:t>
      </w:r>
      <w:r w:rsidR="00C739B9">
        <w:t xml:space="preserve">be </w:t>
      </w:r>
      <w:r>
        <w:t xml:space="preserve">difficult to alter this in following years. </w:t>
      </w:r>
    </w:p>
    <w:p w14:paraId="07351D4C" w14:textId="0290B04A" w:rsidR="00BA0FE8" w:rsidRDefault="00BA0FE8" w:rsidP="00BA0FE8">
      <w:r>
        <w:t xml:space="preserve">MB clarified the implications around the decisions of the forum and asked if members needed more information from each school to be able to reach this. The members agreed that they were basing their decisions on the 73 pupils on a PAN of 90 and so they felt that no more information was needed.  Members discussed the implications of the rejections based on this factor.  MB </w:t>
      </w:r>
      <w:r w:rsidR="000A716E">
        <w:t>explained</w:t>
      </w:r>
      <w:r>
        <w:t xml:space="preserve"> that she would request that the funding costs for this sits within the growth fund and if not used </w:t>
      </w:r>
      <w:r w:rsidR="00373CD8">
        <w:t xml:space="preserve">would be added into the funding for next year. </w:t>
      </w:r>
    </w:p>
    <w:p w14:paraId="28A74526" w14:textId="25A58404" w:rsidR="00BA0FE8" w:rsidRDefault="00BA0FE8" w:rsidP="00BA0FE8">
      <w:r>
        <w:t xml:space="preserve">It was noted </w:t>
      </w:r>
      <w:r w:rsidR="00373CD8">
        <w:t>that 2</w:t>
      </w:r>
      <w:r>
        <w:t>/3 full on PAN or classroom was the baseline for eligibility to apply</w:t>
      </w:r>
      <w:r w:rsidR="00DE3DB6">
        <w:t>,</w:t>
      </w:r>
      <w:r>
        <w:t xml:space="preserve"> and did not necessarily confirm the additional funding as each </w:t>
      </w:r>
      <w:r w:rsidR="00373CD8">
        <w:t>school’s</w:t>
      </w:r>
      <w:r>
        <w:t xml:space="preserve"> case was looked at individually for approval. </w:t>
      </w:r>
      <w:r w:rsidR="000A716E">
        <w:t xml:space="preserve"> Schools do have the right to appeal to the LA and David Watkins. </w:t>
      </w:r>
    </w:p>
    <w:p w14:paraId="5A834B1E" w14:textId="7C90988A" w:rsidR="00BA0FE8" w:rsidRDefault="00BA0FE8" w:rsidP="00BA0FE8">
      <w:r w:rsidRPr="00BA0FE8">
        <w:rPr>
          <w:rFonts w:asciiTheme="majorHAnsi" w:hAnsiTheme="majorHAnsi" w:cstheme="majorHAnsi"/>
          <w:b/>
          <w:bCs/>
        </w:rPr>
        <w:t>Action -</w:t>
      </w:r>
      <w:r>
        <w:t xml:space="preserve"> May 2019 Schools in Financial Difficulty funding policy – the wording of the examples to be reviewed at the next February 2020 meeting to ensure a clear direction. MB to add to the agenda. </w:t>
      </w:r>
    </w:p>
    <w:p w14:paraId="73461024" w14:textId="11A2A41C" w:rsidR="00BA0FE8" w:rsidRPr="00BA0FE8" w:rsidRDefault="00BA0FE8" w:rsidP="00BA0FE8">
      <w:pPr>
        <w:rPr>
          <w:bCs/>
        </w:rPr>
      </w:pPr>
      <w:r w:rsidRPr="00BA0FE8">
        <w:rPr>
          <w:bCs/>
        </w:rPr>
        <w:t>The</w:t>
      </w:r>
      <w:r>
        <w:rPr>
          <w:bCs/>
        </w:rPr>
        <w:t xml:space="preserve"> Members deliberated in detail each school's individual cases based on the May 2019 policy and reached the following decisions: </w:t>
      </w:r>
    </w:p>
    <w:p w14:paraId="59C0F54E" w14:textId="544D5BCE" w:rsidR="00BA0FE8" w:rsidRDefault="00BA0FE8" w:rsidP="00BA0FE8">
      <w:r>
        <w:rPr>
          <w:b/>
        </w:rPr>
        <w:t>4-1. Park Wood Schools Federation - Park Wood Infant School.</w:t>
      </w:r>
    </w:p>
    <w:p w14:paraId="7EA9FCC9" w14:textId="2CFE4C1E" w:rsidR="00BA0FE8" w:rsidRDefault="00BA0FE8" w:rsidP="00BA0FE8">
      <w:pPr>
        <w:pStyle w:val="ListParagraph"/>
        <w:spacing w:after="0" w:line="240" w:lineRule="auto"/>
        <w:ind w:left="0"/>
        <w:rPr>
          <w:rFonts w:eastAsia="Times New Roman" w:cstheme="minorHAnsi"/>
          <w:sz w:val="24"/>
          <w:szCs w:val="24"/>
        </w:rPr>
      </w:pPr>
      <w:r w:rsidRPr="00E86E8E">
        <w:rPr>
          <w:rFonts w:eastAsia="Times New Roman" w:cstheme="minorHAnsi"/>
          <w:sz w:val="24"/>
          <w:szCs w:val="24"/>
        </w:rPr>
        <w:t xml:space="preserve">Support is requested for </w:t>
      </w:r>
      <w:r w:rsidR="00310875">
        <w:rPr>
          <w:rFonts w:eastAsia="Times New Roman" w:cstheme="minorHAnsi"/>
          <w:sz w:val="24"/>
          <w:szCs w:val="24"/>
        </w:rPr>
        <w:t xml:space="preserve">a </w:t>
      </w:r>
      <w:r w:rsidR="00373CD8" w:rsidRPr="00E86E8E">
        <w:rPr>
          <w:rFonts w:eastAsia="Times New Roman" w:cstheme="minorHAnsi"/>
          <w:sz w:val="24"/>
          <w:szCs w:val="24"/>
        </w:rPr>
        <w:t>one-year</w:t>
      </w:r>
      <w:r w:rsidRPr="00E86E8E">
        <w:rPr>
          <w:rFonts w:eastAsia="Times New Roman" w:cstheme="minorHAnsi"/>
          <w:sz w:val="24"/>
          <w:szCs w:val="24"/>
        </w:rPr>
        <w:t xml:space="preserve"> group at a total cost of £55,000. This is support for last years, Year R class which is moving into year 1 from September 2020. Pupil numbers have recovered sufficiently for September 2020. </w:t>
      </w:r>
    </w:p>
    <w:p w14:paraId="23419708" w14:textId="264BCBA7" w:rsidR="00BA0FE8" w:rsidRDefault="00BA0FE8" w:rsidP="00BA0FE8">
      <w:pPr>
        <w:pStyle w:val="ListParagraph"/>
        <w:spacing w:after="0" w:line="240" w:lineRule="auto"/>
        <w:ind w:left="0"/>
        <w:rPr>
          <w:rFonts w:eastAsia="Times New Roman" w:cstheme="minorHAnsi"/>
          <w:sz w:val="24"/>
          <w:szCs w:val="24"/>
        </w:rPr>
      </w:pPr>
    </w:p>
    <w:p w14:paraId="42E23246" w14:textId="1995322B" w:rsidR="00BA0FE8" w:rsidRDefault="00373CD8" w:rsidP="00BA0FE8">
      <w:pPr>
        <w:pStyle w:val="ListParagraph"/>
        <w:spacing w:after="0" w:line="240" w:lineRule="auto"/>
        <w:ind w:left="0"/>
        <w:rPr>
          <w:rFonts w:eastAsia="Times New Roman" w:cstheme="minorHAnsi"/>
          <w:sz w:val="24"/>
          <w:szCs w:val="24"/>
        </w:rPr>
      </w:pPr>
      <w:r>
        <w:rPr>
          <w:rFonts w:eastAsia="Times New Roman" w:cstheme="minorHAnsi"/>
          <w:sz w:val="24"/>
          <w:szCs w:val="24"/>
        </w:rPr>
        <w:t>Yr.</w:t>
      </w:r>
      <w:r w:rsidR="00BA0FE8">
        <w:rPr>
          <w:rFonts w:eastAsia="Times New Roman" w:cstheme="minorHAnsi"/>
          <w:sz w:val="24"/>
          <w:szCs w:val="24"/>
        </w:rPr>
        <w:t xml:space="preserve"> R 85, - </w:t>
      </w:r>
      <w:r>
        <w:rPr>
          <w:rFonts w:eastAsia="Times New Roman" w:cstheme="minorHAnsi"/>
          <w:sz w:val="24"/>
          <w:szCs w:val="24"/>
        </w:rPr>
        <w:t>Yr.</w:t>
      </w:r>
      <w:r w:rsidR="00BA0FE8">
        <w:rPr>
          <w:rFonts w:eastAsia="Times New Roman" w:cstheme="minorHAnsi"/>
          <w:sz w:val="24"/>
          <w:szCs w:val="24"/>
        </w:rPr>
        <w:t xml:space="preserve"> 1 73 and 89 - </w:t>
      </w:r>
      <w:r>
        <w:rPr>
          <w:rFonts w:eastAsia="Times New Roman" w:cstheme="minorHAnsi"/>
          <w:sz w:val="24"/>
          <w:szCs w:val="24"/>
        </w:rPr>
        <w:t>Yr.</w:t>
      </w:r>
      <w:r w:rsidR="00BA0FE8">
        <w:rPr>
          <w:rFonts w:eastAsia="Times New Roman" w:cstheme="minorHAnsi"/>
          <w:sz w:val="24"/>
          <w:szCs w:val="24"/>
        </w:rPr>
        <w:t xml:space="preserve"> 2 Total PAN 247. </w:t>
      </w:r>
    </w:p>
    <w:p w14:paraId="6CB35153" w14:textId="77777777" w:rsidR="00BA0FE8" w:rsidRDefault="00BA0FE8" w:rsidP="00BA0FE8">
      <w:pPr>
        <w:pStyle w:val="ListParagraph"/>
        <w:spacing w:after="0" w:line="240" w:lineRule="auto"/>
        <w:ind w:left="0"/>
        <w:rPr>
          <w:rFonts w:eastAsia="Times New Roman" w:cstheme="minorHAnsi"/>
          <w:sz w:val="24"/>
          <w:szCs w:val="24"/>
        </w:rPr>
      </w:pPr>
    </w:p>
    <w:p w14:paraId="3643CC0C" w14:textId="09DE7B7C" w:rsidR="00BA0FE8" w:rsidRDefault="00BA0FE8" w:rsidP="00BA0FE8">
      <w:proofErr w:type="gramStart"/>
      <w:r w:rsidRPr="00BA0FE8">
        <w:rPr>
          <w:b/>
          <w:bCs/>
        </w:rPr>
        <w:t>Q - The Policy</w:t>
      </w:r>
      <w:proofErr w:type="gramEnd"/>
      <w:r w:rsidRPr="00BA0FE8">
        <w:rPr>
          <w:b/>
          <w:bCs/>
        </w:rPr>
        <w:t xml:space="preserve"> states that each school can apply for this for each year </w:t>
      </w:r>
      <w:proofErr w:type="spellStart"/>
      <w:r w:rsidR="0064719A" w:rsidRPr="00BA0FE8">
        <w:rPr>
          <w:b/>
          <w:bCs/>
        </w:rPr>
        <w:t>tota</w:t>
      </w:r>
      <w:r w:rsidR="003B023A">
        <w:rPr>
          <w:b/>
          <w:bCs/>
        </w:rPr>
        <w:t>l</w:t>
      </w:r>
      <w:r w:rsidR="0064719A">
        <w:rPr>
          <w:b/>
          <w:bCs/>
        </w:rPr>
        <w:t>l</w:t>
      </w:r>
      <w:r w:rsidR="0064719A" w:rsidRPr="00BA0FE8">
        <w:rPr>
          <w:b/>
          <w:bCs/>
        </w:rPr>
        <w:t>ing</w:t>
      </w:r>
      <w:proofErr w:type="spellEnd"/>
      <w:r w:rsidRPr="00BA0FE8">
        <w:rPr>
          <w:b/>
          <w:bCs/>
        </w:rPr>
        <w:t xml:space="preserve"> 3 years?</w:t>
      </w:r>
      <w:r>
        <w:t xml:space="preserve"> A – Yes, as long as you reach the guidelines within the policy. </w:t>
      </w:r>
    </w:p>
    <w:p w14:paraId="748C9A2B" w14:textId="77777777" w:rsidR="00BA0FE8" w:rsidRDefault="00BA0FE8" w:rsidP="00BA0FE8">
      <w:r w:rsidRPr="00BA0FE8">
        <w:rPr>
          <w:b/>
          <w:bCs/>
        </w:rPr>
        <w:t>Q - Did this school get the funding under this policy or the previous ones?</w:t>
      </w:r>
      <w:r>
        <w:t xml:space="preserve"> A - It was the previous one 2018.  </w:t>
      </w:r>
    </w:p>
    <w:p w14:paraId="2324E02B" w14:textId="7335A820" w:rsidR="00BA0FE8" w:rsidRDefault="00BA0FE8" w:rsidP="00BA0FE8">
      <w:r w:rsidRPr="00BA0FE8">
        <w:rPr>
          <w:b/>
          <w:bCs/>
        </w:rPr>
        <w:t xml:space="preserve"> Q – We refused a school recently with 73 under this policy, how can we approve this one? </w:t>
      </w:r>
      <w:r>
        <w:t xml:space="preserve">A – That school had additional funds available. </w:t>
      </w:r>
    </w:p>
    <w:p w14:paraId="6C7FBD46" w14:textId="45D3904B" w:rsidR="00BA0FE8" w:rsidRDefault="00BA0FE8" w:rsidP="00BA0FE8">
      <w:r w:rsidRPr="00BA0FE8">
        <w:rPr>
          <w:b/>
          <w:bCs/>
        </w:rPr>
        <w:t>Q – Do we consider the reserves?</w:t>
      </w:r>
      <w:r>
        <w:t xml:space="preserve"> A – No that is not in our policy</w:t>
      </w:r>
      <w:r w:rsidR="000A716E">
        <w:t xml:space="preserve"> to </w:t>
      </w:r>
      <w:r w:rsidR="00373CD8">
        <w:t>consider, however</w:t>
      </w:r>
      <w:r w:rsidR="00310875">
        <w:t>,</w:t>
      </w:r>
      <w:r w:rsidR="000A716E">
        <w:t xml:space="preserve"> the schools can appeal and then that will be </w:t>
      </w:r>
      <w:r w:rsidR="00373CD8">
        <w:t>investigated.</w:t>
      </w:r>
      <w:r>
        <w:t xml:space="preserve"> </w:t>
      </w:r>
    </w:p>
    <w:p w14:paraId="4BB42274" w14:textId="2CEC3003" w:rsidR="000A716E" w:rsidRDefault="00BA0FE8" w:rsidP="00BA0FE8">
      <w:r w:rsidRPr="00BA0FE8">
        <w:rPr>
          <w:rFonts w:asciiTheme="majorHAnsi" w:hAnsiTheme="majorHAnsi" w:cstheme="majorHAnsi"/>
          <w:b/>
          <w:bCs/>
          <w:sz w:val="24"/>
          <w:szCs w:val="24"/>
        </w:rPr>
        <w:t>Decision -</w:t>
      </w:r>
      <w:r>
        <w:t xml:space="preserve"> Members voted and agreed on a No response 8/10 eligible members giving a majority vote of a NO.  </w:t>
      </w:r>
    </w:p>
    <w:p w14:paraId="7CDF2E14" w14:textId="2EA2E31E" w:rsidR="00BA0FE8" w:rsidRDefault="000A716E" w:rsidP="00BA0FE8">
      <w:pPr>
        <w:rPr>
          <w:b/>
        </w:rPr>
      </w:pPr>
      <w:r>
        <w:rPr>
          <w:b/>
        </w:rPr>
        <w:t>4-2</w:t>
      </w:r>
      <w:r w:rsidR="00BA0FE8">
        <w:rPr>
          <w:b/>
        </w:rPr>
        <w:t xml:space="preserve">. </w:t>
      </w:r>
      <w:proofErr w:type="spellStart"/>
      <w:r w:rsidR="00BA0FE8">
        <w:rPr>
          <w:b/>
        </w:rPr>
        <w:t>Oaklands</w:t>
      </w:r>
      <w:proofErr w:type="spellEnd"/>
      <w:r w:rsidR="00BA0FE8">
        <w:rPr>
          <w:b/>
        </w:rPr>
        <w:t xml:space="preserve"> School - Schools in Financial Difficulty case. </w:t>
      </w:r>
    </w:p>
    <w:p w14:paraId="68494D20" w14:textId="60536E0D" w:rsidR="000A716E" w:rsidRDefault="000A716E" w:rsidP="00BA0FE8">
      <w:r>
        <w:rPr>
          <w:b/>
        </w:rPr>
        <w:t>S</w:t>
      </w:r>
      <w:r w:rsidR="00BA0FE8" w:rsidRPr="00BA0FE8">
        <w:t xml:space="preserve">upport is requested for </w:t>
      </w:r>
      <w:r w:rsidR="00310875">
        <w:t xml:space="preserve">a </w:t>
      </w:r>
      <w:r w:rsidR="00373CD8" w:rsidRPr="00BA0FE8">
        <w:t>one-year</w:t>
      </w:r>
      <w:r w:rsidR="00BA0FE8" w:rsidRPr="00BA0FE8">
        <w:t xml:space="preserve"> group at a total cost of £55,000. This is support for last years, </w:t>
      </w:r>
      <w:r>
        <w:t>y</w:t>
      </w:r>
      <w:r w:rsidR="00BA0FE8" w:rsidRPr="00BA0FE8">
        <w:t>ear R class which is moving into year 1 from September 2020.</w:t>
      </w:r>
      <w:r w:rsidR="00373CD8">
        <w:t xml:space="preserve"> </w:t>
      </w:r>
    </w:p>
    <w:p w14:paraId="3FF99304" w14:textId="2189AB31" w:rsidR="000A716E" w:rsidRDefault="00BA0FE8" w:rsidP="00BA0FE8">
      <w:r w:rsidRPr="000A716E">
        <w:rPr>
          <w:rFonts w:asciiTheme="majorHAnsi" w:hAnsiTheme="majorHAnsi" w:cstheme="majorHAnsi"/>
          <w:b/>
          <w:bCs/>
          <w:sz w:val="24"/>
          <w:szCs w:val="24"/>
        </w:rPr>
        <w:t xml:space="preserve">Decision </w:t>
      </w:r>
      <w:r w:rsidR="000A716E" w:rsidRPr="000A716E">
        <w:rPr>
          <w:rFonts w:asciiTheme="majorHAnsi" w:hAnsiTheme="majorHAnsi" w:cstheme="majorHAnsi"/>
          <w:b/>
          <w:bCs/>
        </w:rPr>
        <w:t>–</w:t>
      </w:r>
      <w:r>
        <w:t xml:space="preserve"> </w:t>
      </w:r>
      <w:r w:rsidR="000A716E">
        <w:t>Members voted and a</w:t>
      </w:r>
      <w:r>
        <w:t>greed to fund</w:t>
      </w:r>
      <w:r w:rsidR="000A716E">
        <w:t xml:space="preserve"> YR R class moving into year 1. </w:t>
      </w:r>
    </w:p>
    <w:p w14:paraId="2BAA98D2" w14:textId="4AB569FC" w:rsidR="000A716E" w:rsidRDefault="00BA0FE8" w:rsidP="00BA0FE8">
      <w:pPr>
        <w:rPr>
          <w:b/>
        </w:rPr>
      </w:pPr>
      <w:r>
        <w:rPr>
          <w:b/>
        </w:rPr>
        <w:t xml:space="preserve">4-3. St </w:t>
      </w:r>
      <w:r w:rsidR="000A716E">
        <w:rPr>
          <w:b/>
        </w:rPr>
        <w:t>P</w:t>
      </w:r>
      <w:r>
        <w:rPr>
          <w:b/>
        </w:rPr>
        <w:t xml:space="preserve">eter's </w:t>
      </w:r>
      <w:r w:rsidR="000A716E">
        <w:rPr>
          <w:b/>
        </w:rPr>
        <w:t>I</w:t>
      </w:r>
      <w:r>
        <w:rPr>
          <w:b/>
        </w:rPr>
        <w:t>nfant School</w:t>
      </w:r>
      <w:r w:rsidR="000A716E">
        <w:rPr>
          <w:b/>
        </w:rPr>
        <w:t xml:space="preserve">. </w:t>
      </w:r>
    </w:p>
    <w:p w14:paraId="14064C13" w14:textId="5C044A7E" w:rsidR="000A716E" w:rsidRDefault="000A716E" w:rsidP="00BA0FE8">
      <w:r>
        <w:rPr>
          <w:b/>
        </w:rPr>
        <w:t xml:space="preserve"> </w:t>
      </w:r>
      <w:r w:rsidR="00BA0FE8">
        <w:t xml:space="preserve">Support is requested for another </w:t>
      </w:r>
      <w:r>
        <w:t>Y</w:t>
      </w:r>
      <w:r w:rsidR="00BA0FE8">
        <w:t xml:space="preserve">ear of support at a total cost of £55,000. This is support for the year R class from September 2020, </w:t>
      </w:r>
      <w:r>
        <w:t>w</w:t>
      </w:r>
      <w:r w:rsidR="00BA0FE8">
        <w:t xml:space="preserve">hich only has 19 pupils out of 40. The school is in the process of changing its PAN.  </w:t>
      </w:r>
    </w:p>
    <w:p w14:paraId="17B91EB9" w14:textId="716A32FA" w:rsidR="000A716E" w:rsidRDefault="00BA0FE8" w:rsidP="00BA0FE8">
      <w:r w:rsidRPr="000A716E">
        <w:rPr>
          <w:rFonts w:asciiTheme="majorHAnsi" w:hAnsiTheme="majorHAnsi" w:cstheme="majorHAnsi"/>
          <w:b/>
          <w:bCs/>
          <w:sz w:val="24"/>
          <w:szCs w:val="24"/>
        </w:rPr>
        <w:t>Dec</w:t>
      </w:r>
      <w:r w:rsidR="000A716E" w:rsidRPr="000A716E">
        <w:rPr>
          <w:rFonts w:asciiTheme="majorHAnsi" w:hAnsiTheme="majorHAnsi" w:cstheme="majorHAnsi"/>
          <w:b/>
          <w:bCs/>
          <w:sz w:val="24"/>
          <w:szCs w:val="24"/>
        </w:rPr>
        <w:t>i</w:t>
      </w:r>
      <w:r w:rsidRPr="000A716E">
        <w:rPr>
          <w:rFonts w:asciiTheme="majorHAnsi" w:hAnsiTheme="majorHAnsi" w:cstheme="majorHAnsi"/>
          <w:b/>
          <w:bCs/>
          <w:sz w:val="24"/>
          <w:szCs w:val="24"/>
        </w:rPr>
        <w:t xml:space="preserve">sion </w:t>
      </w:r>
      <w:r w:rsidR="000A716E" w:rsidRPr="000A716E">
        <w:rPr>
          <w:rFonts w:asciiTheme="majorHAnsi" w:hAnsiTheme="majorHAnsi" w:cstheme="majorHAnsi"/>
          <w:b/>
          <w:bCs/>
        </w:rPr>
        <w:t>–</w:t>
      </w:r>
      <w:r>
        <w:t xml:space="preserve"> </w:t>
      </w:r>
      <w:r w:rsidR="000A716E">
        <w:t xml:space="preserve">Members voted and agreed for funding for Year R but declined </w:t>
      </w:r>
      <w:r w:rsidR="00310875">
        <w:t>to fund</w:t>
      </w:r>
      <w:r w:rsidR="000A716E">
        <w:t xml:space="preserve"> for Year 1. </w:t>
      </w:r>
    </w:p>
    <w:p w14:paraId="24E0DC44" w14:textId="616EEBE7" w:rsidR="000A716E" w:rsidRDefault="000A716E" w:rsidP="00BA0FE8"/>
    <w:p w14:paraId="775CD687" w14:textId="77777777" w:rsidR="000A716E" w:rsidRDefault="000A716E" w:rsidP="00BA0FE8"/>
    <w:p w14:paraId="7DF34F41" w14:textId="77777777" w:rsidR="000A716E" w:rsidRDefault="00BA0FE8" w:rsidP="00BA0FE8">
      <w:pPr>
        <w:rPr>
          <w:b/>
        </w:rPr>
      </w:pPr>
      <w:r>
        <w:t xml:space="preserve"> </w:t>
      </w:r>
      <w:r>
        <w:rPr>
          <w:b/>
        </w:rPr>
        <w:t xml:space="preserve">4-4. </w:t>
      </w:r>
      <w:proofErr w:type="spellStart"/>
      <w:r>
        <w:rPr>
          <w:b/>
        </w:rPr>
        <w:t>Luton</w:t>
      </w:r>
      <w:proofErr w:type="spellEnd"/>
      <w:r>
        <w:rPr>
          <w:b/>
        </w:rPr>
        <w:t xml:space="preserve"> Infants School</w:t>
      </w:r>
      <w:r w:rsidR="000A716E">
        <w:rPr>
          <w:b/>
        </w:rPr>
        <w:t>.</w:t>
      </w:r>
    </w:p>
    <w:p w14:paraId="274B6A84" w14:textId="04557B5C" w:rsidR="000A716E" w:rsidRDefault="00BA0FE8" w:rsidP="00BA0FE8">
      <w:pPr>
        <w:rPr>
          <w:rFonts w:eastAsia="Times New Roman" w:cstheme="minorHAnsi"/>
          <w:sz w:val="24"/>
          <w:szCs w:val="24"/>
        </w:rPr>
      </w:pPr>
      <w:r w:rsidRPr="00BA0FE8">
        <w:rPr>
          <w:rFonts w:eastAsia="Times New Roman" w:cstheme="minorHAnsi"/>
          <w:sz w:val="24"/>
          <w:szCs w:val="24"/>
        </w:rPr>
        <w:t xml:space="preserve">Prior year </w:t>
      </w:r>
      <w:r w:rsidR="000A716E">
        <w:rPr>
          <w:rFonts w:eastAsia="Times New Roman" w:cstheme="minorHAnsi"/>
          <w:sz w:val="24"/>
          <w:szCs w:val="24"/>
        </w:rPr>
        <w:t>b</w:t>
      </w:r>
      <w:r w:rsidRPr="00BA0FE8">
        <w:rPr>
          <w:rFonts w:eastAsia="Times New Roman" w:cstheme="minorHAnsi"/>
          <w:sz w:val="24"/>
          <w:szCs w:val="24"/>
        </w:rPr>
        <w:t xml:space="preserve">usiness </w:t>
      </w:r>
      <w:r w:rsidR="00373CD8" w:rsidRPr="00BA0FE8">
        <w:rPr>
          <w:rFonts w:eastAsia="Times New Roman" w:cstheme="minorHAnsi"/>
          <w:sz w:val="24"/>
          <w:szCs w:val="24"/>
        </w:rPr>
        <w:t>case,</w:t>
      </w:r>
      <w:r w:rsidR="000A716E">
        <w:rPr>
          <w:rFonts w:eastAsia="Times New Roman" w:cstheme="minorHAnsi"/>
          <w:sz w:val="24"/>
          <w:szCs w:val="24"/>
        </w:rPr>
        <w:t xml:space="preserve"> c</w:t>
      </w:r>
      <w:r w:rsidRPr="00D77D2B">
        <w:rPr>
          <w:rFonts w:eastAsia="Times New Roman" w:cstheme="minorHAnsi"/>
          <w:sz w:val="24"/>
          <w:szCs w:val="24"/>
        </w:rPr>
        <w:t xml:space="preserve">ontinued support is requested for another year at a </w:t>
      </w:r>
      <w:r w:rsidR="000A716E">
        <w:rPr>
          <w:rFonts w:eastAsia="Times New Roman" w:cstheme="minorHAnsi"/>
          <w:sz w:val="24"/>
          <w:szCs w:val="24"/>
        </w:rPr>
        <w:t>t</w:t>
      </w:r>
      <w:r w:rsidRPr="00D77D2B">
        <w:rPr>
          <w:rFonts w:eastAsia="Times New Roman" w:cstheme="minorHAnsi"/>
          <w:sz w:val="24"/>
          <w:szCs w:val="24"/>
        </w:rPr>
        <w:t xml:space="preserve">otal cost of £55,000. This is support for the year R class as it moves into year 1 from </w:t>
      </w:r>
      <w:r w:rsidR="00373CD8">
        <w:rPr>
          <w:rFonts w:eastAsia="Times New Roman" w:cstheme="minorHAnsi"/>
          <w:sz w:val="24"/>
          <w:szCs w:val="24"/>
        </w:rPr>
        <w:t>S</w:t>
      </w:r>
      <w:r w:rsidR="00373CD8" w:rsidRPr="00D77D2B">
        <w:rPr>
          <w:rFonts w:eastAsia="Times New Roman" w:cstheme="minorHAnsi"/>
          <w:sz w:val="24"/>
          <w:szCs w:val="24"/>
        </w:rPr>
        <w:t>eptember</w:t>
      </w:r>
      <w:r w:rsidRPr="00D77D2B">
        <w:rPr>
          <w:rFonts w:eastAsia="Times New Roman" w:cstheme="minorHAnsi"/>
          <w:sz w:val="24"/>
          <w:szCs w:val="24"/>
        </w:rPr>
        <w:t xml:space="preserve"> 2020. Year 2 of 3 funding</w:t>
      </w:r>
      <w:r w:rsidR="000A716E">
        <w:rPr>
          <w:rFonts w:eastAsia="Times New Roman" w:cstheme="minorHAnsi"/>
          <w:sz w:val="24"/>
          <w:szCs w:val="24"/>
        </w:rPr>
        <w:t>.</w:t>
      </w:r>
    </w:p>
    <w:p w14:paraId="63F4BCD4" w14:textId="1232920A" w:rsidR="00BA0FE8" w:rsidRDefault="00BA0FE8" w:rsidP="00BA0FE8">
      <w:r w:rsidRPr="000A716E">
        <w:rPr>
          <w:rFonts w:asciiTheme="majorHAnsi" w:hAnsiTheme="majorHAnsi" w:cstheme="majorHAnsi"/>
          <w:b/>
          <w:bCs/>
          <w:sz w:val="24"/>
          <w:szCs w:val="24"/>
        </w:rPr>
        <w:t xml:space="preserve">Decision </w:t>
      </w:r>
      <w:r w:rsidR="000A716E" w:rsidRPr="000A716E">
        <w:rPr>
          <w:rFonts w:asciiTheme="majorHAnsi" w:hAnsiTheme="majorHAnsi" w:cstheme="majorHAnsi"/>
          <w:b/>
          <w:bCs/>
        </w:rPr>
        <w:t>–</w:t>
      </w:r>
      <w:r>
        <w:t xml:space="preserve"> </w:t>
      </w:r>
      <w:r w:rsidR="000A716E">
        <w:t>Members voted and agreed</w:t>
      </w:r>
      <w:r w:rsidR="00310875">
        <w:t xml:space="preserve"> on</w:t>
      </w:r>
      <w:r w:rsidR="000A716E">
        <w:t xml:space="preserve"> a </w:t>
      </w:r>
      <w:r w:rsidRPr="000A716E">
        <w:rPr>
          <w:b/>
          <w:bCs/>
        </w:rPr>
        <w:t>No</w:t>
      </w:r>
      <w:r w:rsidR="000A716E">
        <w:t xml:space="preserve"> on the funding request. </w:t>
      </w:r>
    </w:p>
    <w:p w14:paraId="49AC7689" w14:textId="77777777" w:rsidR="000A716E" w:rsidRDefault="00BA0FE8" w:rsidP="00BA0FE8">
      <w:r w:rsidRPr="000A716E">
        <w:rPr>
          <w:b/>
          <w:bCs/>
        </w:rPr>
        <w:t>Q - Is there a template to fill in for this?</w:t>
      </w:r>
      <w:r>
        <w:t xml:space="preserve"> A - There is but it looks like </w:t>
      </w:r>
      <w:r w:rsidR="000A716E">
        <w:t xml:space="preserve">it needs to be updated. </w:t>
      </w:r>
    </w:p>
    <w:p w14:paraId="3EFCFFFC" w14:textId="380A1300" w:rsidR="00BA0FE8" w:rsidRDefault="000A716E" w:rsidP="00BA0FE8">
      <w:r w:rsidRPr="000A716E">
        <w:rPr>
          <w:rFonts w:asciiTheme="majorHAnsi" w:hAnsiTheme="majorHAnsi" w:cstheme="majorHAnsi"/>
          <w:b/>
          <w:bCs/>
        </w:rPr>
        <w:t>Action –</w:t>
      </w:r>
      <w:r>
        <w:t xml:space="preserve"> MB to update the schools in </w:t>
      </w:r>
      <w:proofErr w:type="gramStart"/>
      <w:r>
        <w:t>Financial</w:t>
      </w:r>
      <w:proofErr w:type="gramEnd"/>
      <w:r>
        <w:t xml:space="preserve"> difficulty funding request form. </w:t>
      </w:r>
      <w:r w:rsidR="00BA0FE8">
        <w:t xml:space="preserve"> </w:t>
      </w:r>
    </w:p>
    <w:p w14:paraId="7D22842D" w14:textId="0BD844F5" w:rsidR="00BA0FE8" w:rsidRPr="00BA0FE8" w:rsidRDefault="00BA0FE8" w:rsidP="000A716E">
      <w:pPr>
        <w:rPr>
          <w:rFonts w:eastAsia="Times New Roman" w:cstheme="minorHAnsi"/>
          <w:sz w:val="24"/>
          <w:szCs w:val="24"/>
        </w:rPr>
      </w:pPr>
      <w:r>
        <w:rPr>
          <w:b/>
        </w:rPr>
        <w:t>4-5. Hempstead Infants</w:t>
      </w:r>
      <w:r w:rsidR="000A716E">
        <w:rPr>
          <w:b/>
        </w:rPr>
        <w:t xml:space="preserve">. </w:t>
      </w:r>
    </w:p>
    <w:p w14:paraId="4B2B7A2C" w14:textId="55835A34" w:rsidR="00BA0FE8" w:rsidRDefault="00BA0FE8" w:rsidP="000A716E">
      <w:pPr>
        <w:pStyle w:val="ListParagraph"/>
        <w:spacing w:after="0" w:line="240" w:lineRule="auto"/>
        <w:ind w:left="0"/>
        <w:rPr>
          <w:rFonts w:eastAsia="Times New Roman" w:cstheme="minorHAnsi"/>
          <w:sz w:val="24"/>
          <w:szCs w:val="24"/>
        </w:rPr>
      </w:pPr>
      <w:r w:rsidRPr="000A716E">
        <w:rPr>
          <w:rFonts w:eastAsia="Times New Roman" w:cstheme="minorHAnsi"/>
        </w:rPr>
        <w:t xml:space="preserve">Support is requested for </w:t>
      </w:r>
      <w:r w:rsidR="00310875">
        <w:rPr>
          <w:rFonts w:eastAsia="Times New Roman" w:cstheme="minorHAnsi"/>
        </w:rPr>
        <w:t xml:space="preserve">a </w:t>
      </w:r>
      <w:r w:rsidR="00373CD8" w:rsidRPr="000A716E">
        <w:rPr>
          <w:rFonts w:eastAsia="Times New Roman" w:cstheme="minorHAnsi"/>
        </w:rPr>
        <w:t>one-year</w:t>
      </w:r>
      <w:r w:rsidRPr="000A716E">
        <w:rPr>
          <w:rFonts w:eastAsia="Times New Roman" w:cstheme="minorHAnsi"/>
        </w:rPr>
        <w:t xml:space="preserve"> group at a total cost of £55,000. This is support for last years, Year 1 class which is moving into year 2 from September 2020. Year 3 of 3</w:t>
      </w:r>
      <w:r w:rsidR="00314611">
        <w:rPr>
          <w:rFonts w:eastAsia="Times New Roman" w:cstheme="minorHAnsi"/>
        </w:rPr>
        <w:t xml:space="preserve"> year</w:t>
      </w:r>
      <w:r w:rsidRPr="000A716E">
        <w:rPr>
          <w:rFonts w:eastAsia="Times New Roman" w:cstheme="minorHAnsi"/>
        </w:rPr>
        <w:t xml:space="preserve"> support. Pupil numbers have recovered sufficiently f</w:t>
      </w:r>
      <w:r w:rsidR="00310875">
        <w:rPr>
          <w:rFonts w:eastAsia="Times New Roman" w:cstheme="minorHAnsi"/>
        </w:rPr>
        <w:t>ro</w:t>
      </w:r>
      <w:r w:rsidRPr="000A716E">
        <w:rPr>
          <w:rFonts w:eastAsia="Times New Roman" w:cstheme="minorHAnsi"/>
        </w:rPr>
        <w:t>m September 2019.</w:t>
      </w:r>
      <w:r w:rsidR="000A716E">
        <w:rPr>
          <w:rFonts w:eastAsia="Times New Roman" w:cstheme="minorHAnsi"/>
        </w:rPr>
        <w:t xml:space="preserve"> </w:t>
      </w:r>
      <w:r w:rsidRPr="00D77D2B">
        <w:rPr>
          <w:rFonts w:eastAsia="Times New Roman" w:cstheme="minorHAnsi"/>
          <w:sz w:val="24"/>
          <w:szCs w:val="24"/>
        </w:rPr>
        <w:t>Support was approved in July for the 2018/19 academic year.</w:t>
      </w:r>
    </w:p>
    <w:p w14:paraId="0BCEE3B9" w14:textId="77777777" w:rsidR="000A716E" w:rsidRDefault="000A716E" w:rsidP="000A716E">
      <w:pPr>
        <w:pStyle w:val="ListParagraph"/>
        <w:spacing w:after="0" w:line="240" w:lineRule="auto"/>
        <w:ind w:left="0"/>
      </w:pPr>
    </w:p>
    <w:p w14:paraId="12458B95" w14:textId="63D73CFF" w:rsidR="000A716E" w:rsidRDefault="000A716E" w:rsidP="000A716E">
      <w:r w:rsidRPr="000A716E">
        <w:rPr>
          <w:rFonts w:asciiTheme="majorHAnsi" w:hAnsiTheme="majorHAnsi" w:cstheme="majorHAnsi"/>
          <w:b/>
          <w:bCs/>
          <w:sz w:val="24"/>
          <w:szCs w:val="24"/>
        </w:rPr>
        <w:t>Decision –</w:t>
      </w:r>
      <w:r>
        <w:t xml:space="preserve"> Members voted and agreed</w:t>
      </w:r>
      <w:r w:rsidR="00310875">
        <w:t xml:space="preserve"> on</w:t>
      </w:r>
      <w:r>
        <w:t xml:space="preserve"> a </w:t>
      </w:r>
      <w:r w:rsidRPr="00373CD8">
        <w:rPr>
          <w:b/>
          <w:bCs/>
        </w:rPr>
        <w:t>No</w:t>
      </w:r>
      <w:r>
        <w:t xml:space="preserve"> on the funding request. </w:t>
      </w:r>
    </w:p>
    <w:p w14:paraId="42059798" w14:textId="752BB574" w:rsidR="00BA0FE8" w:rsidRDefault="00BA0FE8" w:rsidP="00BA0FE8">
      <w:r>
        <w:rPr>
          <w:b/>
        </w:rPr>
        <w:t xml:space="preserve">4-6. Crest Infant and Nursery School. </w:t>
      </w:r>
    </w:p>
    <w:p w14:paraId="5673ED10" w14:textId="77777777" w:rsidR="00373CD8" w:rsidRDefault="00BA0FE8" w:rsidP="00373CD8">
      <w:r>
        <w:t xml:space="preserve">Support is requested for </w:t>
      </w:r>
      <w:r w:rsidR="00373CD8">
        <w:t>three-year</w:t>
      </w:r>
      <w:r>
        <w:t xml:space="preserve"> groups at a total cost of £165,000. This is support for last years, Year R </w:t>
      </w:r>
      <w:r w:rsidR="00373CD8">
        <w:t>class,</w:t>
      </w:r>
      <w:r>
        <w:t xml:space="preserve"> which is moving into year 1, Year 1 class which is moving into year 2 and the </w:t>
      </w:r>
      <w:proofErr w:type="gramStart"/>
      <w:r>
        <w:t>new year</w:t>
      </w:r>
      <w:proofErr w:type="gramEnd"/>
      <w:r>
        <w:t xml:space="preserve"> R class for September 2020. </w:t>
      </w:r>
    </w:p>
    <w:p w14:paraId="6EA1EE64" w14:textId="24CA6A1C" w:rsidR="00373CD8" w:rsidRDefault="00373CD8" w:rsidP="00373CD8">
      <w:r>
        <w:t xml:space="preserve">Members noted that PAN management by LA had impacted on this process, and they were disappointed that the LA has put this school in this position by refusing to allow the school to alter their PAN numbers.  </w:t>
      </w:r>
    </w:p>
    <w:p w14:paraId="11088E7A" w14:textId="534C01A4" w:rsidR="000A716E" w:rsidRDefault="000A716E" w:rsidP="000A716E">
      <w:r w:rsidRPr="000A716E">
        <w:rPr>
          <w:rFonts w:asciiTheme="majorHAnsi" w:hAnsiTheme="majorHAnsi" w:cstheme="majorHAnsi"/>
          <w:b/>
          <w:bCs/>
          <w:sz w:val="24"/>
          <w:szCs w:val="24"/>
        </w:rPr>
        <w:t xml:space="preserve">Decision </w:t>
      </w:r>
      <w:r w:rsidRPr="000A716E">
        <w:rPr>
          <w:rFonts w:asciiTheme="majorHAnsi" w:hAnsiTheme="majorHAnsi" w:cstheme="majorHAnsi"/>
          <w:b/>
          <w:bCs/>
        </w:rPr>
        <w:t>–</w:t>
      </w:r>
      <w:r>
        <w:t xml:space="preserve"> Members voted and agreed</w:t>
      </w:r>
      <w:r w:rsidR="00310875">
        <w:t xml:space="preserve"> on</w:t>
      </w:r>
      <w:r>
        <w:t xml:space="preserve"> a </w:t>
      </w:r>
      <w:r w:rsidRPr="000A716E">
        <w:rPr>
          <w:b/>
          <w:bCs/>
        </w:rPr>
        <w:t>No</w:t>
      </w:r>
      <w:r>
        <w:t xml:space="preserve"> on the funding request. </w:t>
      </w:r>
    </w:p>
    <w:p w14:paraId="7C7A1405" w14:textId="77777777" w:rsidR="000A716E" w:rsidRDefault="000A716E" w:rsidP="000A716E">
      <w:r w:rsidRPr="00BA0FE8">
        <w:rPr>
          <w:rFonts w:asciiTheme="majorHAnsi" w:hAnsiTheme="majorHAnsi" w:cstheme="majorHAnsi"/>
          <w:b/>
          <w:bCs/>
        </w:rPr>
        <w:t>Action</w:t>
      </w:r>
      <w:r>
        <w:t xml:space="preserve"> - MB to write to the school with the reasons for the school forums decisions. </w:t>
      </w:r>
    </w:p>
    <w:p w14:paraId="55A1B4D9" w14:textId="77777777" w:rsidR="001B02BF" w:rsidRDefault="001B02BF" w:rsidP="001B02BF">
      <w:r>
        <w:rPr>
          <w:rStyle w:val="h4"/>
        </w:rPr>
        <w:t xml:space="preserve">9. 2020-21 Schools and academy funding Formula – Confidential minutes.  </w:t>
      </w:r>
    </w:p>
    <w:p w14:paraId="7D14EF3C" w14:textId="189CE964" w:rsidR="001B02BF" w:rsidRPr="001B02BF" w:rsidRDefault="001B02BF" w:rsidP="001B02BF">
      <w:pPr>
        <w:pStyle w:val="Heading3"/>
        <w:rPr>
          <w:rFonts w:ascii="Calibri" w:hAnsi="Calibri" w:cs="Calibri"/>
          <w:color w:val="auto"/>
          <w:szCs w:val="24"/>
        </w:rPr>
      </w:pPr>
      <w:r w:rsidRPr="00A77148">
        <w:rPr>
          <w:rFonts w:ascii="Calibri" w:hAnsi="Calibri" w:cs="Calibri"/>
          <w:b w:val="0"/>
          <w:bCs w:val="0"/>
          <w:color w:val="auto"/>
          <w:szCs w:val="24"/>
        </w:rPr>
        <w:t xml:space="preserve">MB reminded members </w:t>
      </w:r>
      <w:r w:rsidR="00A77148" w:rsidRPr="00A77148">
        <w:rPr>
          <w:rFonts w:ascii="Calibri" w:hAnsi="Calibri" w:cs="Calibri"/>
          <w:b w:val="0"/>
          <w:bCs w:val="0"/>
          <w:color w:val="auto"/>
          <w:szCs w:val="24"/>
        </w:rPr>
        <w:t>of</w:t>
      </w:r>
      <w:r w:rsidR="00A77148">
        <w:rPr>
          <w:rFonts w:ascii="Calibri" w:hAnsi="Calibri" w:cs="Calibri"/>
          <w:b w:val="0"/>
          <w:bCs w:val="0"/>
          <w:color w:val="auto"/>
          <w:szCs w:val="24"/>
        </w:rPr>
        <w:t xml:space="preserve"> the</w:t>
      </w:r>
      <w:r w:rsidRPr="001B02BF">
        <w:rPr>
          <w:rFonts w:ascii="Calibri" w:hAnsi="Calibri" w:cs="Calibri"/>
          <w:b w:val="0"/>
          <w:color w:val="auto"/>
          <w:szCs w:val="24"/>
        </w:rPr>
        <w:t xml:space="preserve"> previous School Forum meetings and previous papers on this agenda, Members discussed and agreed the following:</w:t>
      </w:r>
    </w:p>
    <w:p w14:paraId="2D39C5DC" w14:textId="77777777" w:rsidR="001B02BF" w:rsidRPr="001B02BF" w:rsidRDefault="001B02BF" w:rsidP="001B02BF">
      <w:pPr>
        <w:numPr>
          <w:ilvl w:val="0"/>
          <w:numId w:val="31"/>
        </w:numPr>
        <w:spacing w:after="0" w:line="240" w:lineRule="auto"/>
        <w:rPr>
          <w:rFonts w:cstheme="minorHAnsi"/>
        </w:rPr>
      </w:pPr>
      <w:r w:rsidRPr="001B02BF">
        <w:rPr>
          <w:rFonts w:cstheme="minorHAnsi"/>
        </w:rPr>
        <w:t>To use a local funding formula which is moving towards the NFF.</w:t>
      </w:r>
    </w:p>
    <w:p w14:paraId="1C685101" w14:textId="77777777" w:rsidR="001B02BF" w:rsidRPr="001B02BF" w:rsidRDefault="001B02BF" w:rsidP="001B02BF">
      <w:pPr>
        <w:numPr>
          <w:ilvl w:val="0"/>
          <w:numId w:val="31"/>
        </w:numPr>
        <w:spacing w:after="0" w:line="240" w:lineRule="auto"/>
        <w:rPr>
          <w:rFonts w:cstheme="minorHAnsi"/>
        </w:rPr>
      </w:pPr>
      <w:r w:rsidRPr="001B02BF">
        <w:rPr>
          <w:rFonts w:cstheme="minorHAnsi"/>
        </w:rPr>
        <w:t>The 9 factors to be included in Medway’s local funding formula.</w:t>
      </w:r>
    </w:p>
    <w:p w14:paraId="68F86329" w14:textId="479DE46F" w:rsidR="001B02BF" w:rsidRPr="001B02BF" w:rsidRDefault="001B02BF" w:rsidP="001B02BF">
      <w:pPr>
        <w:numPr>
          <w:ilvl w:val="0"/>
          <w:numId w:val="31"/>
        </w:numPr>
        <w:spacing w:after="0" w:line="240" w:lineRule="auto"/>
        <w:rPr>
          <w:rFonts w:cstheme="minorHAnsi"/>
        </w:rPr>
      </w:pPr>
      <w:r w:rsidRPr="001B02BF">
        <w:rPr>
          <w:rFonts w:cstheme="minorHAnsi"/>
        </w:rPr>
        <w:t>To continue to use the Sparsity tapering and lump</w:t>
      </w:r>
      <w:r w:rsidR="00310875">
        <w:rPr>
          <w:rFonts w:cstheme="minorHAnsi"/>
        </w:rPr>
        <w:t>-</w:t>
      </w:r>
      <w:r w:rsidRPr="001B02BF">
        <w:rPr>
          <w:rFonts w:cstheme="minorHAnsi"/>
        </w:rPr>
        <w:t>sum method.</w:t>
      </w:r>
    </w:p>
    <w:p w14:paraId="1C0106E5" w14:textId="0F513E8F" w:rsidR="001B02BF" w:rsidRPr="001B02BF" w:rsidRDefault="001B02BF" w:rsidP="001B02BF">
      <w:pPr>
        <w:numPr>
          <w:ilvl w:val="0"/>
          <w:numId w:val="31"/>
        </w:numPr>
        <w:spacing w:after="0" w:line="240" w:lineRule="auto"/>
        <w:rPr>
          <w:rFonts w:cstheme="minorHAnsi"/>
        </w:rPr>
      </w:pPr>
      <w:r w:rsidRPr="001B02BF">
        <w:rPr>
          <w:rFonts w:cstheme="minorHAnsi"/>
        </w:rPr>
        <w:t>Agreed</w:t>
      </w:r>
      <w:r w:rsidR="00310875">
        <w:rPr>
          <w:rFonts w:cstheme="minorHAnsi"/>
        </w:rPr>
        <w:t xml:space="preserve"> on</w:t>
      </w:r>
      <w:r w:rsidRPr="001B02BF">
        <w:rPr>
          <w:rFonts w:cstheme="minorHAnsi"/>
        </w:rPr>
        <w:t xml:space="preserve"> the pupil number variations - PAN increases.</w:t>
      </w:r>
    </w:p>
    <w:p w14:paraId="6E72415A" w14:textId="3AD9AB52" w:rsidR="001B02BF" w:rsidRPr="001B02BF" w:rsidRDefault="001B02BF" w:rsidP="001B02BF">
      <w:pPr>
        <w:numPr>
          <w:ilvl w:val="0"/>
          <w:numId w:val="31"/>
        </w:numPr>
        <w:spacing w:after="0" w:line="240" w:lineRule="auto"/>
        <w:rPr>
          <w:rFonts w:cstheme="minorHAnsi"/>
        </w:rPr>
      </w:pPr>
      <w:r w:rsidRPr="001B02BF">
        <w:rPr>
          <w:rFonts w:cstheme="minorHAnsi"/>
        </w:rPr>
        <w:t>Agreed</w:t>
      </w:r>
      <w:r w:rsidR="00310875">
        <w:rPr>
          <w:rFonts w:cstheme="minorHAnsi"/>
        </w:rPr>
        <w:t xml:space="preserve"> on</w:t>
      </w:r>
      <w:r w:rsidRPr="001B02BF">
        <w:rPr>
          <w:rFonts w:cstheme="minorHAnsi"/>
        </w:rPr>
        <w:t xml:space="preserve"> the Growth Fund payments.</w:t>
      </w:r>
    </w:p>
    <w:p w14:paraId="30420272" w14:textId="77777777" w:rsidR="001B02BF" w:rsidRPr="001B02BF" w:rsidRDefault="001B02BF" w:rsidP="001B02BF">
      <w:pPr>
        <w:numPr>
          <w:ilvl w:val="0"/>
          <w:numId w:val="31"/>
        </w:numPr>
        <w:spacing w:after="0" w:line="240" w:lineRule="auto"/>
        <w:rPr>
          <w:rFonts w:cstheme="minorHAnsi"/>
        </w:rPr>
      </w:pPr>
      <w:r w:rsidRPr="001B02BF">
        <w:rPr>
          <w:rFonts w:cstheme="minorHAnsi"/>
        </w:rPr>
        <w:t>The Council Statutory Retained Functions.</w:t>
      </w:r>
    </w:p>
    <w:p w14:paraId="6F64A6DA" w14:textId="77777777" w:rsidR="001B02BF" w:rsidRPr="001B02BF" w:rsidRDefault="001B02BF" w:rsidP="001B02BF">
      <w:pPr>
        <w:numPr>
          <w:ilvl w:val="0"/>
          <w:numId w:val="31"/>
        </w:numPr>
        <w:spacing w:after="0" w:line="240" w:lineRule="auto"/>
        <w:rPr>
          <w:rFonts w:cstheme="minorHAnsi"/>
        </w:rPr>
      </w:pPr>
      <w:r w:rsidRPr="001B02BF">
        <w:rPr>
          <w:rFonts w:cstheme="minorHAnsi"/>
        </w:rPr>
        <w:t>The Council pooled school services - De-Delegations.</w:t>
      </w:r>
    </w:p>
    <w:p w14:paraId="0361F86D" w14:textId="77777777" w:rsidR="001B02BF" w:rsidRPr="001B02BF" w:rsidRDefault="001B02BF" w:rsidP="001B02BF">
      <w:pPr>
        <w:numPr>
          <w:ilvl w:val="0"/>
          <w:numId w:val="31"/>
        </w:numPr>
        <w:spacing w:after="0" w:line="240" w:lineRule="auto"/>
        <w:rPr>
          <w:rFonts w:cstheme="minorHAnsi"/>
        </w:rPr>
      </w:pPr>
      <w:r w:rsidRPr="001B02BF">
        <w:rPr>
          <w:rFonts w:cstheme="minorHAnsi"/>
        </w:rPr>
        <w:t>To transfer 0.5% of the Schools Block to the High Needs Block.</w:t>
      </w:r>
    </w:p>
    <w:p w14:paraId="6084318E" w14:textId="77777777" w:rsidR="001B02BF" w:rsidRPr="001B02BF" w:rsidRDefault="001B02BF" w:rsidP="001B02BF">
      <w:pPr>
        <w:numPr>
          <w:ilvl w:val="0"/>
          <w:numId w:val="31"/>
        </w:numPr>
        <w:spacing w:after="0" w:line="240" w:lineRule="auto"/>
        <w:rPr>
          <w:rFonts w:cstheme="minorHAnsi"/>
        </w:rPr>
      </w:pPr>
      <w:r w:rsidRPr="001B02BF">
        <w:rPr>
          <w:rFonts w:cstheme="minorHAnsi"/>
        </w:rPr>
        <w:t>To repay the 2018-19 SB overspend from the 2019-20 allocation.</w:t>
      </w:r>
    </w:p>
    <w:p w14:paraId="4A6E0B1F" w14:textId="77777777" w:rsidR="001B02BF" w:rsidRPr="001B02BF" w:rsidRDefault="001B02BF" w:rsidP="001B02BF">
      <w:pPr>
        <w:numPr>
          <w:ilvl w:val="0"/>
          <w:numId w:val="31"/>
        </w:numPr>
        <w:spacing w:after="0" w:line="240" w:lineRule="auto"/>
        <w:rPr>
          <w:rFonts w:cstheme="minorHAnsi"/>
        </w:rPr>
      </w:pPr>
      <w:r w:rsidRPr="001B02BF">
        <w:rPr>
          <w:rFonts w:cstheme="minorHAnsi"/>
        </w:rPr>
        <w:t>To use the governments minimum funding guarantees:</w:t>
      </w:r>
    </w:p>
    <w:p w14:paraId="7AAD8BBC" w14:textId="2CF4FCC6" w:rsidR="001B02BF" w:rsidRPr="001B02BF" w:rsidRDefault="001B02BF" w:rsidP="001B02BF">
      <w:pPr>
        <w:pStyle w:val="ListParagraph"/>
        <w:numPr>
          <w:ilvl w:val="1"/>
          <w:numId w:val="37"/>
        </w:numPr>
        <w:spacing w:after="0" w:line="240" w:lineRule="auto"/>
        <w:rPr>
          <w:rFonts w:cstheme="minorHAnsi"/>
        </w:rPr>
      </w:pPr>
      <w:r w:rsidRPr="001B02BF">
        <w:rPr>
          <w:rFonts w:cstheme="minorHAnsi"/>
        </w:rPr>
        <w:t>A 0.5% year on year baseline per</w:t>
      </w:r>
      <w:r w:rsidR="00310875">
        <w:rPr>
          <w:rFonts w:cstheme="minorHAnsi"/>
        </w:rPr>
        <w:t>-</w:t>
      </w:r>
      <w:r w:rsidRPr="001B02BF">
        <w:rPr>
          <w:rFonts w:cstheme="minorHAnsi"/>
        </w:rPr>
        <w:t>pupil increase.</w:t>
      </w:r>
    </w:p>
    <w:p w14:paraId="6ED6A594" w14:textId="77777777" w:rsidR="001B02BF" w:rsidRPr="001B02BF" w:rsidRDefault="001B02BF" w:rsidP="001B02BF">
      <w:pPr>
        <w:pStyle w:val="ListParagraph"/>
        <w:numPr>
          <w:ilvl w:val="1"/>
          <w:numId w:val="37"/>
        </w:numPr>
        <w:spacing w:after="0" w:line="240" w:lineRule="auto"/>
        <w:rPr>
          <w:rFonts w:cstheme="minorHAnsi"/>
        </w:rPr>
      </w:pPr>
      <w:r w:rsidRPr="001B02BF">
        <w:rPr>
          <w:rFonts w:cstheme="minorHAnsi"/>
        </w:rPr>
        <w:t>Primary Schools will receive £3,750 per pupil and £5,000 for Secondary Schools.</w:t>
      </w:r>
    </w:p>
    <w:p w14:paraId="3B9B0964" w14:textId="77777777" w:rsidR="001B02BF" w:rsidRPr="001B02BF" w:rsidRDefault="001B02BF" w:rsidP="001B02BF">
      <w:pPr>
        <w:pStyle w:val="ListParagraph"/>
        <w:numPr>
          <w:ilvl w:val="1"/>
          <w:numId w:val="37"/>
        </w:numPr>
        <w:spacing w:after="0" w:line="240" w:lineRule="auto"/>
        <w:rPr>
          <w:rFonts w:cstheme="minorHAnsi"/>
        </w:rPr>
      </w:pPr>
      <w:r w:rsidRPr="001B02BF">
        <w:rPr>
          <w:rFonts w:cstheme="minorHAnsi"/>
        </w:rPr>
        <w:t>To set an MFG of -1.5% for losing schools.</w:t>
      </w:r>
    </w:p>
    <w:p w14:paraId="45C40716" w14:textId="77777777" w:rsidR="001B02BF" w:rsidRPr="001B02BF" w:rsidRDefault="001B02BF" w:rsidP="001B02BF">
      <w:pPr>
        <w:pStyle w:val="BodyTextIndent"/>
        <w:ind w:firstLine="0"/>
        <w:rPr>
          <w:rFonts w:asciiTheme="minorHAnsi" w:hAnsiTheme="minorHAnsi" w:cstheme="minorHAnsi"/>
          <w:sz w:val="22"/>
          <w:szCs w:val="22"/>
        </w:rPr>
      </w:pPr>
    </w:p>
    <w:p w14:paraId="0C50B4F5" w14:textId="65E51EB1" w:rsidR="001B02BF" w:rsidRDefault="001B02BF" w:rsidP="001B02BF">
      <w:pPr>
        <w:pStyle w:val="BodyTextIndent"/>
        <w:rPr>
          <w:rFonts w:ascii="Calibri" w:hAnsi="Calibri" w:cs="Calibri"/>
          <w:b/>
          <w:szCs w:val="24"/>
        </w:rPr>
      </w:pPr>
      <w:r w:rsidRPr="00856C98">
        <w:rPr>
          <w:rFonts w:ascii="Calibri" w:hAnsi="Calibri" w:cs="Calibri"/>
          <w:b/>
          <w:szCs w:val="24"/>
        </w:rPr>
        <w:t>Final 2020-21 Schools and Academies Funding Formula</w:t>
      </w:r>
    </w:p>
    <w:p w14:paraId="21D75AF9" w14:textId="5DC9C0CC" w:rsidR="001B02BF" w:rsidRDefault="001B02BF" w:rsidP="001B02BF">
      <w:pPr>
        <w:pStyle w:val="BodyTextIndent"/>
        <w:rPr>
          <w:rFonts w:ascii="Calibri" w:hAnsi="Calibri" w:cs="Calibri"/>
          <w:b/>
          <w:szCs w:val="24"/>
        </w:rPr>
      </w:pPr>
    </w:p>
    <w:p w14:paraId="42B8D2AC" w14:textId="6335DFC3" w:rsidR="001B02BF" w:rsidRDefault="001B02BF" w:rsidP="001B02BF">
      <w:pPr>
        <w:pStyle w:val="BodyTextIndent"/>
        <w:ind w:left="0" w:firstLine="0"/>
        <w:rPr>
          <w:rFonts w:ascii="Calibri" w:hAnsi="Calibri" w:cs="Calibri"/>
          <w:szCs w:val="24"/>
        </w:rPr>
      </w:pPr>
      <w:r>
        <w:rPr>
          <w:rFonts w:ascii="Calibri" w:hAnsi="Calibri" w:cs="Calibri"/>
          <w:szCs w:val="24"/>
        </w:rPr>
        <w:t>The confidential break down of each schools funding under this formula was shared (appendix 3) and it was noted that u</w:t>
      </w:r>
      <w:r w:rsidRPr="00CE7B3B">
        <w:rPr>
          <w:rFonts w:ascii="Calibri" w:hAnsi="Calibri" w:cs="Calibri"/>
          <w:szCs w:val="24"/>
        </w:rPr>
        <w:t>nder this formula</w:t>
      </w:r>
      <w:r>
        <w:rPr>
          <w:rFonts w:ascii="Calibri" w:hAnsi="Calibri" w:cs="Calibri"/>
          <w:szCs w:val="24"/>
        </w:rPr>
        <w:t>:</w:t>
      </w:r>
    </w:p>
    <w:p w14:paraId="1FF630BF" w14:textId="77777777" w:rsidR="001B02BF" w:rsidRPr="00856C98" w:rsidRDefault="001B02BF" w:rsidP="001B02BF">
      <w:pPr>
        <w:pStyle w:val="BodyTextIndent"/>
        <w:rPr>
          <w:rFonts w:ascii="Calibri" w:hAnsi="Calibri" w:cs="Calibri"/>
          <w:b/>
          <w:szCs w:val="24"/>
        </w:rPr>
      </w:pPr>
    </w:p>
    <w:p w14:paraId="0F08A4E4" w14:textId="6843D2FB" w:rsidR="001B02BF" w:rsidRPr="00F0582C" w:rsidRDefault="001B02BF" w:rsidP="001B02BF">
      <w:pPr>
        <w:pStyle w:val="BodyTextIndent"/>
        <w:ind w:left="0" w:firstLine="0"/>
        <w:rPr>
          <w:rFonts w:ascii="Calibri" w:hAnsi="Calibri" w:cs="Calibri"/>
          <w:szCs w:val="24"/>
        </w:rPr>
      </w:pPr>
      <w:r w:rsidRPr="00F0582C">
        <w:rPr>
          <w:rFonts w:ascii="Calibri" w:hAnsi="Calibri" w:cs="Calibri"/>
          <w:szCs w:val="24"/>
        </w:rPr>
        <w:t>The funding unit costs remain the same as the provisional formulas except for the;</w:t>
      </w:r>
    </w:p>
    <w:p w14:paraId="7B7FA58A" w14:textId="5DAB980C" w:rsidR="001B02BF" w:rsidRPr="001B02BF" w:rsidRDefault="001B02BF" w:rsidP="001B02BF">
      <w:pPr>
        <w:pStyle w:val="BodyTextIndent"/>
        <w:numPr>
          <w:ilvl w:val="0"/>
          <w:numId w:val="40"/>
        </w:numPr>
        <w:rPr>
          <w:rFonts w:ascii="Calibri" w:hAnsi="Calibri" w:cs="Calibri"/>
          <w:sz w:val="22"/>
          <w:szCs w:val="22"/>
        </w:rPr>
      </w:pPr>
      <w:r w:rsidRPr="001B02BF">
        <w:rPr>
          <w:rFonts w:ascii="Calibri" w:hAnsi="Calibri" w:cs="Calibri"/>
          <w:sz w:val="22"/>
          <w:szCs w:val="22"/>
        </w:rPr>
        <w:t>Lump</w:t>
      </w:r>
      <w:r w:rsidR="00310875">
        <w:rPr>
          <w:rFonts w:ascii="Calibri" w:hAnsi="Calibri" w:cs="Calibri"/>
          <w:sz w:val="22"/>
          <w:szCs w:val="22"/>
        </w:rPr>
        <w:t>-</w:t>
      </w:r>
      <w:r w:rsidRPr="001B02BF">
        <w:rPr>
          <w:rFonts w:ascii="Calibri" w:hAnsi="Calibri" w:cs="Calibri"/>
          <w:sz w:val="22"/>
          <w:szCs w:val="22"/>
        </w:rPr>
        <w:t xml:space="preserve">Sum which has reduced to £76,050. This is </w:t>
      </w:r>
      <w:r w:rsidR="00310875">
        <w:rPr>
          <w:rFonts w:ascii="Calibri" w:hAnsi="Calibri" w:cs="Calibri"/>
          <w:sz w:val="22"/>
          <w:szCs w:val="22"/>
        </w:rPr>
        <w:t xml:space="preserve">a </w:t>
      </w:r>
      <w:r w:rsidRPr="001B02BF">
        <w:rPr>
          <w:rFonts w:ascii="Calibri" w:hAnsi="Calibri" w:cs="Calibri"/>
          <w:sz w:val="22"/>
          <w:szCs w:val="22"/>
        </w:rPr>
        <w:t>reduction of £13,950 when compared to the lump</w:t>
      </w:r>
      <w:r>
        <w:rPr>
          <w:rFonts w:ascii="Calibri" w:hAnsi="Calibri" w:cs="Calibri"/>
          <w:sz w:val="22"/>
          <w:szCs w:val="22"/>
        </w:rPr>
        <w:t xml:space="preserve"> </w:t>
      </w:r>
      <w:r w:rsidRPr="001B02BF">
        <w:rPr>
          <w:rFonts w:ascii="Calibri" w:hAnsi="Calibri" w:cs="Calibri"/>
          <w:sz w:val="22"/>
          <w:szCs w:val="22"/>
        </w:rPr>
        <w:t xml:space="preserve">sum previously reported to the Schools Forum, but more than last year. </w:t>
      </w:r>
    </w:p>
    <w:p w14:paraId="1D5F6A4D" w14:textId="729ACB66" w:rsidR="001B02BF" w:rsidRPr="00CE7B3B" w:rsidRDefault="001B02BF" w:rsidP="001B02BF">
      <w:pPr>
        <w:pStyle w:val="BodyTextIndent"/>
        <w:numPr>
          <w:ilvl w:val="0"/>
          <w:numId w:val="40"/>
        </w:numPr>
        <w:rPr>
          <w:rFonts w:ascii="Calibri" w:hAnsi="Calibri" w:cs="Calibri"/>
          <w:szCs w:val="24"/>
        </w:rPr>
      </w:pPr>
      <w:r w:rsidRPr="00CE7B3B">
        <w:rPr>
          <w:rFonts w:ascii="Calibri" w:hAnsi="Calibri" w:cs="Calibri"/>
          <w:szCs w:val="24"/>
        </w:rPr>
        <w:t>74 schools who will gain funding and 22 schools who will lose funding:</w:t>
      </w:r>
      <w:r w:rsidRPr="00CE7B3B">
        <w:rPr>
          <w:rFonts w:ascii="Calibri" w:hAnsi="Calibri" w:cs="Calibri"/>
          <w:szCs w:val="24"/>
        </w:rPr>
        <w:tab/>
      </w:r>
    </w:p>
    <w:p w14:paraId="26344D46" w14:textId="77777777" w:rsidR="001B02BF" w:rsidRPr="00CE7B3B" w:rsidRDefault="001B02BF" w:rsidP="001B02BF">
      <w:pPr>
        <w:pStyle w:val="BodyTextIndent"/>
        <w:numPr>
          <w:ilvl w:val="0"/>
          <w:numId w:val="40"/>
        </w:numPr>
        <w:rPr>
          <w:rFonts w:ascii="Calibri" w:hAnsi="Calibri" w:cs="Calibri"/>
          <w:szCs w:val="24"/>
        </w:rPr>
      </w:pPr>
      <w:r w:rsidRPr="00CE7B3B">
        <w:rPr>
          <w:rFonts w:ascii="Calibri" w:hAnsi="Calibri" w:cs="Calibri"/>
          <w:szCs w:val="24"/>
        </w:rPr>
        <w:t>All 22 schools who have lost funding, have seen a reduction in pupil numbers. The budget reductions range from, a reduction of £534 (1 pupil) to £271,620 (83 pupils.)</w:t>
      </w:r>
    </w:p>
    <w:p w14:paraId="3F854794" w14:textId="432A6C17" w:rsidR="001B02BF" w:rsidRPr="00CE7B3B" w:rsidRDefault="001B02BF" w:rsidP="001B02BF">
      <w:pPr>
        <w:pStyle w:val="BodyTextIndent"/>
        <w:numPr>
          <w:ilvl w:val="0"/>
          <w:numId w:val="40"/>
        </w:numPr>
        <w:rPr>
          <w:rFonts w:ascii="Calibri" w:hAnsi="Calibri" w:cs="Calibri"/>
          <w:szCs w:val="24"/>
        </w:rPr>
      </w:pPr>
      <w:r w:rsidRPr="00CE7B3B">
        <w:rPr>
          <w:rFonts w:ascii="Calibri" w:hAnsi="Calibri" w:cs="Calibri"/>
          <w:szCs w:val="24"/>
        </w:rPr>
        <w:t>12 schools have gained funding but lost pupils.  Each school has seen an increase in the average funding on a per</w:t>
      </w:r>
      <w:r w:rsidR="00310875">
        <w:rPr>
          <w:rFonts w:ascii="Calibri" w:hAnsi="Calibri" w:cs="Calibri"/>
          <w:szCs w:val="24"/>
        </w:rPr>
        <w:t>-</w:t>
      </w:r>
      <w:r w:rsidRPr="00CE7B3B">
        <w:rPr>
          <w:rFonts w:ascii="Calibri" w:hAnsi="Calibri" w:cs="Calibri"/>
          <w:szCs w:val="24"/>
        </w:rPr>
        <w:t>pupil basis.</w:t>
      </w:r>
    </w:p>
    <w:p w14:paraId="7717C7BD" w14:textId="7D7AF606" w:rsidR="001B02BF" w:rsidRPr="00CE7B3B" w:rsidRDefault="001B02BF" w:rsidP="001B02BF">
      <w:pPr>
        <w:pStyle w:val="BodyTextIndent"/>
        <w:numPr>
          <w:ilvl w:val="0"/>
          <w:numId w:val="40"/>
        </w:numPr>
        <w:rPr>
          <w:rFonts w:ascii="Calibri" w:hAnsi="Calibri" w:cs="Calibri"/>
          <w:b/>
          <w:szCs w:val="24"/>
        </w:rPr>
      </w:pPr>
      <w:r w:rsidRPr="00CE7B3B">
        <w:rPr>
          <w:rFonts w:ascii="Calibri" w:hAnsi="Calibri" w:cs="Calibri"/>
          <w:szCs w:val="24"/>
        </w:rPr>
        <w:t xml:space="preserve">6 schools have seen increased pupil numbers and funding but will see a reduction </w:t>
      </w:r>
      <w:r w:rsidR="00310875">
        <w:rPr>
          <w:rFonts w:ascii="Calibri" w:hAnsi="Calibri" w:cs="Calibri"/>
          <w:szCs w:val="24"/>
        </w:rPr>
        <w:t>in</w:t>
      </w:r>
      <w:r w:rsidRPr="00CE7B3B">
        <w:rPr>
          <w:rFonts w:ascii="Calibri" w:hAnsi="Calibri" w:cs="Calibri"/>
          <w:szCs w:val="24"/>
        </w:rPr>
        <w:t xml:space="preserve"> the average funding per pupil. Ranging from £9.09 to 249.20 per pupil.</w:t>
      </w:r>
    </w:p>
    <w:p w14:paraId="665688BB" w14:textId="77777777" w:rsidR="001B02BF" w:rsidRDefault="001B02BF" w:rsidP="001B02BF">
      <w:pPr>
        <w:pStyle w:val="BodyTextIndent"/>
        <w:ind w:left="1134" w:firstLine="0"/>
        <w:rPr>
          <w:rFonts w:ascii="Calibri" w:hAnsi="Calibri" w:cs="Calibri"/>
          <w:b/>
          <w:szCs w:val="24"/>
        </w:rPr>
      </w:pPr>
      <w:r>
        <w:rPr>
          <w:rFonts w:ascii="Calibri" w:hAnsi="Calibri" w:cs="Calibri"/>
          <w:b/>
          <w:szCs w:val="24"/>
        </w:rPr>
        <w:t xml:space="preserve"> </w:t>
      </w:r>
    </w:p>
    <w:p w14:paraId="20C85D81" w14:textId="77777777" w:rsidR="001B02BF" w:rsidRPr="002A4BDF" w:rsidRDefault="001B02BF" w:rsidP="001B02BF">
      <w:pPr>
        <w:pStyle w:val="BodyTextIndent"/>
        <w:rPr>
          <w:rFonts w:ascii="Calibri" w:hAnsi="Calibri" w:cs="Calibri"/>
          <w:b/>
          <w:szCs w:val="24"/>
        </w:rPr>
      </w:pPr>
      <w:r w:rsidRPr="002A4BDF">
        <w:rPr>
          <w:rFonts w:ascii="Calibri" w:hAnsi="Calibri" w:cs="Calibri"/>
          <w:b/>
          <w:szCs w:val="24"/>
        </w:rPr>
        <w:t>2020-21 Schools Block Dedicated Schools Grant (SB DSG)</w:t>
      </w:r>
    </w:p>
    <w:p w14:paraId="41B7E319" w14:textId="77777777" w:rsidR="001B02BF" w:rsidRPr="002A4BDF" w:rsidRDefault="001B02BF" w:rsidP="001B02BF">
      <w:pPr>
        <w:pStyle w:val="BodyTextIndent"/>
        <w:rPr>
          <w:rFonts w:ascii="Calibri" w:hAnsi="Calibri" w:cs="Calibri"/>
          <w:b/>
          <w:szCs w:val="24"/>
        </w:rPr>
      </w:pPr>
    </w:p>
    <w:p w14:paraId="469009A1" w14:textId="3393BF1D" w:rsidR="001B02BF" w:rsidRPr="001B02BF" w:rsidRDefault="006B51EF" w:rsidP="001B02BF">
      <w:pPr>
        <w:pStyle w:val="BodyTextIndent"/>
        <w:ind w:left="0" w:firstLine="0"/>
        <w:rPr>
          <w:rFonts w:ascii="Calibri" w:hAnsi="Calibri" w:cs="Calibri"/>
          <w:sz w:val="22"/>
          <w:szCs w:val="22"/>
        </w:rPr>
      </w:pPr>
      <w:r w:rsidRPr="001B02BF">
        <w:rPr>
          <w:rFonts w:ascii="Calibri" w:hAnsi="Calibri" w:cs="Calibri"/>
          <w:sz w:val="22"/>
          <w:szCs w:val="22"/>
        </w:rPr>
        <w:t>MB noted</w:t>
      </w:r>
      <w:r w:rsidR="001B02BF" w:rsidRPr="001B02BF">
        <w:rPr>
          <w:rFonts w:ascii="Calibri" w:hAnsi="Calibri" w:cs="Calibri"/>
          <w:sz w:val="22"/>
          <w:szCs w:val="22"/>
        </w:rPr>
        <w:t xml:space="preserve"> that the Funding Formula is used to distribute the Schools Block element of the DSG to all mainstream schools and academies fairly and transparently.</w:t>
      </w:r>
    </w:p>
    <w:p w14:paraId="1ECE2D46" w14:textId="77777777" w:rsidR="001B02BF" w:rsidRPr="001D30DF" w:rsidRDefault="001B02BF" w:rsidP="001B02BF">
      <w:pPr>
        <w:pStyle w:val="BodyTextIndent"/>
        <w:ind w:left="0" w:firstLine="0"/>
        <w:rPr>
          <w:rFonts w:ascii="Calibri" w:hAnsi="Calibri" w:cs="Calibri"/>
          <w:szCs w:val="24"/>
        </w:rPr>
      </w:pPr>
    </w:p>
    <w:p w14:paraId="66AB8A5A" w14:textId="4E186899" w:rsidR="001B02BF" w:rsidRPr="001B02BF" w:rsidRDefault="001B02BF" w:rsidP="001B02BF">
      <w:pPr>
        <w:pStyle w:val="BodyTextIndent"/>
        <w:ind w:left="0" w:firstLine="0"/>
        <w:rPr>
          <w:rFonts w:ascii="Calibri" w:hAnsi="Calibri" w:cs="Calibri"/>
          <w:sz w:val="22"/>
          <w:szCs w:val="22"/>
        </w:rPr>
      </w:pPr>
      <w:r w:rsidRPr="001B02BF">
        <w:rPr>
          <w:rFonts w:ascii="Calibri" w:hAnsi="Calibri" w:cs="Calibri"/>
          <w:sz w:val="22"/>
          <w:szCs w:val="22"/>
        </w:rPr>
        <w:t>The total SB allocation available for distribution after allowable deductions is £187,438,191 (£177,569,736 in 2019/20 or an increase of 6.2%) calculated as follows;</w:t>
      </w:r>
    </w:p>
    <w:p w14:paraId="5DE79A2D" w14:textId="77777777" w:rsidR="001B02BF" w:rsidRPr="001B02BF" w:rsidRDefault="001B02BF" w:rsidP="001B02BF">
      <w:pPr>
        <w:pStyle w:val="BodyTextIndent"/>
        <w:ind w:left="0" w:firstLine="0"/>
        <w:rPr>
          <w:rFonts w:ascii="Calibri" w:hAnsi="Calibri" w:cs="Calibri"/>
          <w:sz w:val="22"/>
          <w:szCs w:val="22"/>
        </w:rPr>
      </w:pPr>
    </w:p>
    <w:p w14:paraId="19129760" w14:textId="19719485" w:rsidR="001B02BF" w:rsidRPr="001B02BF" w:rsidRDefault="001B02BF" w:rsidP="001B02BF">
      <w:pPr>
        <w:pStyle w:val="BodyTextIndent"/>
        <w:ind w:left="0" w:firstLine="0"/>
        <w:rPr>
          <w:rFonts w:ascii="Calibri" w:hAnsi="Calibri" w:cs="Calibri"/>
          <w:sz w:val="22"/>
          <w:szCs w:val="22"/>
        </w:rPr>
      </w:pPr>
      <w:r w:rsidRPr="001B02BF">
        <w:rPr>
          <w:rFonts w:ascii="Calibri" w:hAnsi="Calibri" w:cs="Calibri"/>
          <w:sz w:val="22"/>
          <w:szCs w:val="22"/>
        </w:rPr>
        <w:t>Initial Allocation Schools Block</w:t>
      </w:r>
      <w:r w:rsidRPr="001B02BF">
        <w:rPr>
          <w:rFonts w:ascii="Calibri" w:hAnsi="Calibri" w:cs="Calibri"/>
          <w:sz w:val="22"/>
          <w:szCs w:val="22"/>
        </w:rPr>
        <w:tab/>
      </w:r>
      <w:r w:rsidRPr="001B02BF">
        <w:rPr>
          <w:rFonts w:ascii="Calibri" w:hAnsi="Calibri" w:cs="Calibri"/>
          <w:sz w:val="22"/>
          <w:szCs w:val="22"/>
        </w:rPr>
        <w:tab/>
      </w:r>
      <w:r w:rsidRPr="001B02BF">
        <w:rPr>
          <w:rFonts w:ascii="Calibri" w:hAnsi="Calibri" w:cs="Calibri"/>
          <w:sz w:val="22"/>
          <w:szCs w:val="22"/>
        </w:rPr>
        <w:tab/>
        <w:t>£190,724,418</w:t>
      </w:r>
    </w:p>
    <w:p w14:paraId="79460E58" w14:textId="713D3099" w:rsidR="001B02BF" w:rsidRPr="001B02BF" w:rsidRDefault="001B02BF" w:rsidP="001B02BF">
      <w:pPr>
        <w:pStyle w:val="BodyTextIndent"/>
        <w:ind w:left="0" w:firstLine="0"/>
        <w:rPr>
          <w:rFonts w:ascii="Calibri" w:hAnsi="Calibri" w:cs="Calibri"/>
          <w:color w:val="FF0000"/>
          <w:sz w:val="22"/>
          <w:szCs w:val="22"/>
        </w:rPr>
      </w:pPr>
      <w:r w:rsidRPr="001B02BF">
        <w:rPr>
          <w:rFonts w:ascii="Calibri" w:hAnsi="Calibri" w:cs="Calibri"/>
          <w:sz w:val="22"/>
          <w:szCs w:val="22"/>
        </w:rPr>
        <w:t xml:space="preserve">Less: 2020-21 Growth Fund </w:t>
      </w:r>
      <w:r w:rsidRPr="001B02BF">
        <w:rPr>
          <w:rFonts w:ascii="Calibri" w:hAnsi="Calibri" w:cs="Calibri"/>
          <w:sz w:val="22"/>
          <w:szCs w:val="22"/>
        </w:rPr>
        <w:tab/>
      </w:r>
      <w:r w:rsidRPr="001B02BF">
        <w:rPr>
          <w:rFonts w:ascii="Calibri" w:hAnsi="Calibri" w:cs="Calibri"/>
          <w:sz w:val="22"/>
          <w:szCs w:val="22"/>
        </w:rPr>
        <w:tab/>
      </w:r>
      <w:r w:rsidRPr="001B02BF">
        <w:rPr>
          <w:rFonts w:ascii="Calibri" w:hAnsi="Calibri" w:cs="Calibri"/>
          <w:sz w:val="22"/>
          <w:szCs w:val="22"/>
        </w:rPr>
        <w:tab/>
      </w:r>
      <w:r w:rsidRPr="001B02BF">
        <w:rPr>
          <w:rFonts w:ascii="Calibri" w:hAnsi="Calibri" w:cs="Calibri"/>
          <w:color w:val="FF0000"/>
          <w:sz w:val="22"/>
          <w:szCs w:val="22"/>
        </w:rPr>
        <w:t>£-   1,535,400</w:t>
      </w:r>
    </w:p>
    <w:p w14:paraId="0FA14952" w14:textId="00F7446E" w:rsidR="001B02BF" w:rsidRPr="001B02BF" w:rsidRDefault="001B02BF" w:rsidP="001B02BF">
      <w:pPr>
        <w:pStyle w:val="BodyTextIndent"/>
        <w:ind w:left="0" w:firstLine="0"/>
        <w:rPr>
          <w:rFonts w:ascii="Calibri" w:hAnsi="Calibri" w:cs="Calibri"/>
          <w:color w:val="FF0000"/>
          <w:sz w:val="22"/>
          <w:szCs w:val="22"/>
        </w:rPr>
      </w:pPr>
      <w:r w:rsidRPr="001B02BF">
        <w:rPr>
          <w:rFonts w:ascii="Calibri" w:hAnsi="Calibri" w:cs="Calibri"/>
          <w:color w:val="000000"/>
          <w:sz w:val="22"/>
          <w:szCs w:val="22"/>
        </w:rPr>
        <w:t>Less: School block 2018-19 repayment</w:t>
      </w:r>
      <w:r w:rsidRPr="001B02BF">
        <w:rPr>
          <w:rFonts w:ascii="Calibri" w:hAnsi="Calibri" w:cs="Calibri"/>
          <w:color w:val="FF0000"/>
          <w:sz w:val="22"/>
          <w:szCs w:val="22"/>
        </w:rPr>
        <w:t xml:space="preserve"> </w:t>
      </w:r>
      <w:r w:rsidRPr="001B02BF">
        <w:rPr>
          <w:rFonts w:ascii="Calibri" w:hAnsi="Calibri" w:cs="Calibri"/>
          <w:color w:val="FF0000"/>
          <w:sz w:val="22"/>
          <w:szCs w:val="22"/>
        </w:rPr>
        <w:tab/>
      </w:r>
      <w:r w:rsidRPr="001B02BF">
        <w:rPr>
          <w:rFonts w:ascii="Calibri" w:hAnsi="Calibri" w:cs="Calibri"/>
          <w:color w:val="FF0000"/>
          <w:sz w:val="22"/>
          <w:szCs w:val="22"/>
        </w:rPr>
        <w:tab/>
        <w:t xml:space="preserve">£      -797,205 </w:t>
      </w:r>
      <w:r w:rsidR="006B51EF" w:rsidRPr="001B02BF">
        <w:rPr>
          <w:rFonts w:ascii="Calibri" w:hAnsi="Calibri" w:cs="Calibri"/>
          <w:color w:val="FF0000"/>
          <w:sz w:val="22"/>
          <w:szCs w:val="22"/>
        </w:rPr>
        <w:t>– (</w:t>
      </w:r>
      <w:r w:rsidRPr="001B02BF">
        <w:rPr>
          <w:rFonts w:ascii="Calibri" w:hAnsi="Calibri" w:cs="Calibri"/>
          <w:color w:val="FF0000"/>
          <w:sz w:val="22"/>
          <w:szCs w:val="22"/>
        </w:rPr>
        <w:t>overspend of rate bills</w:t>
      </w:r>
      <w:r w:rsidR="006B51EF" w:rsidRPr="001B02BF">
        <w:rPr>
          <w:rFonts w:ascii="Calibri" w:hAnsi="Calibri" w:cs="Calibri"/>
          <w:color w:val="FF0000"/>
          <w:sz w:val="22"/>
          <w:szCs w:val="22"/>
        </w:rPr>
        <w:t>.)</w:t>
      </w:r>
    </w:p>
    <w:p w14:paraId="3986924D" w14:textId="355B821E" w:rsidR="001B02BF" w:rsidRPr="001B02BF" w:rsidRDefault="001B02BF" w:rsidP="001B02BF">
      <w:pPr>
        <w:pStyle w:val="BodyTextIndent"/>
        <w:ind w:left="0" w:firstLine="0"/>
        <w:rPr>
          <w:rFonts w:ascii="Calibri" w:hAnsi="Calibri" w:cs="Calibri"/>
          <w:color w:val="FF0000"/>
          <w:sz w:val="22"/>
          <w:szCs w:val="22"/>
        </w:rPr>
      </w:pPr>
      <w:r w:rsidRPr="001B02BF">
        <w:rPr>
          <w:rFonts w:ascii="Calibri" w:hAnsi="Calibri" w:cs="Calibri"/>
          <w:color w:val="000000"/>
          <w:sz w:val="22"/>
          <w:szCs w:val="22"/>
        </w:rPr>
        <w:t>Less: School block to HN Block Transfer- 0.5%</w:t>
      </w:r>
      <w:r w:rsidRPr="001B02BF">
        <w:rPr>
          <w:rFonts w:ascii="Calibri" w:hAnsi="Calibri" w:cs="Calibri"/>
          <w:color w:val="000000"/>
          <w:sz w:val="22"/>
          <w:szCs w:val="22"/>
        </w:rPr>
        <w:tab/>
      </w:r>
      <w:r w:rsidRPr="001B02BF">
        <w:rPr>
          <w:rFonts w:ascii="Calibri" w:hAnsi="Calibri" w:cs="Calibri"/>
          <w:color w:val="FF0000"/>
          <w:sz w:val="22"/>
          <w:szCs w:val="22"/>
          <w:u w:val="single"/>
        </w:rPr>
        <w:t>£-      953,622</w:t>
      </w:r>
    </w:p>
    <w:p w14:paraId="7AA760B2" w14:textId="77777777" w:rsidR="001B02BF" w:rsidRPr="001B02BF" w:rsidRDefault="001B02BF" w:rsidP="001B02BF">
      <w:pPr>
        <w:pStyle w:val="BodyTextIndent"/>
        <w:ind w:left="0" w:firstLine="0"/>
        <w:rPr>
          <w:rFonts w:ascii="Calibri" w:hAnsi="Calibri" w:cs="Calibri"/>
          <w:sz w:val="22"/>
          <w:szCs w:val="22"/>
        </w:rPr>
      </w:pPr>
      <w:r w:rsidRPr="001B02BF">
        <w:rPr>
          <w:rFonts w:ascii="Calibri" w:hAnsi="Calibri" w:cs="Calibri"/>
          <w:sz w:val="22"/>
          <w:szCs w:val="22"/>
        </w:rPr>
        <w:t>Total for Allocation in Funding Formula</w:t>
      </w:r>
      <w:r w:rsidRPr="001B02BF">
        <w:rPr>
          <w:rFonts w:ascii="Calibri" w:hAnsi="Calibri" w:cs="Calibri"/>
          <w:sz w:val="22"/>
          <w:szCs w:val="22"/>
        </w:rPr>
        <w:tab/>
      </w:r>
      <w:r w:rsidRPr="001B02BF">
        <w:rPr>
          <w:rFonts w:ascii="Calibri" w:hAnsi="Calibri" w:cs="Calibri"/>
          <w:sz w:val="22"/>
          <w:szCs w:val="22"/>
        </w:rPr>
        <w:tab/>
      </w:r>
      <w:r w:rsidRPr="001B02BF">
        <w:rPr>
          <w:rFonts w:ascii="Calibri" w:hAnsi="Calibri" w:cs="Calibri"/>
          <w:b/>
          <w:sz w:val="22"/>
          <w:szCs w:val="22"/>
          <w:u w:val="single"/>
        </w:rPr>
        <w:t>£187,438,191</w:t>
      </w:r>
    </w:p>
    <w:p w14:paraId="02358CDF" w14:textId="77777777" w:rsidR="001B02BF" w:rsidRPr="001B02BF" w:rsidRDefault="001B02BF" w:rsidP="001B02BF">
      <w:pPr>
        <w:pStyle w:val="BodyTextIndent"/>
        <w:ind w:left="0" w:firstLine="0"/>
        <w:rPr>
          <w:rFonts w:ascii="Calibri" w:hAnsi="Calibri" w:cs="Calibri"/>
          <w:sz w:val="22"/>
          <w:szCs w:val="22"/>
        </w:rPr>
      </w:pPr>
    </w:p>
    <w:p w14:paraId="28D30D12" w14:textId="7FD4F17E" w:rsidR="001B02BF" w:rsidRPr="001B02BF" w:rsidRDefault="001B02BF" w:rsidP="001B02BF">
      <w:pPr>
        <w:pStyle w:val="BodyTextIndent"/>
        <w:ind w:left="0" w:firstLine="0"/>
        <w:rPr>
          <w:rFonts w:ascii="Calibri" w:hAnsi="Calibri" w:cs="Calibri"/>
          <w:sz w:val="22"/>
          <w:szCs w:val="22"/>
        </w:rPr>
      </w:pPr>
      <w:r w:rsidRPr="001B02BF">
        <w:rPr>
          <w:rFonts w:ascii="Calibri" w:hAnsi="Calibri" w:cs="Calibri"/>
          <w:sz w:val="22"/>
          <w:szCs w:val="22"/>
        </w:rPr>
        <w:t xml:space="preserve">The 2018-19 schools block DSG overspent by £797,205 mainly due to the additional in year </w:t>
      </w:r>
      <w:r w:rsidR="006B51EF" w:rsidRPr="001B02BF">
        <w:rPr>
          <w:rFonts w:ascii="Calibri" w:hAnsi="Calibri" w:cs="Calibri"/>
          <w:sz w:val="22"/>
          <w:szCs w:val="22"/>
        </w:rPr>
        <w:t>NNDR rate</w:t>
      </w:r>
      <w:r w:rsidRPr="001B02BF">
        <w:rPr>
          <w:rFonts w:ascii="Calibri" w:hAnsi="Calibri" w:cs="Calibri"/>
          <w:sz w:val="22"/>
          <w:szCs w:val="22"/>
        </w:rPr>
        <w:t xml:space="preserve"> </w:t>
      </w:r>
      <w:r w:rsidR="00FF5267" w:rsidRPr="001B02BF">
        <w:rPr>
          <w:rFonts w:ascii="Calibri" w:hAnsi="Calibri" w:cs="Calibri"/>
          <w:sz w:val="22"/>
          <w:szCs w:val="22"/>
        </w:rPr>
        <w:t>adjustments (</w:t>
      </w:r>
      <w:r w:rsidRPr="001B02BF">
        <w:rPr>
          <w:rFonts w:ascii="Calibri" w:hAnsi="Calibri" w:cs="Calibri"/>
          <w:sz w:val="22"/>
          <w:szCs w:val="22"/>
        </w:rPr>
        <w:t xml:space="preserve">5 schools totalling £706,000) and other building funding factors (£87,000) funding which had to be paid to schools during the year.   </w:t>
      </w:r>
    </w:p>
    <w:p w14:paraId="0A84ED0E" w14:textId="77777777" w:rsidR="001B02BF" w:rsidRDefault="001B02BF" w:rsidP="001B02BF">
      <w:pPr>
        <w:pStyle w:val="BodyTextIndent"/>
        <w:ind w:left="0" w:firstLine="0"/>
        <w:rPr>
          <w:rFonts w:ascii="Calibri" w:hAnsi="Calibri" w:cs="Calibri"/>
          <w:szCs w:val="24"/>
        </w:rPr>
      </w:pPr>
    </w:p>
    <w:p w14:paraId="5A25E0D3" w14:textId="6628B5BE" w:rsidR="001B02BF" w:rsidRDefault="001B02BF" w:rsidP="001B02BF">
      <w:pPr>
        <w:pStyle w:val="BodyTextIndent"/>
        <w:ind w:left="0" w:firstLine="0"/>
        <w:rPr>
          <w:rFonts w:ascii="Calibri" w:hAnsi="Calibri" w:cs="Calibri"/>
          <w:szCs w:val="24"/>
        </w:rPr>
      </w:pPr>
      <w:r w:rsidRPr="001B02BF">
        <w:rPr>
          <w:rFonts w:ascii="Calibri" w:hAnsi="Calibri" w:cs="Calibri"/>
          <w:b/>
          <w:bCs/>
          <w:szCs w:val="24"/>
        </w:rPr>
        <w:t xml:space="preserve">Q – Did </w:t>
      </w:r>
      <w:r>
        <w:rPr>
          <w:rFonts w:ascii="Calibri" w:hAnsi="Calibri" w:cs="Calibri"/>
          <w:b/>
          <w:bCs/>
          <w:szCs w:val="24"/>
        </w:rPr>
        <w:t xml:space="preserve">we </w:t>
      </w:r>
      <w:r w:rsidRPr="001B02BF">
        <w:rPr>
          <w:rFonts w:ascii="Calibri" w:hAnsi="Calibri" w:cs="Calibri"/>
          <w:b/>
          <w:bCs/>
          <w:szCs w:val="24"/>
        </w:rPr>
        <w:t>deduct anything from this year’s schools block to pay for the £797,205?</w:t>
      </w:r>
      <w:r>
        <w:rPr>
          <w:rFonts w:ascii="Calibri" w:hAnsi="Calibri" w:cs="Calibri"/>
          <w:szCs w:val="24"/>
        </w:rPr>
        <w:t xml:space="preserve"> A – No, this is was a one</w:t>
      </w:r>
      <w:r w:rsidR="00310875">
        <w:rPr>
          <w:rFonts w:ascii="Calibri" w:hAnsi="Calibri" w:cs="Calibri"/>
          <w:szCs w:val="24"/>
        </w:rPr>
        <w:t>-</w:t>
      </w:r>
      <w:r>
        <w:rPr>
          <w:rFonts w:ascii="Calibri" w:hAnsi="Calibri" w:cs="Calibri"/>
          <w:szCs w:val="24"/>
        </w:rPr>
        <w:t xml:space="preserve">off. </w:t>
      </w:r>
    </w:p>
    <w:p w14:paraId="3BEA21BA" w14:textId="4A61B6E2" w:rsidR="001B02BF" w:rsidRPr="001B02BF" w:rsidRDefault="001B02BF" w:rsidP="001B02BF">
      <w:pPr>
        <w:pStyle w:val="BodyTextIndent"/>
        <w:ind w:left="0" w:firstLine="0"/>
        <w:rPr>
          <w:rFonts w:ascii="Calibri" w:hAnsi="Calibri" w:cs="Calibri"/>
          <w:sz w:val="22"/>
          <w:szCs w:val="22"/>
        </w:rPr>
      </w:pPr>
      <w:r w:rsidRPr="001B02BF">
        <w:rPr>
          <w:rFonts w:ascii="Calibri" w:hAnsi="Calibri" w:cs="Calibri"/>
          <w:b/>
          <w:bCs/>
          <w:szCs w:val="24"/>
        </w:rPr>
        <w:t>Q Why are we transferring money to the HN Block when we have reported a deficit budget, it feels like we are hiding the full extent of the underfunding?</w:t>
      </w:r>
      <w:r>
        <w:rPr>
          <w:rFonts w:ascii="Calibri" w:hAnsi="Calibri" w:cs="Calibri"/>
          <w:szCs w:val="24"/>
        </w:rPr>
        <w:t xml:space="preserve">  </w:t>
      </w:r>
      <w:proofErr w:type="gramStart"/>
      <w:r>
        <w:rPr>
          <w:rFonts w:ascii="Calibri" w:hAnsi="Calibri" w:cs="Calibri"/>
          <w:szCs w:val="24"/>
        </w:rPr>
        <w:t xml:space="preserve">A – The </w:t>
      </w:r>
      <w:proofErr w:type="spellStart"/>
      <w:r>
        <w:rPr>
          <w:rFonts w:ascii="Calibri" w:hAnsi="Calibri" w:cs="Calibri"/>
          <w:szCs w:val="24"/>
        </w:rPr>
        <w:t>DfE</w:t>
      </w:r>
      <w:proofErr w:type="spellEnd"/>
      <w:proofErr w:type="gramEnd"/>
      <w:r>
        <w:rPr>
          <w:rFonts w:ascii="Calibri" w:hAnsi="Calibri" w:cs="Calibri"/>
          <w:szCs w:val="24"/>
        </w:rPr>
        <w:t xml:space="preserve"> </w:t>
      </w:r>
      <w:r w:rsidR="00310875">
        <w:rPr>
          <w:rFonts w:ascii="Calibri" w:hAnsi="Calibri" w:cs="Calibri"/>
          <w:szCs w:val="24"/>
        </w:rPr>
        <w:t>is</w:t>
      </w:r>
      <w:r>
        <w:rPr>
          <w:rFonts w:ascii="Calibri" w:hAnsi="Calibri" w:cs="Calibri"/>
          <w:szCs w:val="24"/>
        </w:rPr>
        <w:t xml:space="preserve"> not putting pressure on the LA’s to do this, but most are asking their Schools Forums to do this. </w:t>
      </w:r>
      <w:r w:rsidRPr="001B02BF">
        <w:rPr>
          <w:rFonts w:ascii="Calibri" w:hAnsi="Calibri" w:cs="Calibri"/>
          <w:sz w:val="22"/>
          <w:szCs w:val="22"/>
        </w:rPr>
        <w:t xml:space="preserve">LA </w:t>
      </w:r>
      <w:r w:rsidR="00310875">
        <w:rPr>
          <w:rFonts w:ascii="Calibri" w:hAnsi="Calibri" w:cs="Calibri"/>
          <w:sz w:val="22"/>
          <w:szCs w:val="22"/>
        </w:rPr>
        <w:t>is</w:t>
      </w:r>
      <w:r w:rsidRPr="001B02BF">
        <w:rPr>
          <w:rFonts w:ascii="Calibri" w:hAnsi="Calibri" w:cs="Calibri"/>
          <w:sz w:val="22"/>
          <w:szCs w:val="22"/>
        </w:rPr>
        <w:t xml:space="preserve"> trying to support the SEND in a small way, even if it is accepted that this is a “drop in the ocean”. </w:t>
      </w:r>
    </w:p>
    <w:p w14:paraId="7798337E" w14:textId="77777777" w:rsidR="001B02BF" w:rsidRPr="001B02BF" w:rsidRDefault="001B02BF" w:rsidP="001B02BF">
      <w:pPr>
        <w:spacing w:after="0" w:line="240" w:lineRule="auto"/>
        <w:rPr>
          <w:rFonts w:asciiTheme="majorHAnsi" w:hAnsiTheme="majorHAnsi" w:cstheme="majorHAnsi"/>
          <w:b/>
          <w:bCs/>
        </w:rPr>
      </w:pPr>
    </w:p>
    <w:p w14:paraId="72A49054" w14:textId="30563E13" w:rsidR="001B02BF" w:rsidRPr="001B02BF" w:rsidRDefault="001B02BF" w:rsidP="001B02BF">
      <w:pPr>
        <w:spacing w:after="0" w:line="240" w:lineRule="auto"/>
        <w:rPr>
          <w:rFonts w:ascii="Calibri" w:hAnsi="Calibri" w:cs="Calibri"/>
        </w:rPr>
      </w:pPr>
      <w:r w:rsidRPr="001B02BF">
        <w:rPr>
          <w:rFonts w:asciiTheme="majorHAnsi" w:hAnsiTheme="majorHAnsi" w:cstheme="majorHAnsi"/>
          <w:b/>
          <w:bCs/>
        </w:rPr>
        <w:t>Decision –</w:t>
      </w:r>
      <w:r w:rsidRPr="001B02BF">
        <w:rPr>
          <w:rFonts w:ascii="Calibri" w:hAnsi="Calibri" w:cs="Calibri"/>
        </w:rPr>
        <w:t xml:space="preserve"> All members voted and agreed to repay the 2018-19 DSG SB overspend of £797,205.</w:t>
      </w:r>
    </w:p>
    <w:p w14:paraId="796FE421" w14:textId="281A0AAE" w:rsidR="001B02BF" w:rsidRPr="001B02BF" w:rsidRDefault="001B02BF" w:rsidP="001B02BF">
      <w:pPr>
        <w:pStyle w:val="BodyTextIndent"/>
        <w:ind w:left="0" w:firstLine="0"/>
        <w:rPr>
          <w:rFonts w:ascii="Calibri" w:hAnsi="Calibri" w:cs="Calibri"/>
          <w:sz w:val="22"/>
          <w:szCs w:val="22"/>
        </w:rPr>
      </w:pPr>
      <w:r w:rsidRPr="001B02BF">
        <w:rPr>
          <w:rFonts w:asciiTheme="majorHAnsi" w:hAnsiTheme="majorHAnsi" w:cstheme="majorHAnsi"/>
          <w:b/>
          <w:bCs/>
          <w:sz w:val="22"/>
          <w:szCs w:val="22"/>
        </w:rPr>
        <w:t>Decision –</w:t>
      </w:r>
      <w:r w:rsidRPr="001B02BF">
        <w:rPr>
          <w:rFonts w:ascii="Calibri" w:hAnsi="Calibri" w:cs="Calibri"/>
          <w:sz w:val="22"/>
          <w:szCs w:val="22"/>
        </w:rPr>
        <w:t xml:space="preserve"> All members voted and agreed to transfer £953,622 or 0.5% from the school’s block to the high needs block.</w:t>
      </w:r>
    </w:p>
    <w:p w14:paraId="3A1602A2" w14:textId="77777777" w:rsidR="001B02BF" w:rsidRPr="00CE7B3B" w:rsidRDefault="001B02BF" w:rsidP="001B02BF">
      <w:pPr>
        <w:spacing w:after="0" w:line="240" w:lineRule="auto"/>
        <w:rPr>
          <w:rFonts w:ascii="Calibri" w:hAnsi="Calibri" w:cs="Calibri"/>
          <w:sz w:val="24"/>
          <w:szCs w:val="24"/>
        </w:rPr>
      </w:pPr>
    </w:p>
    <w:p w14:paraId="0F2DD9FE" w14:textId="082CFF10" w:rsidR="001B02BF" w:rsidRPr="001B02BF" w:rsidRDefault="001B02BF" w:rsidP="001B02BF">
      <w:pPr>
        <w:pStyle w:val="BodyTextIndent"/>
        <w:ind w:left="0" w:firstLine="0"/>
        <w:rPr>
          <w:rFonts w:ascii="Calibri" w:hAnsi="Calibri" w:cs="Calibri"/>
          <w:sz w:val="22"/>
          <w:szCs w:val="22"/>
        </w:rPr>
      </w:pPr>
      <w:r w:rsidRPr="001B02BF">
        <w:rPr>
          <w:rFonts w:ascii="Calibri" w:hAnsi="Calibri" w:cs="Calibri"/>
          <w:sz w:val="22"/>
          <w:szCs w:val="22"/>
        </w:rPr>
        <w:t xml:space="preserve">MB explained that the table below highlights the difference between the DSG School Block allocation provided and how the formula allocates the funding. MB drew members attention to the Growth Fund £1,520,000 and allocated out £2,472,000 and the same for the premises and mobility factors, this is why the pupil funding is not at 100% from the SB DSG allocation.  </w:t>
      </w:r>
    </w:p>
    <w:p w14:paraId="6D10A4A9" w14:textId="77777777" w:rsidR="001B02BF" w:rsidRPr="002A4BDF" w:rsidRDefault="001B02BF" w:rsidP="001B02BF">
      <w:pPr>
        <w:pStyle w:val="BodyTextIndent"/>
        <w:ind w:left="567" w:hanging="567"/>
        <w:rPr>
          <w:rFonts w:ascii="Calibri" w:hAnsi="Calibri" w:cs="Calibri"/>
          <w:szCs w:val="24"/>
        </w:rPr>
      </w:pPr>
    </w:p>
    <w:p w14:paraId="13363D16" w14:textId="77777777" w:rsidR="001B02BF" w:rsidRDefault="001B02BF" w:rsidP="001B02BF">
      <w:pPr>
        <w:pStyle w:val="BodyTextIndent"/>
        <w:ind w:left="567" w:hanging="567"/>
        <w:rPr>
          <w:rFonts w:ascii="Calibri" w:hAnsi="Calibri" w:cs="Calibri"/>
          <w:szCs w:val="24"/>
          <w:highlight w:val="yellow"/>
        </w:rPr>
      </w:pPr>
    </w:p>
    <w:tbl>
      <w:tblPr>
        <w:tblW w:w="9096" w:type="dxa"/>
        <w:tblLook w:val="04A0" w:firstRow="1" w:lastRow="0" w:firstColumn="1" w:lastColumn="0" w:noHBand="0" w:noVBand="1"/>
      </w:tblPr>
      <w:tblGrid>
        <w:gridCol w:w="4353"/>
        <w:gridCol w:w="1581"/>
        <w:gridCol w:w="1581"/>
        <w:gridCol w:w="1581"/>
      </w:tblGrid>
      <w:tr w:rsidR="001B02BF" w:rsidRPr="002A4BDF" w14:paraId="3CB43F4F" w14:textId="77777777" w:rsidTr="006A624B">
        <w:trPr>
          <w:trHeight w:val="315"/>
        </w:trPr>
        <w:tc>
          <w:tcPr>
            <w:tcW w:w="43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D222ED" w14:textId="77777777" w:rsidR="001B02BF" w:rsidRPr="002A4BDF" w:rsidRDefault="001B02BF" w:rsidP="006A624B">
            <w:pPr>
              <w:ind w:firstLineChars="300" w:firstLine="720"/>
              <w:rPr>
                <w:rFonts w:ascii="Calibri" w:hAnsi="Calibri" w:cs="Calibri"/>
                <w:color w:val="000000"/>
                <w:sz w:val="24"/>
                <w:szCs w:val="24"/>
                <w:u w:val="single"/>
                <w:lang w:eastAsia="en-GB"/>
              </w:rPr>
            </w:pPr>
            <w:r w:rsidRPr="002A4BDF">
              <w:rPr>
                <w:rFonts w:ascii="Calibri" w:hAnsi="Calibri" w:cs="Calibri"/>
                <w:color w:val="000000"/>
                <w:sz w:val="24"/>
                <w:szCs w:val="24"/>
                <w:u w:val="single"/>
                <w:lang w:eastAsia="en-GB"/>
              </w:rPr>
              <w:t>Funding Factor</w:t>
            </w:r>
          </w:p>
        </w:tc>
        <w:tc>
          <w:tcPr>
            <w:tcW w:w="1581" w:type="dxa"/>
            <w:tcBorders>
              <w:top w:val="single" w:sz="8" w:space="0" w:color="auto"/>
              <w:left w:val="nil"/>
              <w:bottom w:val="nil"/>
              <w:right w:val="single" w:sz="8" w:space="0" w:color="auto"/>
            </w:tcBorders>
            <w:shd w:val="clear" w:color="auto" w:fill="auto"/>
            <w:vAlign w:val="center"/>
            <w:hideMark/>
          </w:tcPr>
          <w:p w14:paraId="72929ED5" w14:textId="77777777" w:rsidR="001B02BF" w:rsidRPr="002A4BDF" w:rsidRDefault="001B02BF" w:rsidP="006A624B">
            <w:pPr>
              <w:jc w:val="center"/>
              <w:rPr>
                <w:rFonts w:ascii="Calibri" w:hAnsi="Calibri" w:cs="Calibri"/>
                <w:b/>
                <w:bCs/>
                <w:color w:val="000000"/>
                <w:sz w:val="24"/>
                <w:szCs w:val="24"/>
                <w:u w:val="single"/>
                <w:lang w:eastAsia="en-GB"/>
              </w:rPr>
            </w:pPr>
          </w:p>
        </w:tc>
        <w:tc>
          <w:tcPr>
            <w:tcW w:w="1581" w:type="dxa"/>
            <w:tcBorders>
              <w:top w:val="single" w:sz="8" w:space="0" w:color="auto"/>
              <w:left w:val="nil"/>
              <w:bottom w:val="nil"/>
              <w:right w:val="single" w:sz="8" w:space="0" w:color="auto"/>
            </w:tcBorders>
            <w:shd w:val="clear" w:color="auto" w:fill="auto"/>
            <w:vAlign w:val="center"/>
            <w:hideMark/>
          </w:tcPr>
          <w:p w14:paraId="7DE44F2E" w14:textId="77777777" w:rsidR="001B02BF" w:rsidRPr="002A4BDF" w:rsidRDefault="001B02BF" w:rsidP="006A624B">
            <w:pPr>
              <w:jc w:val="center"/>
              <w:rPr>
                <w:rFonts w:ascii="Calibri" w:hAnsi="Calibri" w:cs="Calibri"/>
                <w:b/>
                <w:bCs/>
                <w:color w:val="000000"/>
                <w:sz w:val="24"/>
                <w:szCs w:val="24"/>
                <w:u w:val="single"/>
                <w:lang w:eastAsia="en-GB"/>
              </w:rPr>
            </w:pPr>
          </w:p>
        </w:tc>
        <w:tc>
          <w:tcPr>
            <w:tcW w:w="1581" w:type="dxa"/>
            <w:tcBorders>
              <w:top w:val="single" w:sz="8" w:space="0" w:color="auto"/>
              <w:left w:val="nil"/>
              <w:bottom w:val="nil"/>
              <w:right w:val="single" w:sz="8" w:space="0" w:color="auto"/>
            </w:tcBorders>
            <w:shd w:val="clear" w:color="auto" w:fill="auto"/>
            <w:vAlign w:val="center"/>
            <w:hideMark/>
          </w:tcPr>
          <w:p w14:paraId="3ABE9704" w14:textId="77777777" w:rsidR="001B02BF" w:rsidRPr="002A4BDF" w:rsidRDefault="001B02BF" w:rsidP="006A624B">
            <w:pPr>
              <w:jc w:val="center"/>
              <w:rPr>
                <w:rFonts w:ascii="Calibri" w:hAnsi="Calibri" w:cs="Calibri"/>
                <w:b/>
                <w:bCs/>
                <w:color w:val="000000"/>
                <w:sz w:val="24"/>
                <w:szCs w:val="24"/>
                <w:u w:val="single"/>
                <w:lang w:eastAsia="en-GB"/>
              </w:rPr>
            </w:pPr>
          </w:p>
        </w:tc>
      </w:tr>
      <w:tr w:rsidR="001B02BF" w:rsidRPr="002A4BDF" w14:paraId="2BDD3F27" w14:textId="77777777" w:rsidTr="006A624B">
        <w:trPr>
          <w:trHeight w:val="630"/>
        </w:trPr>
        <w:tc>
          <w:tcPr>
            <w:tcW w:w="4353" w:type="dxa"/>
            <w:vMerge/>
            <w:tcBorders>
              <w:top w:val="single" w:sz="8" w:space="0" w:color="auto"/>
              <w:left w:val="single" w:sz="8" w:space="0" w:color="auto"/>
              <w:bottom w:val="single" w:sz="8" w:space="0" w:color="000000"/>
              <w:right w:val="single" w:sz="8" w:space="0" w:color="auto"/>
            </w:tcBorders>
            <w:vAlign w:val="center"/>
            <w:hideMark/>
          </w:tcPr>
          <w:p w14:paraId="69ED7EC8" w14:textId="77777777" w:rsidR="001B02BF" w:rsidRPr="002A4BDF" w:rsidRDefault="001B02BF" w:rsidP="006A624B">
            <w:pPr>
              <w:rPr>
                <w:rFonts w:ascii="Calibri" w:hAnsi="Calibri" w:cs="Calibri"/>
                <w:color w:val="000000"/>
                <w:sz w:val="24"/>
                <w:szCs w:val="24"/>
                <w:u w:val="single"/>
                <w:lang w:eastAsia="en-GB"/>
              </w:rPr>
            </w:pPr>
          </w:p>
        </w:tc>
        <w:tc>
          <w:tcPr>
            <w:tcW w:w="1581" w:type="dxa"/>
            <w:tcBorders>
              <w:top w:val="nil"/>
              <w:left w:val="nil"/>
              <w:bottom w:val="nil"/>
              <w:right w:val="single" w:sz="8" w:space="0" w:color="auto"/>
            </w:tcBorders>
            <w:shd w:val="clear" w:color="auto" w:fill="auto"/>
            <w:vAlign w:val="center"/>
            <w:hideMark/>
          </w:tcPr>
          <w:p w14:paraId="5725AAA0" w14:textId="77777777" w:rsidR="001B02BF" w:rsidRPr="002A4BDF" w:rsidRDefault="001B02BF" w:rsidP="006A624B">
            <w:pPr>
              <w:jc w:val="center"/>
              <w:rPr>
                <w:rFonts w:ascii="Calibri" w:hAnsi="Calibri" w:cs="Calibri"/>
                <w:b/>
                <w:bCs/>
                <w:color w:val="000000"/>
                <w:sz w:val="24"/>
                <w:szCs w:val="24"/>
                <w:u w:val="single"/>
                <w:lang w:eastAsia="en-GB"/>
              </w:rPr>
            </w:pPr>
            <w:r w:rsidRPr="002A4BDF">
              <w:rPr>
                <w:rFonts w:ascii="Calibri" w:hAnsi="Calibri" w:cs="Calibri"/>
                <w:b/>
                <w:bCs/>
                <w:color w:val="000000"/>
                <w:sz w:val="24"/>
                <w:szCs w:val="24"/>
                <w:u w:val="single"/>
                <w:lang w:eastAsia="en-GB"/>
              </w:rPr>
              <w:t>SB DSG Allocation</w:t>
            </w:r>
          </w:p>
        </w:tc>
        <w:tc>
          <w:tcPr>
            <w:tcW w:w="1581" w:type="dxa"/>
            <w:tcBorders>
              <w:top w:val="nil"/>
              <w:left w:val="nil"/>
              <w:bottom w:val="nil"/>
              <w:right w:val="single" w:sz="8" w:space="0" w:color="auto"/>
            </w:tcBorders>
            <w:shd w:val="clear" w:color="auto" w:fill="auto"/>
            <w:vAlign w:val="center"/>
            <w:hideMark/>
          </w:tcPr>
          <w:p w14:paraId="5B0FB283" w14:textId="77777777" w:rsidR="001B02BF" w:rsidRPr="002A4BDF" w:rsidRDefault="001B02BF" w:rsidP="006A624B">
            <w:pPr>
              <w:jc w:val="center"/>
              <w:rPr>
                <w:rFonts w:ascii="Calibri" w:hAnsi="Calibri" w:cs="Calibri"/>
                <w:b/>
                <w:bCs/>
                <w:color w:val="000000"/>
                <w:sz w:val="24"/>
                <w:szCs w:val="24"/>
                <w:u w:val="single"/>
                <w:lang w:eastAsia="en-GB"/>
              </w:rPr>
            </w:pPr>
            <w:r w:rsidRPr="002A4BDF">
              <w:rPr>
                <w:rFonts w:ascii="Calibri" w:hAnsi="Calibri" w:cs="Calibri"/>
                <w:b/>
                <w:bCs/>
                <w:color w:val="000000"/>
                <w:sz w:val="24"/>
                <w:szCs w:val="24"/>
                <w:u w:val="single"/>
                <w:lang w:eastAsia="en-GB"/>
              </w:rPr>
              <w:t>Formula Allocation</w:t>
            </w:r>
          </w:p>
        </w:tc>
        <w:tc>
          <w:tcPr>
            <w:tcW w:w="1581" w:type="dxa"/>
            <w:tcBorders>
              <w:top w:val="nil"/>
              <w:left w:val="nil"/>
              <w:bottom w:val="nil"/>
              <w:right w:val="single" w:sz="8" w:space="0" w:color="auto"/>
            </w:tcBorders>
            <w:shd w:val="clear" w:color="auto" w:fill="auto"/>
            <w:vAlign w:val="center"/>
            <w:hideMark/>
          </w:tcPr>
          <w:p w14:paraId="04402522" w14:textId="77777777" w:rsidR="001B02BF" w:rsidRPr="002A4BDF" w:rsidRDefault="001B02BF" w:rsidP="006A624B">
            <w:pPr>
              <w:jc w:val="center"/>
              <w:rPr>
                <w:rFonts w:ascii="Calibri" w:hAnsi="Calibri" w:cs="Calibri"/>
                <w:b/>
                <w:bCs/>
                <w:color w:val="000000"/>
                <w:sz w:val="24"/>
                <w:szCs w:val="24"/>
                <w:u w:val="single"/>
                <w:lang w:eastAsia="en-GB"/>
              </w:rPr>
            </w:pPr>
            <w:r w:rsidRPr="002A4BDF">
              <w:rPr>
                <w:rFonts w:ascii="Calibri" w:hAnsi="Calibri" w:cs="Calibri"/>
                <w:b/>
                <w:bCs/>
                <w:color w:val="000000"/>
                <w:sz w:val="24"/>
                <w:szCs w:val="24"/>
                <w:u w:val="single"/>
                <w:lang w:eastAsia="en-GB"/>
              </w:rPr>
              <w:t>Variance</w:t>
            </w:r>
          </w:p>
        </w:tc>
      </w:tr>
      <w:tr w:rsidR="001B02BF" w:rsidRPr="002A4BDF" w14:paraId="6255EF3E" w14:textId="77777777" w:rsidTr="006A624B">
        <w:trPr>
          <w:trHeight w:val="330"/>
        </w:trPr>
        <w:tc>
          <w:tcPr>
            <w:tcW w:w="4353" w:type="dxa"/>
            <w:vMerge/>
            <w:tcBorders>
              <w:top w:val="single" w:sz="8" w:space="0" w:color="auto"/>
              <w:left w:val="single" w:sz="8" w:space="0" w:color="auto"/>
              <w:bottom w:val="single" w:sz="8" w:space="0" w:color="000000"/>
              <w:right w:val="single" w:sz="8" w:space="0" w:color="auto"/>
            </w:tcBorders>
            <w:vAlign w:val="center"/>
            <w:hideMark/>
          </w:tcPr>
          <w:p w14:paraId="61CC7EAD" w14:textId="77777777" w:rsidR="001B02BF" w:rsidRPr="002A4BDF" w:rsidRDefault="001B02BF" w:rsidP="006A624B">
            <w:pPr>
              <w:rPr>
                <w:rFonts w:ascii="Calibri" w:hAnsi="Calibri" w:cs="Calibri"/>
                <w:color w:val="000000"/>
                <w:sz w:val="24"/>
                <w:szCs w:val="24"/>
                <w:u w:val="single"/>
                <w:lang w:eastAsia="en-GB"/>
              </w:rPr>
            </w:pPr>
          </w:p>
        </w:tc>
        <w:tc>
          <w:tcPr>
            <w:tcW w:w="1581" w:type="dxa"/>
            <w:tcBorders>
              <w:top w:val="nil"/>
              <w:left w:val="nil"/>
              <w:bottom w:val="single" w:sz="8" w:space="0" w:color="auto"/>
              <w:right w:val="single" w:sz="8" w:space="0" w:color="auto"/>
            </w:tcBorders>
            <w:shd w:val="clear" w:color="auto" w:fill="auto"/>
            <w:vAlign w:val="center"/>
            <w:hideMark/>
          </w:tcPr>
          <w:p w14:paraId="7D24A5EF" w14:textId="77777777" w:rsidR="001B02BF" w:rsidRPr="002A4BDF" w:rsidRDefault="001B02BF" w:rsidP="006A624B">
            <w:pPr>
              <w:jc w:val="center"/>
              <w:rPr>
                <w:rFonts w:ascii="Calibri" w:hAnsi="Calibri" w:cs="Calibri"/>
                <w:b/>
                <w:bCs/>
                <w:color w:val="000000"/>
                <w:sz w:val="24"/>
                <w:szCs w:val="24"/>
                <w:u w:val="single"/>
                <w:lang w:eastAsia="en-GB"/>
              </w:rPr>
            </w:pPr>
            <w:r w:rsidRPr="002A4BDF">
              <w:rPr>
                <w:rFonts w:ascii="Calibri" w:hAnsi="Calibri" w:cs="Calibri"/>
                <w:b/>
                <w:bCs/>
                <w:color w:val="000000"/>
                <w:sz w:val="24"/>
                <w:szCs w:val="24"/>
                <w:u w:val="single"/>
                <w:lang w:eastAsia="en-GB"/>
              </w:rPr>
              <w:t>£m</w:t>
            </w:r>
          </w:p>
        </w:tc>
        <w:tc>
          <w:tcPr>
            <w:tcW w:w="1581" w:type="dxa"/>
            <w:tcBorders>
              <w:top w:val="nil"/>
              <w:left w:val="nil"/>
              <w:bottom w:val="single" w:sz="8" w:space="0" w:color="auto"/>
              <w:right w:val="single" w:sz="8" w:space="0" w:color="auto"/>
            </w:tcBorders>
            <w:shd w:val="clear" w:color="auto" w:fill="auto"/>
            <w:vAlign w:val="center"/>
            <w:hideMark/>
          </w:tcPr>
          <w:p w14:paraId="01FEC208" w14:textId="77777777" w:rsidR="001B02BF" w:rsidRPr="002A4BDF" w:rsidRDefault="001B02BF" w:rsidP="006A624B">
            <w:pPr>
              <w:jc w:val="center"/>
              <w:rPr>
                <w:rFonts w:ascii="Calibri" w:hAnsi="Calibri" w:cs="Calibri"/>
                <w:b/>
                <w:bCs/>
                <w:color w:val="000000"/>
                <w:sz w:val="24"/>
                <w:szCs w:val="24"/>
                <w:u w:val="single"/>
                <w:lang w:eastAsia="en-GB"/>
              </w:rPr>
            </w:pPr>
            <w:r w:rsidRPr="002A4BDF">
              <w:rPr>
                <w:rFonts w:ascii="Calibri" w:hAnsi="Calibri" w:cs="Calibri"/>
                <w:b/>
                <w:bCs/>
                <w:color w:val="000000"/>
                <w:sz w:val="24"/>
                <w:szCs w:val="24"/>
                <w:u w:val="single"/>
                <w:lang w:eastAsia="en-GB"/>
              </w:rPr>
              <w:t>£m</w:t>
            </w:r>
          </w:p>
        </w:tc>
        <w:tc>
          <w:tcPr>
            <w:tcW w:w="1581" w:type="dxa"/>
            <w:tcBorders>
              <w:top w:val="nil"/>
              <w:left w:val="nil"/>
              <w:bottom w:val="single" w:sz="8" w:space="0" w:color="auto"/>
              <w:right w:val="single" w:sz="8" w:space="0" w:color="auto"/>
            </w:tcBorders>
            <w:shd w:val="clear" w:color="auto" w:fill="auto"/>
            <w:vAlign w:val="center"/>
            <w:hideMark/>
          </w:tcPr>
          <w:p w14:paraId="2566584B" w14:textId="77777777" w:rsidR="001B02BF" w:rsidRPr="002A4BDF" w:rsidRDefault="001B02BF" w:rsidP="006A624B">
            <w:pPr>
              <w:jc w:val="center"/>
              <w:rPr>
                <w:rFonts w:ascii="Calibri" w:hAnsi="Calibri" w:cs="Calibri"/>
                <w:b/>
                <w:bCs/>
                <w:color w:val="000000"/>
                <w:sz w:val="24"/>
                <w:szCs w:val="24"/>
                <w:u w:val="single"/>
                <w:lang w:eastAsia="en-GB"/>
              </w:rPr>
            </w:pPr>
            <w:r w:rsidRPr="002A4BDF">
              <w:rPr>
                <w:rFonts w:ascii="Calibri" w:hAnsi="Calibri" w:cs="Calibri"/>
                <w:b/>
                <w:bCs/>
                <w:color w:val="000000"/>
                <w:sz w:val="24"/>
                <w:szCs w:val="24"/>
                <w:u w:val="single"/>
                <w:lang w:eastAsia="en-GB"/>
              </w:rPr>
              <w:t>£m</w:t>
            </w:r>
          </w:p>
        </w:tc>
      </w:tr>
      <w:tr w:rsidR="001B02BF" w:rsidRPr="002A4BDF" w14:paraId="322D476B" w14:textId="77777777" w:rsidTr="006A624B">
        <w:trPr>
          <w:trHeight w:val="315"/>
        </w:trPr>
        <w:tc>
          <w:tcPr>
            <w:tcW w:w="4353" w:type="dxa"/>
            <w:tcBorders>
              <w:top w:val="nil"/>
              <w:left w:val="single" w:sz="8" w:space="0" w:color="auto"/>
              <w:bottom w:val="single" w:sz="8" w:space="0" w:color="auto"/>
              <w:right w:val="single" w:sz="8" w:space="0" w:color="auto"/>
            </w:tcBorders>
            <w:shd w:val="clear" w:color="auto" w:fill="auto"/>
            <w:vAlign w:val="center"/>
          </w:tcPr>
          <w:p w14:paraId="15C7FEA2" w14:textId="77777777" w:rsidR="001B02BF" w:rsidRPr="00D561C6" w:rsidRDefault="001B02BF" w:rsidP="006A624B">
            <w:pPr>
              <w:rPr>
                <w:rFonts w:ascii="Calibri" w:hAnsi="Calibri" w:cs="Calibri"/>
                <w:color w:val="000000"/>
                <w:sz w:val="24"/>
                <w:szCs w:val="24"/>
                <w:lang w:eastAsia="en-GB"/>
              </w:rPr>
            </w:pPr>
            <w:r w:rsidRPr="00D561C6">
              <w:rPr>
                <w:rFonts w:ascii="Calibri" w:hAnsi="Calibri" w:cs="Calibri"/>
                <w:color w:val="000000"/>
                <w:sz w:val="24"/>
                <w:szCs w:val="24"/>
                <w:lang w:eastAsia="en-GB"/>
              </w:rPr>
              <w:t>Pupil Funding</w:t>
            </w:r>
          </w:p>
        </w:tc>
        <w:tc>
          <w:tcPr>
            <w:tcW w:w="1581" w:type="dxa"/>
            <w:tcBorders>
              <w:top w:val="nil"/>
              <w:left w:val="nil"/>
              <w:bottom w:val="single" w:sz="8" w:space="0" w:color="auto"/>
              <w:right w:val="single" w:sz="8" w:space="0" w:color="auto"/>
            </w:tcBorders>
            <w:shd w:val="clear" w:color="auto" w:fill="auto"/>
            <w:vAlign w:val="center"/>
          </w:tcPr>
          <w:p w14:paraId="34804FEA" w14:textId="77777777" w:rsidR="001B02BF" w:rsidRPr="00D561C6" w:rsidRDefault="001B02BF" w:rsidP="006A624B">
            <w:pPr>
              <w:jc w:val="right"/>
              <w:rPr>
                <w:rFonts w:ascii="Calibri" w:hAnsi="Calibri" w:cs="Calibri"/>
                <w:color w:val="000000"/>
                <w:sz w:val="24"/>
                <w:szCs w:val="24"/>
                <w:lang w:eastAsia="en-GB"/>
              </w:rPr>
            </w:pPr>
            <w:r w:rsidRPr="00D561C6">
              <w:rPr>
                <w:rFonts w:ascii="Calibri" w:hAnsi="Calibri" w:cs="Calibri"/>
                <w:color w:val="000000"/>
                <w:sz w:val="24"/>
                <w:szCs w:val="24"/>
                <w:lang w:eastAsia="en-GB"/>
              </w:rPr>
              <w:t>187.278</w:t>
            </w:r>
          </w:p>
        </w:tc>
        <w:tc>
          <w:tcPr>
            <w:tcW w:w="1581" w:type="dxa"/>
            <w:tcBorders>
              <w:top w:val="nil"/>
              <w:left w:val="nil"/>
              <w:bottom w:val="single" w:sz="8" w:space="0" w:color="auto"/>
              <w:right w:val="single" w:sz="8" w:space="0" w:color="auto"/>
            </w:tcBorders>
            <w:shd w:val="clear" w:color="auto" w:fill="auto"/>
            <w:vAlign w:val="center"/>
          </w:tcPr>
          <w:p w14:paraId="39868D4A" w14:textId="77777777" w:rsidR="001B02BF" w:rsidRPr="007C1EDF" w:rsidRDefault="001B02BF" w:rsidP="006A624B">
            <w:pPr>
              <w:jc w:val="right"/>
              <w:rPr>
                <w:rFonts w:ascii="Calibri" w:hAnsi="Calibri" w:cs="Calibri"/>
                <w:color w:val="000000"/>
                <w:sz w:val="24"/>
                <w:szCs w:val="24"/>
                <w:lang w:eastAsia="en-GB"/>
              </w:rPr>
            </w:pPr>
            <w:r w:rsidRPr="007C1EDF">
              <w:rPr>
                <w:rFonts w:ascii="Calibri" w:hAnsi="Calibri" w:cs="Calibri"/>
                <w:color w:val="000000"/>
                <w:sz w:val="24"/>
                <w:szCs w:val="24"/>
                <w:lang w:eastAsia="en-GB"/>
              </w:rPr>
              <w:t>184.123</w:t>
            </w:r>
          </w:p>
        </w:tc>
        <w:tc>
          <w:tcPr>
            <w:tcW w:w="1581" w:type="dxa"/>
            <w:tcBorders>
              <w:top w:val="nil"/>
              <w:left w:val="nil"/>
              <w:bottom w:val="single" w:sz="8" w:space="0" w:color="auto"/>
              <w:right w:val="single" w:sz="8" w:space="0" w:color="auto"/>
            </w:tcBorders>
            <w:shd w:val="clear" w:color="auto" w:fill="auto"/>
            <w:vAlign w:val="center"/>
          </w:tcPr>
          <w:p w14:paraId="79E71C15" w14:textId="77777777" w:rsidR="001B02BF" w:rsidRPr="007C1EDF" w:rsidRDefault="001B02BF" w:rsidP="006A624B">
            <w:pPr>
              <w:jc w:val="right"/>
              <w:rPr>
                <w:rFonts w:ascii="Calibri" w:hAnsi="Calibri" w:cs="Calibri"/>
                <w:color w:val="FF0000"/>
                <w:sz w:val="24"/>
                <w:szCs w:val="24"/>
                <w:lang w:eastAsia="en-GB"/>
              </w:rPr>
            </w:pPr>
            <w:r w:rsidRPr="007C1EDF">
              <w:rPr>
                <w:rFonts w:ascii="Calibri" w:hAnsi="Calibri" w:cs="Calibri"/>
                <w:color w:val="FF0000"/>
                <w:sz w:val="24"/>
                <w:szCs w:val="24"/>
                <w:lang w:eastAsia="en-GB"/>
              </w:rPr>
              <w:t>(3.155)</w:t>
            </w:r>
          </w:p>
        </w:tc>
      </w:tr>
      <w:tr w:rsidR="001B02BF" w:rsidRPr="00CC628D" w14:paraId="7DA8CF33" w14:textId="77777777" w:rsidTr="006A624B">
        <w:trPr>
          <w:trHeight w:val="315"/>
        </w:trPr>
        <w:tc>
          <w:tcPr>
            <w:tcW w:w="4353" w:type="dxa"/>
            <w:tcBorders>
              <w:top w:val="nil"/>
              <w:left w:val="single" w:sz="8" w:space="0" w:color="auto"/>
              <w:bottom w:val="single" w:sz="4" w:space="0" w:color="auto"/>
              <w:right w:val="single" w:sz="8" w:space="0" w:color="auto"/>
            </w:tcBorders>
            <w:shd w:val="clear" w:color="auto" w:fill="auto"/>
            <w:vAlign w:val="center"/>
          </w:tcPr>
          <w:p w14:paraId="0E199C08" w14:textId="77777777" w:rsidR="001B02BF" w:rsidRPr="00CC628D" w:rsidRDefault="001B02BF" w:rsidP="006A624B">
            <w:pPr>
              <w:rPr>
                <w:rFonts w:ascii="Calibri" w:hAnsi="Calibri" w:cs="Calibri"/>
                <w:color w:val="000000"/>
                <w:sz w:val="24"/>
                <w:szCs w:val="24"/>
                <w:lang w:eastAsia="en-GB"/>
              </w:rPr>
            </w:pPr>
            <w:r w:rsidRPr="00CC628D">
              <w:rPr>
                <w:rFonts w:ascii="Calibri" w:eastAsia="Arial" w:hAnsi="Calibri" w:cs="Calibri"/>
                <w:color w:val="000000"/>
                <w:sz w:val="24"/>
                <w:szCs w:val="24"/>
                <w:lang w:eastAsia="en-GB"/>
              </w:rPr>
              <w:t>Premises and Mobility Factors</w:t>
            </w:r>
          </w:p>
        </w:tc>
        <w:tc>
          <w:tcPr>
            <w:tcW w:w="1581" w:type="dxa"/>
            <w:tcBorders>
              <w:top w:val="nil"/>
              <w:left w:val="nil"/>
              <w:bottom w:val="single" w:sz="4" w:space="0" w:color="auto"/>
              <w:right w:val="single" w:sz="8" w:space="0" w:color="auto"/>
            </w:tcBorders>
            <w:shd w:val="clear" w:color="auto" w:fill="auto"/>
            <w:vAlign w:val="center"/>
          </w:tcPr>
          <w:p w14:paraId="07838F50" w14:textId="77777777" w:rsidR="001B02BF" w:rsidRPr="00CC628D" w:rsidRDefault="001B02BF" w:rsidP="006A624B">
            <w:pPr>
              <w:jc w:val="right"/>
              <w:rPr>
                <w:rFonts w:ascii="Calibri" w:hAnsi="Calibri" w:cs="Calibri"/>
                <w:color w:val="000000"/>
                <w:sz w:val="24"/>
                <w:szCs w:val="24"/>
                <w:lang w:eastAsia="en-GB"/>
              </w:rPr>
            </w:pPr>
            <w:r w:rsidRPr="00CC628D">
              <w:rPr>
                <w:rFonts w:ascii="Calibri" w:hAnsi="Calibri" w:cs="Calibri"/>
                <w:color w:val="000000"/>
                <w:sz w:val="24"/>
                <w:szCs w:val="24"/>
                <w:lang w:eastAsia="en-GB"/>
              </w:rPr>
              <w:t>1.917</w:t>
            </w:r>
          </w:p>
        </w:tc>
        <w:tc>
          <w:tcPr>
            <w:tcW w:w="1581" w:type="dxa"/>
            <w:tcBorders>
              <w:top w:val="nil"/>
              <w:left w:val="nil"/>
              <w:bottom w:val="single" w:sz="4" w:space="0" w:color="auto"/>
              <w:right w:val="single" w:sz="8" w:space="0" w:color="auto"/>
            </w:tcBorders>
            <w:shd w:val="clear" w:color="auto" w:fill="auto"/>
            <w:vAlign w:val="center"/>
          </w:tcPr>
          <w:p w14:paraId="5D1DB093" w14:textId="77777777" w:rsidR="001B02BF" w:rsidRPr="007C1EDF" w:rsidRDefault="001B02BF" w:rsidP="006A624B">
            <w:pPr>
              <w:jc w:val="right"/>
              <w:rPr>
                <w:rFonts w:ascii="Calibri" w:hAnsi="Calibri" w:cs="Calibri"/>
                <w:color w:val="000000"/>
                <w:sz w:val="24"/>
                <w:szCs w:val="24"/>
                <w:lang w:eastAsia="en-GB"/>
              </w:rPr>
            </w:pPr>
            <w:r w:rsidRPr="007C1EDF">
              <w:rPr>
                <w:rFonts w:ascii="Calibri" w:hAnsi="Calibri" w:cs="Calibri"/>
                <w:color w:val="000000"/>
                <w:sz w:val="24"/>
                <w:szCs w:val="24"/>
                <w:lang w:eastAsia="en-GB"/>
              </w:rPr>
              <w:t>2.383</w:t>
            </w:r>
          </w:p>
        </w:tc>
        <w:tc>
          <w:tcPr>
            <w:tcW w:w="1581" w:type="dxa"/>
            <w:tcBorders>
              <w:top w:val="nil"/>
              <w:left w:val="nil"/>
              <w:bottom w:val="single" w:sz="4" w:space="0" w:color="auto"/>
              <w:right w:val="single" w:sz="8" w:space="0" w:color="auto"/>
            </w:tcBorders>
            <w:shd w:val="clear" w:color="auto" w:fill="auto"/>
            <w:vAlign w:val="center"/>
          </w:tcPr>
          <w:p w14:paraId="570BE04D" w14:textId="77777777" w:rsidR="001B02BF" w:rsidRPr="007C1EDF" w:rsidRDefault="001B02BF" w:rsidP="006A624B">
            <w:pPr>
              <w:jc w:val="right"/>
              <w:rPr>
                <w:rFonts w:ascii="Calibri" w:hAnsi="Calibri" w:cs="Calibri"/>
                <w:color w:val="000000"/>
                <w:sz w:val="24"/>
                <w:szCs w:val="24"/>
                <w:lang w:eastAsia="en-GB"/>
              </w:rPr>
            </w:pPr>
            <w:r w:rsidRPr="007C1EDF">
              <w:rPr>
                <w:rFonts w:ascii="Calibri" w:hAnsi="Calibri" w:cs="Calibri"/>
                <w:color w:val="000000"/>
                <w:sz w:val="24"/>
                <w:szCs w:val="24"/>
                <w:lang w:eastAsia="en-GB"/>
              </w:rPr>
              <w:t>0.466</w:t>
            </w:r>
          </w:p>
        </w:tc>
      </w:tr>
      <w:tr w:rsidR="001B02BF" w:rsidRPr="002A4BDF" w14:paraId="0D1656C1" w14:textId="77777777" w:rsidTr="006A624B">
        <w:trPr>
          <w:trHeight w:val="315"/>
        </w:trPr>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1C093" w14:textId="77777777" w:rsidR="001B02BF" w:rsidRPr="00D561C6" w:rsidRDefault="001B02BF" w:rsidP="006A624B">
            <w:pPr>
              <w:rPr>
                <w:rFonts w:ascii="Calibri" w:hAnsi="Calibri" w:cs="Calibri"/>
                <w:color w:val="000000"/>
                <w:sz w:val="24"/>
                <w:szCs w:val="24"/>
                <w:lang w:eastAsia="en-GB"/>
              </w:rPr>
            </w:pPr>
            <w:r w:rsidRPr="00D561C6">
              <w:rPr>
                <w:rFonts w:ascii="Calibri" w:eastAsia="Arial" w:hAnsi="Calibri" w:cs="Calibri"/>
                <w:color w:val="000000"/>
                <w:sz w:val="24"/>
                <w:szCs w:val="24"/>
                <w:lang w:eastAsia="en-GB"/>
              </w:rPr>
              <w:t>Growth Fund</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39E5BAB8" w14:textId="77777777" w:rsidR="001B02BF" w:rsidRPr="00D561C6" w:rsidRDefault="001B02BF" w:rsidP="006A624B">
            <w:pPr>
              <w:jc w:val="right"/>
              <w:rPr>
                <w:rFonts w:ascii="Calibri" w:hAnsi="Calibri" w:cs="Calibri"/>
                <w:color w:val="000000"/>
                <w:sz w:val="24"/>
                <w:szCs w:val="24"/>
                <w:lang w:eastAsia="en-GB"/>
              </w:rPr>
            </w:pPr>
            <w:r w:rsidRPr="00D561C6">
              <w:rPr>
                <w:rFonts w:ascii="Calibri" w:hAnsi="Calibri" w:cs="Calibri"/>
                <w:color w:val="000000"/>
                <w:sz w:val="24"/>
                <w:szCs w:val="24"/>
                <w:lang w:eastAsia="en-GB"/>
              </w:rPr>
              <w:t>1.529</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3D38ED3A" w14:textId="77777777" w:rsidR="001B02BF" w:rsidRPr="007C1EDF" w:rsidRDefault="001B02BF" w:rsidP="006A624B">
            <w:pPr>
              <w:jc w:val="right"/>
              <w:rPr>
                <w:rFonts w:ascii="Calibri" w:hAnsi="Calibri" w:cs="Calibri"/>
                <w:color w:val="000000"/>
                <w:sz w:val="24"/>
                <w:szCs w:val="24"/>
                <w:lang w:eastAsia="en-GB"/>
              </w:rPr>
            </w:pPr>
            <w:r w:rsidRPr="007C1EDF">
              <w:rPr>
                <w:rFonts w:ascii="Calibri" w:hAnsi="Calibri" w:cs="Calibri"/>
                <w:color w:val="000000"/>
                <w:sz w:val="24"/>
                <w:szCs w:val="24"/>
                <w:lang w:eastAsia="en-GB"/>
              </w:rPr>
              <w:t>2.472</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4BF18F61" w14:textId="77777777" w:rsidR="001B02BF" w:rsidRPr="007C1EDF" w:rsidRDefault="001B02BF" w:rsidP="006A624B">
            <w:pPr>
              <w:jc w:val="right"/>
              <w:rPr>
                <w:rFonts w:ascii="Calibri" w:hAnsi="Calibri" w:cs="Calibri"/>
                <w:color w:val="000000"/>
                <w:sz w:val="24"/>
                <w:szCs w:val="24"/>
                <w:lang w:eastAsia="en-GB"/>
              </w:rPr>
            </w:pPr>
            <w:r w:rsidRPr="007C1EDF">
              <w:rPr>
                <w:rFonts w:ascii="Calibri" w:hAnsi="Calibri" w:cs="Calibri"/>
                <w:color w:val="000000"/>
                <w:sz w:val="24"/>
                <w:szCs w:val="24"/>
                <w:lang w:eastAsia="en-GB"/>
              </w:rPr>
              <w:t>0.943</w:t>
            </w:r>
          </w:p>
        </w:tc>
      </w:tr>
      <w:tr w:rsidR="001B02BF" w:rsidRPr="002A4BDF" w14:paraId="0370AFAF" w14:textId="77777777" w:rsidTr="006A624B">
        <w:trPr>
          <w:trHeight w:val="315"/>
        </w:trPr>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2D0AEDC6" w14:textId="77777777" w:rsidR="001B02BF" w:rsidRPr="007C1EDF" w:rsidRDefault="001B02BF" w:rsidP="006A624B">
            <w:pPr>
              <w:rPr>
                <w:rFonts w:ascii="Calibri" w:eastAsia="Arial" w:hAnsi="Calibri" w:cs="Calibri"/>
                <w:color w:val="000000"/>
                <w:sz w:val="24"/>
                <w:szCs w:val="24"/>
                <w:lang w:eastAsia="en-GB"/>
              </w:rPr>
            </w:pPr>
            <w:r w:rsidRPr="007C1EDF">
              <w:rPr>
                <w:rFonts w:ascii="Calibri" w:eastAsia="Arial" w:hAnsi="Calibri" w:cs="Calibri"/>
                <w:color w:val="000000"/>
                <w:sz w:val="24"/>
                <w:szCs w:val="24"/>
                <w:lang w:eastAsia="en-GB"/>
              </w:rPr>
              <w:t>Block Transfers and other movements</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17509F99" w14:textId="77777777" w:rsidR="001B02BF" w:rsidRPr="007C1EDF" w:rsidRDefault="001B02BF" w:rsidP="006A624B">
            <w:pPr>
              <w:jc w:val="right"/>
              <w:rPr>
                <w:rFonts w:ascii="Calibri" w:hAnsi="Calibri" w:cs="Calibri"/>
                <w:color w:val="000000"/>
                <w:sz w:val="24"/>
                <w:szCs w:val="24"/>
                <w:lang w:eastAsia="en-GB"/>
              </w:rPr>
            </w:pPr>
            <w:r w:rsidRPr="007C1EDF">
              <w:rPr>
                <w:rFonts w:ascii="Calibri" w:hAnsi="Calibri" w:cs="Calibri"/>
                <w:color w:val="000000"/>
                <w:sz w:val="24"/>
                <w:szCs w:val="24"/>
                <w:lang w:eastAsia="en-GB"/>
              </w:rPr>
              <w:t>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0B075BD2" w14:textId="77777777" w:rsidR="001B02BF" w:rsidRPr="007C1EDF" w:rsidRDefault="001B02BF" w:rsidP="006A624B">
            <w:pPr>
              <w:jc w:val="right"/>
              <w:rPr>
                <w:rFonts w:ascii="Calibri" w:hAnsi="Calibri" w:cs="Calibri"/>
                <w:color w:val="000000"/>
                <w:sz w:val="24"/>
                <w:szCs w:val="24"/>
                <w:lang w:eastAsia="en-GB"/>
              </w:rPr>
            </w:pPr>
            <w:r w:rsidRPr="007C1EDF">
              <w:rPr>
                <w:rFonts w:ascii="Calibri" w:hAnsi="Calibri" w:cs="Calibri"/>
                <w:color w:val="000000"/>
                <w:sz w:val="24"/>
                <w:szCs w:val="24"/>
                <w:lang w:eastAsia="en-GB"/>
              </w:rPr>
              <w:t>1.746</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345A3359" w14:textId="77777777" w:rsidR="001B02BF" w:rsidRPr="00AD1A1E" w:rsidRDefault="001B02BF" w:rsidP="006A624B">
            <w:pPr>
              <w:jc w:val="right"/>
              <w:rPr>
                <w:rFonts w:ascii="Calibri" w:hAnsi="Calibri" w:cs="Calibri"/>
                <w:color w:val="000000"/>
                <w:sz w:val="24"/>
                <w:szCs w:val="24"/>
                <w:lang w:eastAsia="en-GB"/>
              </w:rPr>
            </w:pPr>
            <w:r w:rsidRPr="00AD1A1E">
              <w:rPr>
                <w:rFonts w:ascii="Calibri" w:hAnsi="Calibri" w:cs="Calibri"/>
                <w:color w:val="000000"/>
                <w:sz w:val="24"/>
                <w:szCs w:val="24"/>
                <w:lang w:eastAsia="en-GB"/>
              </w:rPr>
              <w:t>1.743</w:t>
            </w:r>
          </w:p>
        </w:tc>
      </w:tr>
      <w:tr w:rsidR="001B02BF" w:rsidRPr="002A4BDF" w14:paraId="372FB619" w14:textId="77777777" w:rsidTr="006A624B">
        <w:trPr>
          <w:trHeight w:val="315"/>
        </w:trPr>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15107197" w14:textId="77777777" w:rsidR="001B02BF" w:rsidRPr="00D561C6" w:rsidRDefault="001B02BF" w:rsidP="006A624B">
            <w:pPr>
              <w:rPr>
                <w:rFonts w:ascii="Calibri" w:eastAsia="Arial" w:hAnsi="Calibri" w:cs="Calibri"/>
                <w:b/>
                <w:color w:val="000000"/>
                <w:sz w:val="24"/>
                <w:szCs w:val="24"/>
                <w:lang w:eastAsia="en-GB"/>
              </w:rPr>
            </w:pPr>
            <w:r w:rsidRPr="00D561C6">
              <w:rPr>
                <w:rFonts w:ascii="Calibri" w:eastAsia="Arial" w:hAnsi="Calibri" w:cs="Calibri"/>
                <w:b/>
                <w:color w:val="000000"/>
                <w:sz w:val="24"/>
                <w:szCs w:val="24"/>
                <w:lang w:eastAsia="en-GB"/>
              </w:rPr>
              <w:t>Total Funding</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32E27D5B" w14:textId="77777777" w:rsidR="001B02BF" w:rsidRPr="00D561C6" w:rsidRDefault="001B02BF" w:rsidP="006A624B">
            <w:pPr>
              <w:jc w:val="right"/>
              <w:rPr>
                <w:rFonts w:ascii="Calibri" w:hAnsi="Calibri" w:cs="Calibri"/>
                <w:b/>
                <w:color w:val="000000"/>
                <w:sz w:val="24"/>
                <w:szCs w:val="24"/>
                <w:lang w:eastAsia="en-GB"/>
              </w:rPr>
            </w:pPr>
            <w:r w:rsidRPr="00D561C6">
              <w:rPr>
                <w:rFonts w:ascii="Calibri" w:hAnsi="Calibri" w:cs="Calibri"/>
                <w:b/>
                <w:color w:val="000000"/>
                <w:sz w:val="24"/>
                <w:szCs w:val="24"/>
                <w:lang w:eastAsia="en-GB"/>
              </w:rPr>
              <w:t>190.724</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35EFDB2F" w14:textId="77777777" w:rsidR="001B02BF" w:rsidRPr="007C1EDF" w:rsidRDefault="001B02BF" w:rsidP="006A624B">
            <w:pPr>
              <w:jc w:val="right"/>
              <w:rPr>
                <w:rFonts w:ascii="Calibri" w:hAnsi="Calibri" w:cs="Calibri"/>
                <w:b/>
                <w:color w:val="000000"/>
                <w:sz w:val="24"/>
                <w:szCs w:val="24"/>
                <w:lang w:eastAsia="en-GB"/>
              </w:rPr>
            </w:pPr>
            <w:r w:rsidRPr="007C1EDF">
              <w:rPr>
                <w:rFonts w:ascii="Calibri" w:hAnsi="Calibri" w:cs="Calibri"/>
                <w:b/>
                <w:color w:val="000000"/>
                <w:sz w:val="24"/>
                <w:szCs w:val="24"/>
                <w:lang w:eastAsia="en-GB"/>
              </w:rPr>
              <w:t>190.724</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4DB86CB8" w14:textId="77777777" w:rsidR="001B02BF" w:rsidRPr="00AD1A1E" w:rsidRDefault="001B02BF" w:rsidP="006A624B">
            <w:pPr>
              <w:jc w:val="right"/>
              <w:rPr>
                <w:rFonts w:ascii="Calibri" w:hAnsi="Calibri" w:cs="Calibri"/>
                <w:b/>
                <w:color w:val="000000"/>
                <w:sz w:val="24"/>
                <w:szCs w:val="24"/>
                <w:lang w:eastAsia="en-GB"/>
              </w:rPr>
            </w:pPr>
            <w:r w:rsidRPr="00AD1A1E">
              <w:rPr>
                <w:rFonts w:ascii="Calibri" w:hAnsi="Calibri" w:cs="Calibri"/>
                <w:b/>
                <w:color w:val="000000"/>
                <w:sz w:val="24"/>
                <w:szCs w:val="24"/>
                <w:lang w:eastAsia="en-GB"/>
              </w:rPr>
              <w:t>0</w:t>
            </w:r>
          </w:p>
        </w:tc>
      </w:tr>
    </w:tbl>
    <w:p w14:paraId="3C699C19" w14:textId="77777777" w:rsidR="001B02BF" w:rsidRPr="00CC628D" w:rsidRDefault="001B02BF" w:rsidP="001B02BF">
      <w:pPr>
        <w:pStyle w:val="BodyTextIndent"/>
        <w:ind w:left="567" w:hanging="567"/>
        <w:rPr>
          <w:rFonts w:ascii="Calibri" w:hAnsi="Calibri" w:cs="Calibri"/>
          <w:szCs w:val="24"/>
        </w:rPr>
      </w:pPr>
    </w:p>
    <w:p w14:paraId="605959B7" w14:textId="523519A6" w:rsidR="001B02BF" w:rsidRPr="001B02BF" w:rsidRDefault="001B02BF" w:rsidP="001B02BF">
      <w:pPr>
        <w:pStyle w:val="BodyTextIndent"/>
        <w:ind w:left="567" w:hanging="567"/>
        <w:rPr>
          <w:rFonts w:ascii="Calibri" w:hAnsi="Calibri" w:cs="Calibri"/>
          <w:sz w:val="22"/>
          <w:szCs w:val="22"/>
        </w:rPr>
      </w:pPr>
      <w:r w:rsidRPr="001B02BF">
        <w:rPr>
          <w:rFonts w:ascii="Calibri" w:hAnsi="Calibri" w:cs="Calibri"/>
          <w:sz w:val="22"/>
          <w:szCs w:val="22"/>
        </w:rPr>
        <w:t>Additional Information:</w:t>
      </w:r>
    </w:p>
    <w:p w14:paraId="5ED3AFC6" w14:textId="77777777" w:rsidR="001B02BF" w:rsidRPr="001B02BF" w:rsidRDefault="001B02BF" w:rsidP="001B02BF">
      <w:pPr>
        <w:pStyle w:val="BodyTextIndent"/>
        <w:ind w:left="567" w:hanging="567"/>
        <w:rPr>
          <w:rFonts w:ascii="Calibri" w:hAnsi="Calibri" w:cs="Calibri"/>
          <w:sz w:val="22"/>
          <w:szCs w:val="22"/>
        </w:rPr>
      </w:pPr>
    </w:p>
    <w:p w14:paraId="7A0B2727" w14:textId="77777777" w:rsidR="001B02BF" w:rsidRPr="001B02BF" w:rsidRDefault="001B02BF" w:rsidP="001B02BF">
      <w:pPr>
        <w:pStyle w:val="BodyTextIndent"/>
        <w:numPr>
          <w:ilvl w:val="0"/>
          <w:numId w:val="42"/>
        </w:numPr>
        <w:rPr>
          <w:rFonts w:ascii="Calibri" w:hAnsi="Calibri" w:cs="Calibri"/>
          <w:sz w:val="22"/>
          <w:szCs w:val="22"/>
        </w:rPr>
      </w:pPr>
      <w:r w:rsidRPr="001B02BF">
        <w:rPr>
          <w:rFonts w:ascii="Calibri" w:hAnsi="Calibri" w:cs="Calibri"/>
          <w:sz w:val="22"/>
          <w:szCs w:val="22"/>
        </w:rPr>
        <w:t xml:space="preserve">Primary pupil numbers (excluding nursery pupils and PAN variations) have increased from 24,482 in 2019-20 to 24,658 in 2020-21; an increase of 176 pupils. </w:t>
      </w:r>
    </w:p>
    <w:p w14:paraId="629EDBB4" w14:textId="77777777" w:rsidR="001B02BF" w:rsidRPr="001B02BF" w:rsidRDefault="001B02BF" w:rsidP="001B02BF">
      <w:pPr>
        <w:pStyle w:val="BodyTextIndent"/>
        <w:numPr>
          <w:ilvl w:val="0"/>
          <w:numId w:val="42"/>
        </w:numPr>
        <w:rPr>
          <w:rFonts w:ascii="Calibri" w:hAnsi="Calibri" w:cs="Calibri"/>
          <w:sz w:val="22"/>
          <w:szCs w:val="22"/>
        </w:rPr>
      </w:pPr>
      <w:r w:rsidRPr="001B02BF">
        <w:rPr>
          <w:rFonts w:ascii="Calibri" w:hAnsi="Calibri" w:cs="Calibri"/>
          <w:sz w:val="22"/>
          <w:szCs w:val="22"/>
        </w:rPr>
        <w:t>Secondary pupil numbers (pre-16) have increased from 16,080 in 2019-20 to 16,473.5 in 2020-21; an increase of 393.5 pupils. The 0.5 represents at least one duel registered pupil.</w:t>
      </w:r>
    </w:p>
    <w:p w14:paraId="02A9252A" w14:textId="77777777" w:rsidR="001B02BF" w:rsidRPr="001B02BF" w:rsidRDefault="001B02BF" w:rsidP="001B02BF">
      <w:pPr>
        <w:pStyle w:val="BodyTextIndent"/>
        <w:numPr>
          <w:ilvl w:val="0"/>
          <w:numId w:val="42"/>
        </w:numPr>
        <w:rPr>
          <w:rFonts w:ascii="Calibri" w:hAnsi="Calibri" w:cs="Calibri"/>
          <w:sz w:val="22"/>
          <w:szCs w:val="22"/>
        </w:rPr>
      </w:pPr>
      <w:r w:rsidRPr="001B02BF">
        <w:rPr>
          <w:rFonts w:ascii="Calibri" w:hAnsi="Calibri" w:cs="Calibri"/>
          <w:sz w:val="22"/>
          <w:szCs w:val="22"/>
        </w:rPr>
        <w:t>In 2020-21 75.84% of funding is distributed through the basic entitlement factor compared to 77.9% in 2019-20.</w:t>
      </w:r>
    </w:p>
    <w:p w14:paraId="52334FE1" w14:textId="77777777" w:rsidR="001B02BF" w:rsidRPr="001B02BF" w:rsidRDefault="001B02BF" w:rsidP="001B02BF">
      <w:pPr>
        <w:numPr>
          <w:ilvl w:val="0"/>
          <w:numId w:val="42"/>
        </w:numPr>
        <w:spacing w:after="0" w:line="240" w:lineRule="auto"/>
        <w:rPr>
          <w:rFonts w:ascii="Calibri" w:hAnsi="Calibri" w:cs="Calibri"/>
        </w:rPr>
      </w:pPr>
      <w:r w:rsidRPr="001B02BF">
        <w:rPr>
          <w:rFonts w:ascii="Calibri" w:hAnsi="Calibri" w:cs="Calibri"/>
        </w:rPr>
        <w:t>In 2020-21 92.89% of funding is distributed through pupil lead factors compared to 93.5% in 2019-20.</w:t>
      </w:r>
    </w:p>
    <w:p w14:paraId="42B0E21C" w14:textId="3254F3F8" w:rsidR="001B02BF" w:rsidRDefault="001B02BF" w:rsidP="001B02BF">
      <w:pPr>
        <w:numPr>
          <w:ilvl w:val="0"/>
          <w:numId w:val="42"/>
        </w:numPr>
        <w:spacing w:after="0" w:line="240" w:lineRule="auto"/>
        <w:rPr>
          <w:rFonts w:ascii="Calibri" w:hAnsi="Calibri" w:cs="Calibri"/>
        </w:rPr>
      </w:pPr>
      <w:r w:rsidRPr="001B02BF">
        <w:rPr>
          <w:rFonts w:ascii="Calibri" w:hAnsi="Calibri" w:cs="Calibri"/>
        </w:rPr>
        <w:t xml:space="preserve">Primary schools will receive at least £3,750 per pupil and £5,000 for secondary schools. </w:t>
      </w:r>
    </w:p>
    <w:p w14:paraId="002042C5" w14:textId="70AE3297" w:rsidR="001B02BF" w:rsidRDefault="001B02BF" w:rsidP="001B02BF">
      <w:pPr>
        <w:spacing w:after="0" w:line="240" w:lineRule="auto"/>
        <w:rPr>
          <w:rFonts w:ascii="Calibri" w:hAnsi="Calibri" w:cs="Calibri"/>
        </w:rPr>
      </w:pPr>
    </w:p>
    <w:p w14:paraId="65D7BF72" w14:textId="5AA5D5F4" w:rsidR="001B02BF" w:rsidRDefault="001B02BF" w:rsidP="001B02BF">
      <w:pPr>
        <w:spacing w:after="0" w:line="240" w:lineRule="auto"/>
        <w:rPr>
          <w:rFonts w:ascii="Calibri" w:hAnsi="Calibri" w:cs="Calibri"/>
        </w:rPr>
      </w:pPr>
      <w:r w:rsidRPr="001B02BF">
        <w:rPr>
          <w:rFonts w:ascii="Calibri" w:hAnsi="Calibri" w:cs="Calibri"/>
          <w:b/>
          <w:bCs/>
        </w:rPr>
        <w:t xml:space="preserve">Q – Total of the pupil funding noted on the table above </w:t>
      </w:r>
      <w:r w:rsidR="007A5BBA">
        <w:rPr>
          <w:rFonts w:ascii="Calibri" w:hAnsi="Calibri" w:cs="Calibri"/>
          <w:b/>
          <w:bCs/>
        </w:rPr>
        <w:t>id</w:t>
      </w:r>
      <w:r w:rsidRPr="001B02BF">
        <w:rPr>
          <w:rFonts w:ascii="Calibri" w:hAnsi="Calibri" w:cs="Calibri"/>
          <w:b/>
          <w:bCs/>
        </w:rPr>
        <w:t xml:space="preserve"> £187,278,000 on the school break downs</w:t>
      </w:r>
      <w:r w:rsidR="003401C7">
        <w:rPr>
          <w:rFonts w:ascii="Calibri" w:hAnsi="Calibri" w:cs="Calibri"/>
          <w:b/>
          <w:bCs/>
        </w:rPr>
        <w:t>,</w:t>
      </w:r>
      <w:r w:rsidRPr="001B02BF">
        <w:rPr>
          <w:rFonts w:ascii="Calibri" w:hAnsi="Calibri" w:cs="Calibri"/>
          <w:b/>
          <w:bCs/>
        </w:rPr>
        <w:t xml:space="preserve"> it has a total of £ 185,597,678 why the difference?</w:t>
      </w:r>
      <w:r>
        <w:rPr>
          <w:rFonts w:ascii="Calibri" w:hAnsi="Calibri" w:cs="Calibri"/>
        </w:rPr>
        <w:t xml:space="preserve"> A – This is the growth fund.</w:t>
      </w:r>
    </w:p>
    <w:p w14:paraId="2FCFFD3E" w14:textId="586E7457" w:rsidR="001B02BF" w:rsidRPr="001B02BF" w:rsidRDefault="001B02BF" w:rsidP="001B02BF">
      <w:pPr>
        <w:spacing w:after="0" w:line="240" w:lineRule="auto"/>
        <w:rPr>
          <w:rFonts w:ascii="Calibri" w:hAnsi="Calibri" w:cs="Calibri"/>
        </w:rPr>
      </w:pPr>
      <w:r w:rsidRPr="001B02BF">
        <w:rPr>
          <w:rFonts w:ascii="Calibri" w:hAnsi="Calibri" w:cs="Calibri"/>
          <w:b/>
          <w:bCs/>
        </w:rPr>
        <w:t>Q – We have worked a lot to get a fair system</w:t>
      </w:r>
      <w:r w:rsidR="00310875">
        <w:rPr>
          <w:rFonts w:ascii="Calibri" w:hAnsi="Calibri" w:cs="Calibri"/>
          <w:b/>
          <w:bCs/>
        </w:rPr>
        <w:t xml:space="preserve"> </w:t>
      </w:r>
      <w:r w:rsidRPr="001B02BF">
        <w:rPr>
          <w:rFonts w:ascii="Calibri" w:hAnsi="Calibri" w:cs="Calibri"/>
          <w:b/>
          <w:bCs/>
        </w:rPr>
        <w:t>however</w:t>
      </w:r>
      <w:r w:rsidR="00310875">
        <w:rPr>
          <w:rFonts w:ascii="Calibri" w:hAnsi="Calibri" w:cs="Calibri"/>
          <w:b/>
          <w:bCs/>
        </w:rPr>
        <w:t>,</w:t>
      </w:r>
      <w:r w:rsidRPr="001B02BF">
        <w:rPr>
          <w:rFonts w:ascii="Calibri" w:hAnsi="Calibri" w:cs="Calibri"/>
          <w:b/>
          <w:bCs/>
        </w:rPr>
        <w:t xml:space="preserve"> we still </w:t>
      </w:r>
      <w:r w:rsidR="003401C7">
        <w:rPr>
          <w:rFonts w:ascii="Calibri" w:hAnsi="Calibri" w:cs="Calibri"/>
          <w:b/>
          <w:bCs/>
        </w:rPr>
        <w:t xml:space="preserve">have </w:t>
      </w:r>
      <w:r w:rsidRPr="001B02BF">
        <w:rPr>
          <w:rFonts w:ascii="Calibri" w:hAnsi="Calibri" w:cs="Calibri"/>
          <w:b/>
          <w:bCs/>
        </w:rPr>
        <w:t xml:space="preserve">schools that have significant drops in their funding, </w:t>
      </w:r>
      <w:r>
        <w:rPr>
          <w:rFonts w:ascii="Calibri" w:hAnsi="Calibri" w:cs="Calibri"/>
          <w:b/>
          <w:bCs/>
        </w:rPr>
        <w:t>have you had any conversation</w:t>
      </w:r>
      <w:r w:rsidR="007D0A00">
        <w:rPr>
          <w:rFonts w:ascii="Calibri" w:hAnsi="Calibri" w:cs="Calibri"/>
          <w:b/>
          <w:bCs/>
        </w:rPr>
        <w:t>s</w:t>
      </w:r>
      <w:r>
        <w:rPr>
          <w:rFonts w:ascii="Calibri" w:hAnsi="Calibri" w:cs="Calibri"/>
          <w:b/>
          <w:bCs/>
        </w:rPr>
        <w:t xml:space="preserve"> with them</w:t>
      </w:r>
      <w:r w:rsidRPr="001B02BF">
        <w:rPr>
          <w:rFonts w:ascii="Calibri" w:hAnsi="Calibri" w:cs="Calibri"/>
        </w:rPr>
        <w:t>? A- The formulas have still got to be approved so we can’t discuss this with them yet</w:t>
      </w:r>
      <w:r w:rsidR="007D0A00">
        <w:rPr>
          <w:rFonts w:ascii="Calibri" w:hAnsi="Calibri" w:cs="Calibri"/>
        </w:rPr>
        <w:t xml:space="preserve">, but will advise when we are able to. </w:t>
      </w:r>
    </w:p>
    <w:p w14:paraId="61047E5C" w14:textId="56F45CF2" w:rsidR="001B02BF" w:rsidRPr="00CE7B3B" w:rsidRDefault="001B02BF" w:rsidP="001B02BF">
      <w:pPr>
        <w:pStyle w:val="BodyTextIndent"/>
        <w:ind w:left="0" w:firstLine="0"/>
        <w:rPr>
          <w:rFonts w:ascii="Calibri" w:hAnsi="Calibri" w:cs="Calibri"/>
          <w:szCs w:val="24"/>
        </w:rPr>
      </w:pPr>
      <w:r w:rsidRPr="001B02BF">
        <w:rPr>
          <w:rFonts w:ascii="Calibri" w:hAnsi="Calibri" w:cs="Calibri"/>
          <w:b/>
          <w:bCs/>
          <w:sz w:val="22"/>
          <w:szCs w:val="22"/>
        </w:rPr>
        <w:t>Decision –</w:t>
      </w:r>
      <w:r>
        <w:rPr>
          <w:rFonts w:ascii="Calibri" w:hAnsi="Calibri" w:cs="Calibri"/>
          <w:szCs w:val="24"/>
        </w:rPr>
        <w:t xml:space="preserve"> Members voted and agreed </w:t>
      </w:r>
      <w:r w:rsidRPr="00CE7B3B">
        <w:rPr>
          <w:rFonts w:ascii="Calibri" w:hAnsi="Calibri" w:cs="Calibri"/>
          <w:szCs w:val="24"/>
        </w:rPr>
        <w:t>Medway’s Final Schools and Academies Funding Formula 2020-21</w:t>
      </w:r>
      <w:r>
        <w:rPr>
          <w:rFonts w:ascii="Calibri" w:hAnsi="Calibri" w:cs="Calibri"/>
          <w:szCs w:val="24"/>
        </w:rPr>
        <w:t xml:space="preserve">, which </w:t>
      </w:r>
      <w:r w:rsidRPr="00CE7B3B">
        <w:rPr>
          <w:rFonts w:ascii="Calibri" w:hAnsi="Calibri" w:cs="Calibri"/>
          <w:szCs w:val="24"/>
        </w:rPr>
        <w:t>will then be</w:t>
      </w:r>
      <w:r>
        <w:rPr>
          <w:rFonts w:ascii="Calibri" w:hAnsi="Calibri" w:cs="Calibri"/>
          <w:szCs w:val="24"/>
        </w:rPr>
        <w:t xml:space="preserve"> </w:t>
      </w:r>
      <w:r w:rsidRPr="00CE7B3B">
        <w:rPr>
          <w:rFonts w:ascii="Calibri" w:hAnsi="Calibri" w:cs="Calibri"/>
          <w:szCs w:val="24"/>
        </w:rPr>
        <w:t>reported to the Council’s Cabinet on 4 February 2020 for ‘political approval’ as per ESFA instructions.</w:t>
      </w:r>
    </w:p>
    <w:p w14:paraId="04708942" w14:textId="77777777" w:rsidR="001B02BF" w:rsidRPr="002A4BDF" w:rsidRDefault="001B02BF" w:rsidP="001B02BF">
      <w:pPr>
        <w:pStyle w:val="BodyTextIndent"/>
        <w:ind w:left="1714" w:firstLine="0"/>
        <w:rPr>
          <w:rFonts w:ascii="Calibri" w:hAnsi="Calibri" w:cs="Calibri"/>
          <w:szCs w:val="24"/>
          <w:highlight w:val="yellow"/>
        </w:rPr>
      </w:pPr>
    </w:p>
    <w:p w14:paraId="251E687E" w14:textId="08F6CF91" w:rsidR="001B02BF" w:rsidRPr="00F0582C" w:rsidRDefault="001B02BF" w:rsidP="001B02BF">
      <w:pPr>
        <w:pStyle w:val="BodyTextIndent"/>
        <w:ind w:left="0" w:firstLine="0"/>
        <w:rPr>
          <w:rFonts w:ascii="Calibri" w:hAnsi="Calibri" w:cs="Calibri"/>
          <w:szCs w:val="24"/>
        </w:rPr>
      </w:pPr>
      <w:r>
        <w:rPr>
          <w:rFonts w:ascii="Calibri" w:hAnsi="Calibri" w:cs="Calibri"/>
          <w:szCs w:val="24"/>
        </w:rPr>
        <w:t xml:space="preserve">The next step is for the </w:t>
      </w:r>
      <w:r w:rsidRPr="00F0582C">
        <w:rPr>
          <w:rFonts w:ascii="Calibri" w:hAnsi="Calibri" w:cs="Calibri"/>
          <w:szCs w:val="24"/>
        </w:rPr>
        <w:t>Funding formula allocations for 2020-21 (i.e. the Schools Block</w:t>
      </w:r>
      <w:r>
        <w:rPr>
          <w:rFonts w:ascii="Calibri" w:hAnsi="Calibri" w:cs="Calibri"/>
          <w:szCs w:val="24"/>
        </w:rPr>
        <w:t xml:space="preserve"> </w:t>
      </w:r>
      <w:r w:rsidRPr="00F0582C">
        <w:rPr>
          <w:rFonts w:ascii="Calibri" w:hAnsi="Calibri" w:cs="Calibri"/>
          <w:szCs w:val="24"/>
        </w:rPr>
        <w:t xml:space="preserve">allocation) </w:t>
      </w:r>
      <w:proofErr w:type="gramStart"/>
      <w:r w:rsidR="00C76ADB">
        <w:rPr>
          <w:rFonts w:ascii="Calibri" w:hAnsi="Calibri" w:cs="Calibri"/>
          <w:szCs w:val="24"/>
        </w:rPr>
        <w:t>This</w:t>
      </w:r>
      <w:proofErr w:type="gramEnd"/>
      <w:r w:rsidR="00C76ADB">
        <w:rPr>
          <w:rFonts w:ascii="Calibri" w:hAnsi="Calibri" w:cs="Calibri"/>
          <w:szCs w:val="24"/>
        </w:rPr>
        <w:t xml:space="preserve"> </w:t>
      </w:r>
      <w:r w:rsidRPr="00F0582C">
        <w:rPr>
          <w:rFonts w:ascii="Calibri" w:hAnsi="Calibri" w:cs="Calibri"/>
          <w:szCs w:val="24"/>
        </w:rPr>
        <w:t>will be notified to schools and academies as follows;</w:t>
      </w:r>
    </w:p>
    <w:p w14:paraId="1A9B6DF6" w14:textId="77777777" w:rsidR="001B02BF" w:rsidRPr="00F0582C" w:rsidRDefault="001B02BF" w:rsidP="001B02BF">
      <w:pPr>
        <w:pStyle w:val="BodyTextIndent"/>
        <w:ind w:left="0" w:firstLine="0"/>
        <w:rPr>
          <w:rFonts w:ascii="Calibri" w:hAnsi="Calibri" w:cs="Calibri"/>
          <w:szCs w:val="24"/>
        </w:rPr>
      </w:pPr>
    </w:p>
    <w:p w14:paraId="57D63515" w14:textId="7F8594EF" w:rsidR="001B02BF" w:rsidRPr="00F0582C" w:rsidRDefault="001B02BF" w:rsidP="001B02BF">
      <w:pPr>
        <w:pStyle w:val="BodyTextIndent"/>
        <w:ind w:left="0" w:firstLine="0"/>
        <w:rPr>
          <w:rFonts w:ascii="Calibri" w:hAnsi="Calibri" w:cs="Calibri"/>
          <w:szCs w:val="24"/>
        </w:rPr>
      </w:pPr>
      <w:r w:rsidRPr="00F0582C">
        <w:rPr>
          <w:rFonts w:ascii="Calibri" w:hAnsi="Calibri" w:cs="Calibri"/>
          <w:szCs w:val="24"/>
        </w:rPr>
        <w:t>28 February 2020:</w:t>
      </w:r>
      <w:r>
        <w:rPr>
          <w:rFonts w:ascii="Calibri" w:hAnsi="Calibri" w:cs="Calibri"/>
          <w:szCs w:val="24"/>
        </w:rPr>
        <w:t xml:space="preserve"> </w:t>
      </w:r>
      <w:r w:rsidRPr="00F0582C">
        <w:rPr>
          <w:rFonts w:ascii="Calibri" w:hAnsi="Calibri" w:cs="Calibri"/>
          <w:szCs w:val="24"/>
        </w:rPr>
        <w:t>Medway to confirm allocations to schools</w:t>
      </w:r>
      <w:r w:rsidR="00C76ADB">
        <w:rPr>
          <w:rFonts w:ascii="Calibri" w:hAnsi="Calibri" w:cs="Calibri"/>
          <w:szCs w:val="24"/>
        </w:rPr>
        <w:t>.</w:t>
      </w:r>
    </w:p>
    <w:p w14:paraId="002C3D77" w14:textId="42AF9BEC" w:rsidR="001B02BF" w:rsidRDefault="001B02BF" w:rsidP="001B02BF">
      <w:pPr>
        <w:rPr>
          <w:rFonts w:ascii="Calibri" w:hAnsi="Calibri" w:cs="Calibri"/>
          <w:szCs w:val="24"/>
        </w:rPr>
      </w:pPr>
      <w:r>
        <w:rPr>
          <w:rFonts w:ascii="Calibri" w:hAnsi="Calibri" w:cs="Calibri"/>
          <w:szCs w:val="24"/>
        </w:rPr>
        <w:t>31</w:t>
      </w:r>
      <w:r w:rsidRPr="00F0582C">
        <w:rPr>
          <w:rFonts w:ascii="Calibri" w:hAnsi="Calibri" w:cs="Calibri"/>
          <w:szCs w:val="24"/>
        </w:rPr>
        <w:t xml:space="preserve"> March 2020:</w:t>
      </w:r>
      <w:r w:rsidRPr="00F0582C">
        <w:rPr>
          <w:rFonts w:ascii="Calibri" w:hAnsi="Calibri" w:cs="Calibri"/>
          <w:szCs w:val="24"/>
        </w:rPr>
        <w:tab/>
      </w:r>
      <w:r>
        <w:rPr>
          <w:rFonts w:ascii="Calibri" w:hAnsi="Calibri" w:cs="Calibri"/>
          <w:szCs w:val="24"/>
        </w:rPr>
        <w:t xml:space="preserve"> E</w:t>
      </w:r>
      <w:r w:rsidRPr="00F0582C">
        <w:rPr>
          <w:rFonts w:ascii="Calibri" w:hAnsi="Calibri" w:cs="Calibri"/>
          <w:szCs w:val="24"/>
        </w:rPr>
        <w:t>SFA to confirm allocations to academies</w:t>
      </w:r>
      <w:r w:rsidR="00C76ADB">
        <w:rPr>
          <w:rFonts w:ascii="Calibri" w:hAnsi="Calibri" w:cs="Calibri"/>
          <w:szCs w:val="24"/>
        </w:rPr>
        <w:t>.</w:t>
      </w:r>
      <w:r w:rsidRPr="00F0582C">
        <w:rPr>
          <w:rFonts w:ascii="Calibri" w:hAnsi="Calibri" w:cs="Calibri"/>
          <w:szCs w:val="24"/>
        </w:rPr>
        <w:tab/>
      </w:r>
    </w:p>
    <w:p w14:paraId="76224891" w14:textId="77777777" w:rsidR="001B02BF" w:rsidRDefault="001B02BF" w:rsidP="001B02BF">
      <w:pPr>
        <w:jc w:val="center"/>
        <w:rPr>
          <w:rFonts w:ascii="Calibri" w:hAnsi="Calibri" w:cs="Calibri"/>
          <w:szCs w:val="24"/>
        </w:rPr>
      </w:pPr>
    </w:p>
    <w:p w14:paraId="20739AA5" w14:textId="56F62576" w:rsidR="000A716E" w:rsidRPr="00BA0FE8" w:rsidRDefault="000A716E" w:rsidP="001B02BF">
      <w:pPr>
        <w:jc w:val="center"/>
        <w:rPr>
          <w:rFonts w:ascii="Calibri" w:eastAsia="Calibri" w:hAnsi="Calibri" w:cs="Calibri"/>
          <w:b/>
          <w:color w:val="000000"/>
          <w:sz w:val="36"/>
          <w:szCs w:val="36"/>
          <w:lang w:eastAsia="en-GB"/>
        </w:rPr>
      </w:pPr>
      <w:r>
        <w:rPr>
          <w:rFonts w:ascii="Calibri" w:eastAsia="Calibri" w:hAnsi="Calibri" w:cs="Calibri"/>
          <w:b/>
          <w:color w:val="000000"/>
          <w:sz w:val="36"/>
          <w:szCs w:val="36"/>
          <w:lang w:eastAsia="en-GB"/>
        </w:rPr>
        <w:t xml:space="preserve"> Confidential </w:t>
      </w:r>
      <w:r w:rsidRPr="00BA0FE8">
        <w:rPr>
          <w:rFonts w:ascii="Calibri" w:eastAsia="Calibri" w:hAnsi="Calibri" w:cs="Calibri"/>
          <w:b/>
          <w:color w:val="000000"/>
          <w:sz w:val="36"/>
          <w:szCs w:val="36"/>
          <w:lang w:eastAsia="en-GB"/>
        </w:rPr>
        <w:t>Actions Arising</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0"/>
        <w:gridCol w:w="1560"/>
      </w:tblGrid>
      <w:tr w:rsidR="000A716E" w:rsidRPr="00BA0FE8" w14:paraId="7F6A4845" w14:textId="77777777" w:rsidTr="006A624B">
        <w:trPr>
          <w:trHeight w:val="234"/>
          <w:jc w:val="center"/>
        </w:trPr>
        <w:tc>
          <w:tcPr>
            <w:tcW w:w="7800" w:type="dxa"/>
            <w:shd w:val="clear" w:color="auto" w:fill="auto"/>
          </w:tcPr>
          <w:p w14:paraId="0E007467" w14:textId="77777777" w:rsidR="000A716E" w:rsidRPr="00BA0FE8" w:rsidRDefault="000A716E" w:rsidP="006A624B">
            <w:pPr>
              <w:spacing w:after="0"/>
              <w:jc w:val="both"/>
              <w:rPr>
                <w:rFonts w:ascii="Calibri" w:eastAsia="Calibri" w:hAnsi="Calibri" w:cs="Calibri"/>
                <w:lang w:eastAsia="en-GB"/>
              </w:rPr>
            </w:pPr>
            <w:r w:rsidRPr="00BA0FE8">
              <w:rPr>
                <w:rFonts w:ascii="Calibri" w:eastAsia="Calibri" w:hAnsi="Calibri" w:cs="Calibri"/>
                <w:lang w:eastAsia="en-GB"/>
              </w:rPr>
              <w:t>Action</w:t>
            </w:r>
          </w:p>
        </w:tc>
        <w:tc>
          <w:tcPr>
            <w:tcW w:w="1560" w:type="dxa"/>
            <w:shd w:val="clear" w:color="auto" w:fill="auto"/>
          </w:tcPr>
          <w:p w14:paraId="427E3955" w14:textId="77777777" w:rsidR="000A716E" w:rsidRPr="00BA0FE8" w:rsidRDefault="000A716E" w:rsidP="006A624B">
            <w:pPr>
              <w:spacing w:after="0"/>
              <w:jc w:val="both"/>
              <w:rPr>
                <w:rFonts w:ascii="Calibri" w:eastAsia="Calibri" w:hAnsi="Calibri" w:cs="Calibri"/>
                <w:lang w:eastAsia="en-GB"/>
              </w:rPr>
            </w:pPr>
            <w:r w:rsidRPr="00BA0FE8">
              <w:rPr>
                <w:rFonts w:ascii="Calibri" w:eastAsia="Calibri" w:hAnsi="Calibri" w:cs="Calibri"/>
                <w:lang w:eastAsia="en-GB"/>
              </w:rPr>
              <w:t>Complete by</w:t>
            </w:r>
          </w:p>
        </w:tc>
      </w:tr>
      <w:tr w:rsidR="000A716E" w:rsidRPr="00BA0FE8" w14:paraId="4F5A0CDE" w14:textId="77777777" w:rsidTr="006A624B">
        <w:trPr>
          <w:trHeight w:val="234"/>
          <w:jc w:val="center"/>
        </w:trPr>
        <w:tc>
          <w:tcPr>
            <w:tcW w:w="7800" w:type="dxa"/>
            <w:shd w:val="clear" w:color="auto" w:fill="auto"/>
          </w:tcPr>
          <w:p w14:paraId="2B636977" w14:textId="26D304F4" w:rsidR="000A716E" w:rsidRPr="000A716E" w:rsidRDefault="000A716E" w:rsidP="006A624B">
            <w:r w:rsidRPr="00BA0FE8">
              <w:rPr>
                <w:rFonts w:asciiTheme="majorHAnsi" w:hAnsiTheme="majorHAnsi" w:cstheme="majorHAnsi"/>
                <w:b/>
                <w:bCs/>
              </w:rPr>
              <w:t>Action -</w:t>
            </w:r>
            <w:r>
              <w:t xml:space="preserve"> May 2019 Schools in Financial Difficulty funding policy – the wording of the examples to be reviewed at the next February 2020 meeting to ensure a clear direction. MB to add to the agenda</w:t>
            </w:r>
            <w:r w:rsidR="001B02BF">
              <w:t xml:space="preserve">, all members to review in advance and prepare suggested wording. </w:t>
            </w:r>
          </w:p>
        </w:tc>
        <w:tc>
          <w:tcPr>
            <w:tcW w:w="1560" w:type="dxa"/>
            <w:shd w:val="clear" w:color="auto" w:fill="auto"/>
          </w:tcPr>
          <w:p w14:paraId="13D06D3A" w14:textId="77777777" w:rsidR="000A716E" w:rsidRDefault="000A716E" w:rsidP="006A624B">
            <w:pPr>
              <w:spacing w:after="0"/>
              <w:jc w:val="both"/>
              <w:rPr>
                <w:rFonts w:ascii="Calibri" w:eastAsia="Calibri" w:hAnsi="Calibri" w:cs="Calibri"/>
                <w:lang w:eastAsia="en-GB"/>
              </w:rPr>
            </w:pPr>
            <w:r>
              <w:rPr>
                <w:rFonts w:ascii="Calibri" w:eastAsia="Calibri" w:hAnsi="Calibri" w:cs="Calibri"/>
                <w:lang w:eastAsia="en-GB"/>
              </w:rPr>
              <w:t>MB</w:t>
            </w:r>
          </w:p>
          <w:p w14:paraId="1FD1D160" w14:textId="4F87CC03" w:rsidR="001B02BF" w:rsidRPr="00BA0FE8" w:rsidRDefault="001B02BF" w:rsidP="006A624B">
            <w:pPr>
              <w:spacing w:after="0"/>
              <w:jc w:val="both"/>
              <w:rPr>
                <w:rFonts w:ascii="Calibri" w:eastAsia="Calibri" w:hAnsi="Calibri" w:cs="Calibri"/>
                <w:lang w:eastAsia="en-GB"/>
              </w:rPr>
            </w:pPr>
            <w:r>
              <w:rPr>
                <w:rFonts w:ascii="Calibri" w:eastAsia="Calibri" w:hAnsi="Calibri" w:cs="Calibri"/>
                <w:lang w:eastAsia="en-GB"/>
              </w:rPr>
              <w:t>ALL</w:t>
            </w:r>
          </w:p>
        </w:tc>
      </w:tr>
      <w:tr w:rsidR="000A716E" w:rsidRPr="00BA0FE8" w14:paraId="5397661C" w14:textId="77777777" w:rsidTr="006A624B">
        <w:trPr>
          <w:trHeight w:val="234"/>
          <w:jc w:val="center"/>
        </w:trPr>
        <w:tc>
          <w:tcPr>
            <w:tcW w:w="7800" w:type="dxa"/>
            <w:shd w:val="clear" w:color="auto" w:fill="auto"/>
          </w:tcPr>
          <w:p w14:paraId="4CAC74F1" w14:textId="4096ED69" w:rsidR="000A716E" w:rsidRPr="00BA0FE8" w:rsidRDefault="000A716E" w:rsidP="006A624B">
            <w:pPr>
              <w:rPr>
                <w:rFonts w:ascii="Calibri" w:eastAsia="Calibri" w:hAnsi="Calibri" w:cs="Calibri"/>
                <w:lang w:eastAsia="en-GB"/>
              </w:rPr>
            </w:pPr>
            <w:r w:rsidRPr="000A716E">
              <w:rPr>
                <w:rFonts w:ascii="Calibri" w:eastAsia="Calibri" w:hAnsi="Calibri" w:cs="Calibri"/>
                <w:lang w:eastAsia="en-GB"/>
              </w:rPr>
              <w:t xml:space="preserve">Action – MB to update the schools in Financial difficulty funding request form.  </w:t>
            </w:r>
          </w:p>
        </w:tc>
        <w:tc>
          <w:tcPr>
            <w:tcW w:w="1560" w:type="dxa"/>
            <w:shd w:val="clear" w:color="auto" w:fill="auto"/>
          </w:tcPr>
          <w:p w14:paraId="0F0F28A8" w14:textId="272F021C" w:rsidR="000A716E" w:rsidRPr="00BA0FE8" w:rsidRDefault="000A716E" w:rsidP="006A624B">
            <w:pPr>
              <w:spacing w:after="0"/>
              <w:jc w:val="both"/>
              <w:rPr>
                <w:rFonts w:ascii="Calibri" w:eastAsia="Calibri" w:hAnsi="Calibri" w:cs="Calibri"/>
                <w:lang w:eastAsia="en-GB"/>
              </w:rPr>
            </w:pPr>
            <w:r>
              <w:rPr>
                <w:rFonts w:ascii="Calibri" w:eastAsia="Calibri" w:hAnsi="Calibri" w:cs="Calibri"/>
                <w:lang w:eastAsia="en-GB"/>
              </w:rPr>
              <w:t>MB</w:t>
            </w:r>
          </w:p>
        </w:tc>
      </w:tr>
      <w:tr w:rsidR="000A716E" w:rsidRPr="00BA0FE8" w14:paraId="1363CFBB" w14:textId="77777777" w:rsidTr="006A624B">
        <w:trPr>
          <w:trHeight w:val="234"/>
          <w:jc w:val="center"/>
        </w:trPr>
        <w:tc>
          <w:tcPr>
            <w:tcW w:w="7800" w:type="dxa"/>
            <w:shd w:val="clear" w:color="auto" w:fill="auto"/>
          </w:tcPr>
          <w:p w14:paraId="72351909" w14:textId="7A34E2E3" w:rsidR="000A716E" w:rsidRPr="00BA0FE8" w:rsidRDefault="000A716E" w:rsidP="006A624B">
            <w:pPr>
              <w:rPr>
                <w:rFonts w:ascii="Calibri" w:eastAsia="Calibri" w:hAnsi="Calibri" w:cs="Calibri"/>
                <w:lang w:eastAsia="en-GB"/>
              </w:rPr>
            </w:pPr>
            <w:r w:rsidRPr="000A716E">
              <w:rPr>
                <w:rFonts w:ascii="Calibri" w:eastAsia="Calibri" w:hAnsi="Calibri" w:cs="Calibri"/>
                <w:lang w:eastAsia="en-GB"/>
              </w:rPr>
              <w:t>Action - MB to write to the school with the reasons for the school forums decisions.</w:t>
            </w:r>
          </w:p>
        </w:tc>
        <w:tc>
          <w:tcPr>
            <w:tcW w:w="1560" w:type="dxa"/>
            <w:shd w:val="clear" w:color="auto" w:fill="auto"/>
          </w:tcPr>
          <w:p w14:paraId="7A0E5871" w14:textId="0E6103D8" w:rsidR="000A716E" w:rsidRPr="00BA0FE8" w:rsidRDefault="000A716E" w:rsidP="006A624B">
            <w:pPr>
              <w:spacing w:after="0"/>
              <w:jc w:val="both"/>
              <w:rPr>
                <w:rFonts w:ascii="Calibri" w:eastAsia="Calibri" w:hAnsi="Calibri" w:cs="Calibri"/>
                <w:lang w:eastAsia="en-GB"/>
              </w:rPr>
            </w:pPr>
            <w:r>
              <w:rPr>
                <w:rFonts w:ascii="Calibri" w:eastAsia="Calibri" w:hAnsi="Calibri" w:cs="Calibri"/>
                <w:lang w:eastAsia="en-GB"/>
              </w:rPr>
              <w:t>MB</w:t>
            </w:r>
          </w:p>
        </w:tc>
      </w:tr>
    </w:tbl>
    <w:p w14:paraId="5C1E2BBB" w14:textId="5C89E5A9" w:rsidR="007B1A45" w:rsidRDefault="007B1A45"/>
    <w:sectPr w:rsidR="007B1A4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2768" w14:textId="77777777" w:rsidR="006A624B" w:rsidRDefault="006A624B" w:rsidP="00BA0FE8">
      <w:pPr>
        <w:spacing w:after="0" w:line="240" w:lineRule="auto"/>
      </w:pPr>
      <w:r>
        <w:separator/>
      </w:r>
    </w:p>
  </w:endnote>
  <w:endnote w:type="continuationSeparator" w:id="0">
    <w:p w14:paraId="33F16612" w14:textId="77777777" w:rsidR="006A624B" w:rsidRDefault="006A624B" w:rsidP="00BA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6862" w14:textId="77777777" w:rsidR="006A624B" w:rsidRDefault="006A6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708136"/>
      <w:docPartObj>
        <w:docPartGallery w:val="Page Numbers (Bottom of Page)"/>
        <w:docPartUnique/>
      </w:docPartObj>
    </w:sdtPr>
    <w:sdtEndPr>
      <w:rPr>
        <w:color w:val="7F7F7F" w:themeColor="background1" w:themeShade="7F"/>
        <w:spacing w:val="60"/>
      </w:rPr>
    </w:sdtEndPr>
    <w:sdtContent>
      <w:p w14:paraId="71909F61" w14:textId="631C4F1B" w:rsidR="006A624B" w:rsidRDefault="006A62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10BB" w:rsidRPr="004510BB">
          <w:rPr>
            <w:b/>
            <w:bCs/>
            <w:noProof/>
          </w:rPr>
          <w:t>2</w:t>
        </w:r>
        <w:r>
          <w:rPr>
            <w:b/>
            <w:bCs/>
            <w:noProof/>
          </w:rPr>
          <w:fldChar w:fldCharType="end"/>
        </w:r>
        <w:r>
          <w:rPr>
            <w:b/>
            <w:bCs/>
          </w:rPr>
          <w:t xml:space="preserve"> | </w:t>
        </w:r>
        <w:r>
          <w:rPr>
            <w:color w:val="7F7F7F" w:themeColor="background1" w:themeShade="7F"/>
            <w:spacing w:val="60"/>
          </w:rPr>
          <w:t>Page</w:t>
        </w:r>
      </w:p>
    </w:sdtContent>
  </w:sdt>
  <w:p w14:paraId="1F900DBA" w14:textId="77777777" w:rsidR="006A624B" w:rsidRDefault="006A6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DEA8" w14:textId="77777777" w:rsidR="006A624B" w:rsidRDefault="006A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B46C" w14:textId="77777777" w:rsidR="006A624B" w:rsidRDefault="006A624B" w:rsidP="00BA0FE8">
      <w:pPr>
        <w:spacing w:after="0" w:line="240" w:lineRule="auto"/>
      </w:pPr>
      <w:r>
        <w:separator/>
      </w:r>
    </w:p>
  </w:footnote>
  <w:footnote w:type="continuationSeparator" w:id="0">
    <w:p w14:paraId="286FDCEC" w14:textId="77777777" w:rsidR="006A624B" w:rsidRDefault="006A624B" w:rsidP="00BA0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4993" w14:textId="77777777" w:rsidR="006A624B" w:rsidRDefault="006A6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33CF" w14:textId="45013451" w:rsidR="006A624B" w:rsidRDefault="006A624B" w:rsidP="00BA0FE8">
    <w:pPr>
      <w:pBdr>
        <w:top w:val="single" w:sz="4" w:space="1" w:color="auto"/>
        <w:left w:val="single" w:sz="4" w:space="4" w:color="auto"/>
        <w:bottom w:val="single" w:sz="4" w:space="1" w:color="auto"/>
        <w:right w:val="single" w:sz="4" w:space="4" w:color="auto"/>
      </w:pBdr>
      <w:jc w:val="center"/>
      <w:rPr>
        <w:rStyle w:val="h2"/>
      </w:rPr>
    </w:pPr>
    <w:r>
      <w:rPr>
        <w:rStyle w:val="h2"/>
      </w:rPr>
      <w:t xml:space="preserve">Minutes of Schools’ Forum Meeting </w:t>
    </w:r>
  </w:p>
  <w:p w14:paraId="5A40D44D" w14:textId="2A53FDE9" w:rsidR="006A624B" w:rsidRDefault="006A624B" w:rsidP="00BA0FE8">
    <w:pPr>
      <w:pBdr>
        <w:top w:val="single" w:sz="4" w:space="1" w:color="auto"/>
        <w:left w:val="single" w:sz="4" w:space="4" w:color="auto"/>
        <w:bottom w:val="single" w:sz="4" w:space="1" w:color="auto"/>
        <w:right w:val="single" w:sz="4" w:space="4" w:color="auto"/>
      </w:pBdr>
      <w:jc w:val="center"/>
      <w:rPr>
        <w:rStyle w:val="h2"/>
      </w:rPr>
    </w:pPr>
    <w:r>
      <w:rPr>
        <w:rStyle w:val="h2"/>
      </w:rPr>
      <w:t>15</w:t>
    </w:r>
    <w:r w:rsidRPr="00BA0FE8">
      <w:rPr>
        <w:rStyle w:val="h2"/>
        <w:vertAlign w:val="superscript"/>
      </w:rPr>
      <w:t>th</w:t>
    </w:r>
    <w:r>
      <w:rPr>
        <w:rStyle w:val="h2"/>
      </w:rPr>
      <w:t xml:space="preserve"> January 2020</w:t>
    </w:r>
  </w:p>
  <w:p w14:paraId="65B02572" w14:textId="77777777" w:rsidR="006A624B" w:rsidRDefault="006A6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36FC" w14:textId="77777777" w:rsidR="006A624B" w:rsidRDefault="006A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86"/>
    <w:multiLevelType w:val="hybridMultilevel"/>
    <w:tmpl w:val="C59EAF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7E78CB"/>
    <w:multiLevelType w:val="hybridMultilevel"/>
    <w:tmpl w:val="B22E104A"/>
    <w:lvl w:ilvl="0" w:tplc="E71229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687B07"/>
    <w:multiLevelType w:val="multilevel"/>
    <w:tmpl w:val="6A9C78D0"/>
    <w:lvl w:ilvl="0">
      <w:start w:val="4"/>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7905601"/>
    <w:multiLevelType w:val="multilevel"/>
    <w:tmpl w:val="79DA32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90AD3"/>
    <w:multiLevelType w:val="hybridMultilevel"/>
    <w:tmpl w:val="B694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03A68"/>
    <w:multiLevelType w:val="hybridMultilevel"/>
    <w:tmpl w:val="B1E8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44AF5"/>
    <w:multiLevelType w:val="multilevel"/>
    <w:tmpl w:val="C0FE5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E703D1"/>
    <w:multiLevelType w:val="hybridMultilevel"/>
    <w:tmpl w:val="47F6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136D7"/>
    <w:multiLevelType w:val="hybridMultilevel"/>
    <w:tmpl w:val="320A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61529"/>
    <w:multiLevelType w:val="multilevel"/>
    <w:tmpl w:val="209A1BC0"/>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rPr>
    </w:lvl>
    <w:lvl w:ilvl="2">
      <w:start w:val="1"/>
      <w:numFmt w:val="bullet"/>
      <w:lvlText w:val=""/>
      <w:lvlJc w:val="left"/>
      <w:pPr>
        <w:tabs>
          <w:tab w:val="num" w:pos="1429"/>
        </w:tabs>
        <w:ind w:left="1429" w:hanging="720"/>
      </w:pPr>
      <w:rPr>
        <w:rFonts w:ascii="Symbol" w:hAnsi="Symbol"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0" w15:restartNumberingAfterBreak="0">
    <w:nsid w:val="20F176F9"/>
    <w:multiLevelType w:val="hybridMultilevel"/>
    <w:tmpl w:val="064860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2D33E7"/>
    <w:multiLevelType w:val="hybridMultilevel"/>
    <w:tmpl w:val="C8781F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24FC02BE"/>
    <w:multiLevelType w:val="hybridMultilevel"/>
    <w:tmpl w:val="BC6CF2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B1F7478"/>
    <w:multiLevelType w:val="hybridMultilevel"/>
    <w:tmpl w:val="06D67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E32959"/>
    <w:multiLevelType w:val="hybridMultilevel"/>
    <w:tmpl w:val="EBEC618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D712F"/>
    <w:multiLevelType w:val="multilevel"/>
    <w:tmpl w:val="5A888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036D21"/>
    <w:multiLevelType w:val="hybridMultilevel"/>
    <w:tmpl w:val="CEF40E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8C6A58"/>
    <w:multiLevelType w:val="hybridMultilevel"/>
    <w:tmpl w:val="0726AD8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4409C"/>
    <w:multiLevelType w:val="hybridMultilevel"/>
    <w:tmpl w:val="C2801BD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39A475D5"/>
    <w:multiLevelType w:val="hybridMultilevel"/>
    <w:tmpl w:val="99B66FB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492DEB"/>
    <w:multiLevelType w:val="multilevel"/>
    <w:tmpl w:val="189210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1003C"/>
    <w:multiLevelType w:val="hybridMultilevel"/>
    <w:tmpl w:val="693ECF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2761D"/>
    <w:multiLevelType w:val="hybridMultilevel"/>
    <w:tmpl w:val="0F1CE27A"/>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031D44"/>
    <w:multiLevelType w:val="hybridMultilevel"/>
    <w:tmpl w:val="B2A6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C690C"/>
    <w:multiLevelType w:val="multilevel"/>
    <w:tmpl w:val="9BACA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8F1780"/>
    <w:multiLevelType w:val="hybridMultilevel"/>
    <w:tmpl w:val="79981766"/>
    <w:lvl w:ilvl="0" w:tplc="04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EE18CC"/>
    <w:multiLevelType w:val="hybridMultilevel"/>
    <w:tmpl w:val="02302B7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15:restartNumberingAfterBreak="0">
    <w:nsid w:val="54837DC5"/>
    <w:multiLevelType w:val="hybridMultilevel"/>
    <w:tmpl w:val="A5C06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8968E2"/>
    <w:multiLevelType w:val="hybridMultilevel"/>
    <w:tmpl w:val="C83A0E8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5D704CEB"/>
    <w:multiLevelType w:val="hybridMultilevel"/>
    <w:tmpl w:val="10D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47297"/>
    <w:multiLevelType w:val="multilevel"/>
    <w:tmpl w:val="AA40F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3673E8"/>
    <w:multiLevelType w:val="hybridMultilevel"/>
    <w:tmpl w:val="9E20D3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252738"/>
    <w:multiLevelType w:val="multilevel"/>
    <w:tmpl w:val="2B500C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36564D"/>
    <w:multiLevelType w:val="multilevel"/>
    <w:tmpl w:val="E0D26118"/>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2F27FBB"/>
    <w:multiLevelType w:val="hybridMultilevel"/>
    <w:tmpl w:val="E04C7D6A"/>
    <w:lvl w:ilvl="0" w:tplc="08090001">
      <w:start w:val="1"/>
      <w:numFmt w:val="bullet"/>
      <w:lvlText w:val=""/>
      <w:lvlJc w:val="left"/>
      <w:pPr>
        <w:ind w:left="1503" w:hanging="360"/>
      </w:pPr>
      <w:rPr>
        <w:rFonts w:ascii="Symbol" w:hAnsi="Symbol" w:hint="default"/>
      </w:rPr>
    </w:lvl>
    <w:lvl w:ilvl="1" w:tplc="08090003">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36" w15:restartNumberingAfterBreak="0">
    <w:nsid w:val="74BE722B"/>
    <w:multiLevelType w:val="hybridMultilevel"/>
    <w:tmpl w:val="68A2853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7126A3"/>
    <w:multiLevelType w:val="hybridMultilevel"/>
    <w:tmpl w:val="D7C4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10786"/>
    <w:multiLevelType w:val="hybridMultilevel"/>
    <w:tmpl w:val="A6F4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26737"/>
    <w:multiLevelType w:val="multilevel"/>
    <w:tmpl w:val="F2BA506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8"/>
  </w:num>
  <w:num w:numId="2">
    <w:abstractNumId w:val="38"/>
  </w:num>
  <w:num w:numId="3">
    <w:abstractNumId w:val="9"/>
  </w:num>
  <w:num w:numId="4">
    <w:abstractNumId w:val="33"/>
  </w:num>
  <w:num w:numId="5">
    <w:abstractNumId w:val="34"/>
  </w:num>
  <w:num w:numId="6">
    <w:abstractNumId w:val="14"/>
  </w:num>
  <w:num w:numId="7">
    <w:abstractNumId w:val="35"/>
  </w:num>
  <w:num w:numId="8">
    <w:abstractNumId w:val="25"/>
  </w:num>
  <w:num w:numId="9">
    <w:abstractNumId w:val="13"/>
  </w:num>
  <w:num w:numId="10">
    <w:abstractNumId w:val="40"/>
  </w:num>
  <w:num w:numId="11">
    <w:abstractNumId w:val="37"/>
  </w:num>
  <w:num w:numId="12">
    <w:abstractNumId w:val="0"/>
  </w:num>
  <w:num w:numId="13">
    <w:abstractNumId w:val="15"/>
  </w:num>
  <w:num w:numId="14">
    <w:abstractNumId w:val="17"/>
  </w:num>
  <w:num w:numId="15">
    <w:abstractNumId w:val="4"/>
  </w:num>
  <w:num w:numId="16">
    <w:abstractNumId w:val="6"/>
  </w:num>
  <w:num w:numId="17">
    <w:abstractNumId w:val="1"/>
  </w:num>
  <w:num w:numId="18">
    <w:abstractNumId w:val="3"/>
  </w:num>
  <w:num w:numId="19">
    <w:abstractNumId w:val="19"/>
  </w:num>
  <w:num w:numId="20">
    <w:abstractNumId w:val="21"/>
  </w:num>
  <w:num w:numId="21">
    <w:abstractNumId w:val="18"/>
  </w:num>
  <w:num w:numId="22">
    <w:abstractNumId w:val="29"/>
  </w:num>
  <w:num w:numId="23">
    <w:abstractNumId w:val="27"/>
  </w:num>
  <w:num w:numId="24">
    <w:abstractNumId w:val="23"/>
  </w:num>
  <w:num w:numId="25">
    <w:abstractNumId w:val="26"/>
  </w:num>
  <w:num w:numId="26">
    <w:abstractNumId w:val="32"/>
  </w:num>
  <w:num w:numId="27">
    <w:abstractNumId w:val="11"/>
  </w:num>
  <w:num w:numId="28">
    <w:abstractNumId w:val="8"/>
  </w:num>
  <w:num w:numId="29">
    <w:abstractNumId w:val="5"/>
  </w:num>
  <w:num w:numId="30">
    <w:abstractNumId w:val="39"/>
  </w:num>
  <w:num w:numId="31">
    <w:abstractNumId w:val="20"/>
  </w:num>
  <w:num w:numId="32">
    <w:abstractNumId w:val="2"/>
  </w:num>
  <w:num w:numId="33">
    <w:abstractNumId w:val="16"/>
  </w:num>
  <w:num w:numId="34">
    <w:abstractNumId w:val="22"/>
  </w:num>
  <w:num w:numId="35">
    <w:abstractNumId w:val="28"/>
  </w:num>
  <w:num w:numId="36">
    <w:abstractNumId w:val="31"/>
  </w:num>
  <w:num w:numId="37">
    <w:abstractNumId w:val="36"/>
  </w:num>
  <w:num w:numId="38">
    <w:abstractNumId w:val="30"/>
  </w:num>
  <w:num w:numId="39">
    <w:abstractNumId w:val="7"/>
  </w:num>
  <w:num w:numId="40">
    <w:abstractNumId w:val="24"/>
  </w:num>
  <w:num w:numId="41">
    <w:abstractNumId w:val="1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TU3Mza1sDA0MDJQ0lEKTi0uzszPAykwrgUA83FLtCwAAAA="/>
  </w:docVars>
  <w:rsids>
    <w:rsidRoot w:val="007F2947"/>
    <w:rsid w:val="00042D86"/>
    <w:rsid w:val="000679E0"/>
    <w:rsid w:val="00084521"/>
    <w:rsid w:val="000A716E"/>
    <w:rsid w:val="001133D0"/>
    <w:rsid w:val="00171CD5"/>
    <w:rsid w:val="0019280E"/>
    <w:rsid w:val="001A16EC"/>
    <w:rsid w:val="001B02BF"/>
    <w:rsid w:val="00310875"/>
    <w:rsid w:val="00314611"/>
    <w:rsid w:val="003401C7"/>
    <w:rsid w:val="00373CD8"/>
    <w:rsid w:val="003B023A"/>
    <w:rsid w:val="004510BB"/>
    <w:rsid w:val="005377C4"/>
    <w:rsid w:val="0064719A"/>
    <w:rsid w:val="00661071"/>
    <w:rsid w:val="00694712"/>
    <w:rsid w:val="006A0FE9"/>
    <w:rsid w:val="006A624B"/>
    <w:rsid w:val="006B51EF"/>
    <w:rsid w:val="00726A86"/>
    <w:rsid w:val="007A2F75"/>
    <w:rsid w:val="007A5BBA"/>
    <w:rsid w:val="007B1A45"/>
    <w:rsid w:val="007B402A"/>
    <w:rsid w:val="007D0A00"/>
    <w:rsid w:val="007F2947"/>
    <w:rsid w:val="007F70C5"/>
    <w:rsid w:val="00825789"/>
    <w:rsid w:val="00916FB7"/>
    <w:rsid w:val="00961212"/>
    <w:rsid w:val="009A7448"/>
    <w:rsid w:val="009B679E"/>
    <w:rsid w:val="00A017D7"/>
    <w:rsid w:val="00A77148"/>
    <w:rsid w:val="00AC00EE"/>
    <w:rsid w:val="00AD2287"/>
    <w:rsid w:val="00B15051"/>
    <w:rsid w:val="00B967B6"/>
    <w:rsid w:val="00BA0FE8"/>
    <w:rsid w:val="00C065FE"/>
    <w:rsid w:val="00C739B9"/>
    <w:rsid w:val="00C76ADB"/>
    <w:rsid w:val="00CB3BCB"/>
    <w:rsid w:val="00D46878"/>
    <w:rsid w:val="00D600EF"/>
    <w:rsid w:val="00DE3DB6"/>
    <w:rsid w:val="00E60855"/>
    <w:rsid w:val="00EB7704"/>
    <w:rsid w:val="00F46375"/>
    <w:rsid w:val="00F6102A"/>
    <w:rsid w:val="00F67EC3"/>
    <w:rsid w:val="00FF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87D44"/>
  <w14:defaultImageDpi w14:val="330"/>
  <w15:docId w15:val="{DE8D7FD3-DEA9-4950-9972-A5BD169F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47"/>
  </w:style>
  <w:style w:type="paragraph" w:styleId="Heading1">
    <w:name w:val="heading 1"/>
    <w:basedOn w:val="Normal"/>
    <w:next w:val="Normal"/>
    <w:link w:val="Heading1Char"/>
    <w:uiPriority w:val="9"/>
    <w:qFormat/>
    <w:rsid w:val="007F2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9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29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29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29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29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29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29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F29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29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94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29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29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29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29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29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29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29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29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F29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F294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F29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29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F2947"/>
    <w:rPr>
      <w:b/>
      <w:bCs/>
    </w:rPr>
  </w:style>
  <w:style w:type="character" w:styleId="Emphasis">
    <w:name w:val="Emphasis"/>
    <w:basedOn w:val="DefaultParagraphFont"/>
    <w:uiPriority w:val="20"/>
    <w:qFormat/>
    <w:rsid w:val="007F2947"/>
    <w:rPr>
      <w:i/>
      <w:iCs/>
    </w:rPr>
  </w:style>
  <w:style w:type="paragraph" w:styleId="NoSpacing">
    <w:name w:val="No Spacing"/>
    <w:link w:val="NoSpacingChar"/>
    <w:uiPriority w:val="1"/>
    <w:qFormat/>
    <w:rsid w:val="007F2947"/>
    <w:pPr>
      <w:spacing w:after="0" w:line="240" w:lineRule="auto"/>
    </w:pPr>
  </w:style>
  <w:style w:type="character" w:customStyle="1" w:styleId="NoSpacingChar">
    <w:name w:val="No Spacing Char"/>
    <w:basedOn w:val="DefaultParagraphFont"/>
    <w:link w:val="NoSpacing"/>
    <w:uiPriority w:val="1"/>
    <w:rsid w:val="007F2947"/>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7F2947"/>
    <w:pPr>
      <w:ind w:left="720"/>
      <w:contextualSpacing/>
    </w:pPr>
  </w:style>
  <w:style w:type="paragraph" w:styleId="Quote">
    <w:name w:val="Quote"/>
    <w:basedOn w:val="Normal"/>
    <w:next w:val="Normal"/>
    <w:link w:val="QuoteChar"/>
    <w:uiPriority w:val="29"/>
    <w:qFormat/>
    <w:rsid w:val="007F2947"/>
    <w:rPr>
      <w:i/>
      <w:iCs/>
      <w:color w:val="000000" w:themeColor="text1"/>
    </w:rPr>
  </w:style>
  <w:style w:type="character" w:customStyle="1" w:styleId="QuoteChar">
    <w:name w:val="Quote Char"/>
    <w:basedOn w:val="DefaultParagraphFont"/>
    <w:link w:val="Quote"/>
    <w:uiPriority w:val="29"/>
    <w:rsid w:val="007F2947"/>
    <w:rPr>
      <w:i/>
      <w:iCs/>
      <w:color w:val="000000" w:themeColor="text1"/>
    </w:rPr>
  </w:style>
  <w:style w:type="paragraph" w:styleId="IntenseQuote">
    <w:name w:val="Intense Quote"/>
    <w:basedOn w:val="Normal"/>
    <w:next w:val="Normal"/>
    <w:link w:val="IntenseQuoteChar"/>
    <w:uiPriority w:val="30"/>
    <w:qFormat/>
    <w:rsid w:val="007F29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2947"/>
    <w:rPr>
      <w:b/>
      <w:bCs/>
      <w:i/>
      <w:iCs/>
      <w:color w:val="4F81BD" w:themeColor="accent1"/>
    </w:rPr>
  </w:style>
  <w:style w:type="character" w:styleId="SubtleEmphasis">
    <w:name w:val="Subtle Emphasis"/>
    <w:basedOn w:val="DefaultParagraphFont"/>
    <w:uiPriority w:val="19"/>
    <w:qFormat/>
    <w:rsid w:val="007F2947"/>
    <w:rPr>
      <w:i/>
      <w:iCs/>
      <w:color w:val="808080" w:themeColor="text1" w:themeTint="7F"/>
    </w:rPr>
  </w:style>
  <w:style w:type="character" w:styleId="IntenseEmphasis">
    <w:name w:val="Intense Emphasis"/>
    <w:basedOn w:val="DefaultParagraphFont"/>
    <w:uiPriority w:val="21"/>
    <w:qFormat/>
    <w:rsid w:val="007F2947"/>
    <w:rPr>
      <w:b/>
      <w:bCs/>
      <w:i/>
      <w:iCs/>
      <w:color w:val="4F81BD" w:themeColor="accent1"/>
    </w:rPr>
  </w:style>
  <w:style w:type="character" w:styleId="SubtleReference">
    <w:name w:val="Subtle Reference"/>
    <w:basedOn w:val="DefaultParagraphFont"/>
    <w:uiPriority w:val="31"/>
    <w:qFormat/>
    <w:rsid w:val="007F2947"/>
    <w:rPr>
      <w:smallCaps/>
      <w:color w:val="C0504D" w:themeColor="accent2"/>
      <w:u w:val="single"/>
    </w:rPr>
  </w:style>
  <w:style w:type="character" w:styleId="IntenseReference">
    <w:name w:val="Intense Reference"/>
    <w:basedOn w:val="DefaultParagraphFont"/>
    <w:uiPriority w:val="32"/>
    <w:qFormat/>
    <w:rsid w:val="007F2947"/>
    <w:rPr>
      <w:b/>
      <w:bCs/>
      <w:smallCaps/>
      <w:color w:val="C0504D" w:themeColor="accent2"/>
      <w:spacing w:val="5"/>
      <w:u w:val="single"/>
    </w:rPr>
  </w:style>
  <w:style w:type="character" w:styleId="BookTitle">
    <w:name w:val="Book Title"/>
    <w:basedOn w:val="DefaultParagraphFont"/>
    <w:uiPriority w:val="33"/>
    <w:qFormat/>
    <w:rsid w:val="007F2947"/>
    <w:rPr>
      <w:b/>
      <w:bCs/>
      <w:smallCaps/>
      <w:spacing w:val="5"/>
    </w:rPr>
  </w:style>
  <w:style w:type="paragraph" w:styleId="TOCHeading">
    <w:name w:val="TOC Heading"/>
    <w:basedOn w:val="Heading1"/>
    <w:next w:val="Normal"/>
    <w:uiPriority w:val="39"/>
    <w:semiHidden/>
    <w:unhideWhenUsed/>
    <w:qFormat/>
    <w:rsid w:val="007F2947"/>
    <w:pPr>
      <w:outlineLvl w:val="9"/>
    </w:pPr>
  </w:style>
  <w:style w:type="paragraph" w:customStyle="1" w:styleId="PersonalName">
    <w:name w:val="Personal Name"/>
    <w:basedOn w:val="Title"/>
    <w:rsid w:val="007F2947"/>
    <w:rPr>
      <w:b/>
      <w:caps/>
      <w:color w:val="000000"/>
      <w:sz w:val="28"/>
      <w:szCs w:val="28"/>
    </w:rPr>
  </w:style>
  <w:style w:type="paragraph" w:customStyle="1" w:styleId="Overview">
    <w:name w:val="Overview"/>
    <w:basedOn w:val="Title"/>
    <w:next w:val="Normal"/>
    <w:qFormat/>
    <w:rsid w:val="007F2947"/>
    <w:rPr>
      <w:sz w:val="32"/>
    </w:rPr>
  </w:style>
  <w:style w:type="character" w:customStyle="1" w:styleId="question">
    <w:name w:val="question"/>
    <w:basedOn w:val="DefaultParagraphFont"/>
    <w:uiPriority w:val="1"/>
    <w:qFormat/>
    <w:rsid w:val="00661071"/>
    <w:rPr>
      <w:rFonts w:asciiTheme="minorHAnsi" w:hAnsiTheme="minorHAnsi"/>
      <w:b/>
      <w:bCs/>
      <w:caps/>
      <w:smallCaps w:val="0"/>
      <w:sz w:val="22"/>
      <w:szCs w:val="22"/>
    </w:rPr>
  </w:style>
  <w:style w:type="character" w:customStyle="1" w:styleId="h1">
    <w:name w:val="h1"/>
    <w:basedOn w:val="DefaultParagraphFont"/>
    <w:uiPriority w:val="1"/>
    <w:qFormat/>
    <w:rsid w:val="00A017D7"/>
    <w:rPr>
      <w:rFonts w:ascii="Arial" w:hAnsi="Arial"/>
      <w:b/>
      <w:sz w:val="40"/>
    </w:rPr>
  </w:style>
  <w:style w:type="character" w:customStyle="1" w:styleId="h2">
    <w:name w:val="h2"/>
    <w:basedOn w:val="h1"/>
    <w:uiPriority w:val="1"/>
    <w:qFormat/>
    <w:rsid w:val="00A017D7"/>
    <w:rPr>
      <w:rFonts w:ascii="Arial" w:hAnsi="Arial"/>
      <w:b/>
      <w:sz w:val="32"/>
    </w:rPr>
  </w:style>
  <w:style w:type="character" w:customStyle="1" w:styleId="h3">
    <w:name w:val="h3"/>
    <w:basedOn w:val="h1"/>
    <w:uiPriority w:val="1"/>
    <w:qFormat/>
    <w:rsid w:val="00A017D7"/>
    <w:rPr>
      <w:rFonts w:ascii="Arial" w:hAnsi="Arial"/>
      <w:b/>
      <w:sz w:val="28"/>
    </w:rPr>
  </w:style>
  <w:style w:type="character" w:customStyle="1" w:styleId="h4">
    <w:name w:val="h4"/>
    <w:basedOn w:val="h3"/>
    <w:uiPriority w:val="1"/>
    <w:qFormat/>
    <w:rsid w:val="00A017D7"/>
    <w:rPr>
      <w:rFonts w:ascii="Arial" w:hAnsi="Arial"/>
      <w:b/>
      <w:sz w:val="24"/>
    </w:rPr>
  </w:style>
  <w:style w:type="paragraph" w:styleId="Header">
    <w:name w:val="header"/>
    <w:basedOn w:val="Normal"/>
    <w:link w:val="HeaderChar"/>
    <w:uiPriority w:val="99"/>
    <w:unhideWhenUsed/>
    <w:rsid w:val="00BA0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FE8"/>
  </w:style>
  <w:style w:type="paragraph" w:styleId="Footer">
    <w:name w:val="footer"/>
    <w:basedOn w:val="Normal"/>
    <w:link w:val="FooterChar"/>
    <w:uiPriority w:val="99"/>
    <w:unhideWhenUsed/>
    <w:rsid w:val="00BA0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FE8"/>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BA0FE8"/>
  </w:style>
  <w:style w:type="table" w:styleId="TableGrid">
    <w:name w:val="Table Grid"/>
    <w:basedOn w:val="TableNormal"/>
    <w:uiPriority w:val="59"/>
    <w:rsid w:val="00BA0FE8"/>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uiPriority w:val="99"/>
    <w:qFormat/>
    <w:rsid w:val="0019280E"/>
    <w:pPr>
      <w:spacing w:before="60" w:after="60" w:line="240" w:lineRule="auto"/>
      <w:ind w:left="57" w:right="57"/>
      <w:jc w:val="center"/>
    </w:pPr>
    <w:rPr>
      <w:rFonts w:ascii="Arial" w:eastAsia="Times New Roman" w:hAnsi="Arial" w:cs="Times New Roman"/>
      <w:b/>
      <w:color w:val="0D0D0D" w:themeColor="text1" w:themeTint="F2"/>
      <w:sz w:val="24"/>
      <w:szCs w:val="24"/>
      <w:lang w:val="en-GB" w:eastAsia="en-GB"/>
    </w:rPr>
  </w:style>
  <w:style w:type="paragraph" w:customStyle="1" w:styleId="DfESOutNumbered">
    <w:name w:val="DfESOutNumbered"/>
    <w:basedOn w:val="Normal"/>
    <w:rsid w:val="0019280E"/>
    <w:pPr>
      <w:widowControl w:val="0"/>
      <w:numPr>
        <w:numId w:val="9"/>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19280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B02BF"/>
    <w:pPr>
      <w:spacing w:after="0" w:line="240" w:lineRule="auto"/>
      <w:ind w:left="720" w:hanging="720"/>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1B02BF"/>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26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Karnov Group</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Matonte</dc:creator>
  <cp:keywords/>
  <dc:description/>
  <cp:lastModifiedBy>beaney, maria</cp:lastModifiedBy>
  <cp:revision>3</cp:revision>
  <dcterms:created xsi:type="dcterms:W3CDTF">2020-02-14T15:00:00Z</dcterms:created>
  <dcterms:modified xsi:type="dcterms:W3CDTF">2020-02-14T15:04:00Z</dcterms:modified>
</cp:coreProperties>
</file>