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0D4D" w14:textId="77777777" w:rsidR="006F08A0" w:rsidRDefault="006F08A0" w:rsidP="006F08A0">
      <w:pPr>
        <w:pStyle w:val="BodyText"/>
        <w:ind w:left="127"/>
        <w:jc w:val="center"/>
        <w:rPr>
          <w:rFonts w:ascii="Times New Roman"/>
          <w:sz w:val="20"/>
        </w:rPr>
      </w:pPr>
      <w:r w:rsidRPr="00B45E4F">
        <w:rPr>
          <w:rFonts w:ascii="Times New Roman"/>
          <w:noProof/>
          <w:sz w:val="20"/>
          <w:lang w:bidi="ar-SA"/>
        </w:rPr>
        <w:drawing>
          <wp:inline distT="0" distB="0" distL="0" distR="0" wp14:anchorId="4A7B10DA" wp14:editId="6E425794">
            <wp:extent cx="6391275" cy="4993783"/>
            <wp:effectExtent l="0" t="0" r="0" b="0"/>
            <wp:docPr id="2" name="Picture 2" descr="Medway healthy workplaces cogs image" title="Medway Healthy Workplaces Cog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5970" cy="4997451"/>
                    </a:xfrm>
                    <a:prstGeom prst="rect">
                      <a:avLst/>
                    </a:prstGeom>
                    <a:noFill/>
                    <a:ln>
                      <a:noFill/>
                    </a:ln>
                  </pic:spPr>
                </pic:pic>
              </a:graphicData>
            </a:graphic>
          </wp:inline>
        </w:drawing>
      </w:r>
    </w:p>
    <w:p w14:paraId="7D2E18B0" w14:textId="77777777" w:rsidR="006F08A0" w:rsidRDefault="006F08A0" w:rsidP="006F08A0">
      <w:pPr>
        <w:pStyle w:val="BodyText"/>
        <w:spacing w:before="3"/>
        <w:rPr>
          <w:rFonts w:ascii="Times New Roman"/>
          <w:sz w:val="12"/>
        </w:rPr>
      </w:pPr>
    </w:p>
    <w:p w14:paraId="6C761058" w14:textId="77777777" w:rsidR="005C1254" w:rsidRDefault="006F08A0" w:rsidP="005C1254">
      <w:pPr>
        <w:spacing w:before="136"/>
        <w:ind w:left="2235"/>
        <w:rPr>
          <w:rFonts w:ascii="Gill Sans MT"/>
          <w:b/>
          <w:sz w:val="52"/>
        </w:rPr>
      </w:pPr>
      <w:r>
        <w:rPr>
          <w:rFonts w:ascii="Gill Sans MT"/>
          <w:b/>
          <w:color w:val="9B4C9A"/>
          <w:sz w:val="52"/>
        </w:rPr>
        <w:t>Move in a healthy</w:t>
      </w:r>
      <w:r>
        <w:rPr>
          <w:rFonts w:ascii="Gill Sans MT"/>
          <w:b/>
          <w:color w:val="9B4C9A"/>
          <w:spacing w:val="50"/>
          <w:sz w:val="52"/>
        </w:rPr>
        <w:t xml:space="preserve"> </w:t>
      </w:r>
      <w:proofErr w:type="gramStart"/>
      <w:r>
        <w:rPr>
          <w:rFonts w:ascii="Gill Sans MT"/>
          <w:b/>
          <w:color w:val="9B4C9A"/>
          <w:sz w:val="52"/>
        </w:rPr>
        <w:t>direction</w:t>
      </w:r>
      <w:proofErr w:type="gramEnd"/>
    </w:p>
    <w:p w14:paraId="085DFC47" w14:textId="25439CC5" w:rsidR="006F08A0" w:rsidRDefault="006F08A0" w:rsidP="005C1254">
      <w:pPr>
        <w:spacing w:before="136"/>
        <w:ind w:left="284"/>
        <w:jc w:val="center"/>
        <w:rPr>
          <w:rFonts w:ascii="AdLib"/>
          <w:color w:val="169492"/>
          <w:spacing w:val="-42"/>
          <w:sz w:val="52"/>
        </w:rPr>
      </w:pPr>
      <w:r>
        <w:rPr>
          <w:rFonts w:ascii="AdLib"/>
          <w:color w:val="169492"/>
          <w:spacing w:val="-21"/>
          <w:sz w:val="52"/>
        </w:rPr>
        <w:t>Women</w:t>
      </w:r>
      <w:r>
        <w:rPr>
          <w:rFonts w:ascii="AdLib"/>
          <w:color w:val="169492"/>
          <w:spacing w:val="-21"/>
          <w:sz w:val="52"/>
        </w:rPr>
        <w:t>’</w:t>
      </w:r>
      <w:r>
        <w:rPr>
          <w:rFonts w:ascii="AdLib"/>
          <w:color w:val="169492"/>
          <w:spacing w:val="-21"/>
          <w:sz w:val="52"/>
        </w:rPr>
        <w:t>s Health</w:t>
      </w:r>
      <w:r w:rsidRPr="00414274">
        <w:rPr>
          <w:rFonts w:ascii="AdLib"/>
          <w:color w:val="169492"/>
          <w:spacing w:val="-21"/>
          <w:sz w:val="52"/>
        </w:rPr>
        <w:t>:</w:t>
      </w:r>
      <w:r w:rsidR="005C1254" w:rsidRPr="00414274">
        <w:rPr>
          <w:rFonts w:ascii="AdLib"/>
          <w:color w:val="169492"/>
          <w:spacing w:val="-21"/>
          <w:sz w:val="52"/>
        </w:rPr>
        <w:t xml:space="preserve"> </w:t>
      </w:r>
      <w:r w:rsidRPr="00414274">
        <w:rPr>
          <w:rFonts w:ascii="AdLib"/>
          <w:color w:val="169492"/>
          <w:spacing w:val="-21"/>
          <w:sz w:val="52"/>
        </w:rPr>
        <w:t xml:space="preserve">An </w:t>
      </w:r>
      <w:r w:rsidRPr="00414274">
        <w:rPr>
          <w:rFonts w:ascii="AdLib"/>
          <w:color w:val="169492"/>
          <w:spacing w:val="-38"/>
          <w:sz w:val="52"/>
        </w:rPr>
        <w:t xml:space="preserve">Employer's </w:t>
      </w:r>
      <w:r w:rsidRPr="00414274">
        <w:rPr>
          <w:rFonts w:ascii="AdLib"/>
          <w:color w:val="169492"/>
          <w:spacing w:val="-145"/>
          <w:sz w:val="52"/>
        </w:rPr>
        <w:t xml:space="preserve">  </w:t>
      </w:r>
      <w:r w:rsidRPr="00414274">
        <w:rPr>
          <w:rFonts w:ascii="AdLib"/>
          <w:color w:val="169492"/>
          <w:spacing w:val="-42"/>
          <w:sz w:val="52"/>
        </w:rPr>
        <w:t>Guide</w:t>
      </w:r>
    </w:p>
    <w:p w14:paraId="2DE2099C" w14:textId="4C112FC4" w:rsidR="00022BBD" w:rsidRDefault="00022BBD" w:rsidP="005C1254">
      <w:pPr>
        <w:spacing w:before="136"/>
        <w:ind w:left="284"/>
        <w:jc w:val="center"/>
        <w:rPr>
          <w:rFonts w:ascii="AdLib"/>
          <w:color w:val="169492"/>
          <w:spacing w:val="-42"/>
          <w:sz w:val="52"/>
        </w:rPr>
      </w:pPr>
    </w:p>
    <w:p w14:paraId="4A6245BF" w14:textId="1340A1B3" w:rsidR="00022BBD" w:rsidRPr="00414274" w:rsidRDefault="00022BBD" w:rsidP="005C1254">
      <w:pPr>
        <w:spacing w:before="136"/>
        <w:ind w:left="284"/>
        <w:jc w:val="center"/>
        <w:rPr>
          <w:rFonts w:ascii="AdLib"/>
          <w:sz w:val="52"/>
        </w:rPr>
      </w:pPr>
      <w:r>
        <w:rPr>
          <w:rFonts w:ascii="AdLib"/>
          <w:noProof/>
          <w:sz w:val="52"/>
        </w:rPr>
        <w:drawing>
          <wp:inline distT="0" distB="0" distL="0" distR="0" wp14:anchorId="3187FEC9" wp14:editId="0F83C1A0">
            <wp:extent cx="5391150" cy="1254331"/>
            <wp:effectExtent l="0" t="0" r="0" b="3175"/>
            <wp:docPr id="5" name="Picture 5" descr="Medway Healthy Workplaces Logo and 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edway Healthy Workplaces Logo and Medway Council Logo"/>
                    <pic:cNvPicPr/>
                  </pic:nvPicPr>
                  <pic:blipFill>
                    <a:blip r:embed="rId8">
                      <a:extLst>
                        <a:ext uri="{28A0092B-C50C-407E-A947-70E740481C1C}">
                          <a14:useLocalDpi xmlns:a14="http://schemas.microsoft.com/office/drawing/2010/main" val="0"/>
                        </a:ext>
                      </a:extLst>
                    </a:blip>
                    <a:stretch>
                      <a:fillRect/>
                    </a:stretch>
                  </pic:blipFill>
                  <pic:spPr>
                    <a:xfrm>
                      <a:off x="0" y="0"/>
                      <a:ext cx="5441075" cy="1265947"/>
                    </a:xfrm>
                    <a:prstGeom prst="rect">
                      <a:avLst/>
                    </a:prstGeom>
                  </pic:spPr>
                </pic:pic>
              </a:graphicData>
            </a:graphic>
          </wp:inline>
        </w:drawing>
      </w:r>
    </w:p>
    <w:p w14:paraId="18A3F075" w14:textId="77777777" w:rsidR="006F08A0" w:rsidRDefault="006F08A0" w:rsidP="006F08A0">
      <w:pPr>
        <w:spacing w:before="111"/>
        <w:ind w:left="2162" w:right="2309"/>
        <w:jc w:val="center"/>
        <w:rPr>
          <w:color w:val="169492"/>
          <w:w w:val="110"/>
          <w:sz w:val="32"/>
          <w:szCs w:val="32"/>
        </w:rPr>
      </w:pPr>
    </w:p>
    <w:p w14:paraId="644C88FA" w14:textId="77777777" w:rsidR="006F08A0" w:rsidRDefault="006F08A0" w:rsidP="006F08A0">
      <w:pPr>
        <w:jc w:val="center"/>
        <w:rPr>
          <w:rFonts w:ascii="Bookman Old Style"/>
          <w:sz w:val="31"/>
        </w:rPr>
        <w:sectPr w:rsidR="006F08A0" w:rsidSect="00DD22DB">
          <w:headerReference w:type="even" r:id="rId9"/>
          <w:headerReference w:type="default" r:id="rId10"/>
          <w:footerReference w:type="even" r:id="rId11"/>
          <w:footerReference w:type="default" r:id="rId12"/>
          <w:headerReference w:type="first" r:id="rId13"/>
          <w:footerReference w:type="first" r:id="rId14"/>
          <w:pgSz w:w="11910" w:h="16840"/>
          <w:pgMar w:top="720" w:right="720" w:bottom="720" w:left="720" w:header="720" w:footer="720" w:gutter="0"/>
          <w:cols w:space="720"/>
          <w:docGrid w:linePitch="299"/>
        </w:sectPr>
      </w:pPr>
    </w:p>
    <w:p w14:paraId="672FBBCE" w14:textId="77777777" w:rsidR="006F08A0" w:rsidRDefault="006F08A0" w:rsidP="006F08A0">
      <w:pPr>
        <w:pStyle w:val="BodyText"/>
        <w:rPr>
          <w:rFonts w:ascii="Bookman Old Style"/>
          <w:sz w:val="19"/>
        </w:rPr>
      </w:pPr>
    </w:p>
    <w:p w14:paraId="2D44B7A3" w14:textId="77777777" w:rsidR="006F08A0" w:rsidRDefault="006F08A0" w:rsidP="006F08A0">
      <w:pPr>
        <w:spacing w:before="82" w:line="247" w:lineRule="auto"/>
        <w:ind w:left="567" w:right="2242"/>
        <w:rPr>
          <w:rFonts w:ascii="Arial" w:hAnsi="Arial" w:cs="Arial"/>
          <w:color w:val="231F20"/>
          <w:sz w:val="56"/>
        </w:rPr>
      </w:pPr>
    </w:p>
    <w:p w14:paraId="4045ADF9" w14:textId="77777777" w:rsidR="006F08A0" w:rsidRPr="00E20CD2" w:rsidRDefault="006F08A0" w:rsidP="006F08A0">
      <w:pPr>
        <w:spacing w:before="82" w:line="247" w:lineRule="auto"/>
        <w:ind w:left="567" w:right="2242"/>
        <w:rPr>
          <w:rFonts w:ascii="Arial" w:hAnsi="Arial" w:cs="Arial"/>
          <w:sz w:val="56"/>
        </w:rPr>
      </w:pPr>
      <w:r>
        <w:rPr>
          <w:rFonts w:ascii="Arial" w:hAnsi="Arial" w:cs="Arial"/>
          <w:color w:val="231F20"/>
          <w:sz w:val="56"/>
        </w:rPr>
        <w:t>Women’s Health</w:t>
      </w:r>
      <w:r w:rsidRPr="00E20CD2">
        <w:rPr>
          <w:rFonts w:ascii="Arial" w:hAnsi="Arial" w:cs="Arial"/>
          <w:color w:val="231F20"/>
          <w:sz w:val="56"/>
        </w:rPr>
        <w:t>: An Employer's Guide</w:t>
      </w:r>
    </w:p>
    <w:p w14:paraId="4C30076B" w14:textId="77777777" w:rsidR="006F08A0" w:rsidRDefault="006F08A0" w:rsidP="006F08A0">
      <w:pPr>
        <w:pStyle w:val="BodyText"/>
        <w:rPr>
          <w:sz w:val="20"/>
        </w:rPr>
      </w:pPr>
    </w:p>
    <w:p w14:paraId="6999652B" w14:textId="77777777" w:rsidR="006F08A0" w:rsidRDefault="006F08A0" w:rsidP="006F08A0">
      <w:pPr>
        <w:pStyle w:val="Heading3"/>
        <w:spacing w:before="98"/>
        <w:ind w:left="567"/>
        <w:rPr>
          <w:rFonts w:ascii="AdLib" w:hAnsi="AdLib"/>
          <w:b/>
          <w:color w:val="169492"/>
          <w:sz w:val="32"/>
          <w:szCs w:val="32"/>
        </w:rPr>
      </w:pPr>
      <w:r w:rsidRPr="00560D3E">
        <w:rPr>
          <w:rFonts w:ascii="AdLib" w:hAnsi="AdLib"/>
          <w:b/>
          <w:color w:val="169492"/>
          <w:sz w:val="32"/>
          <w:szCs w:val="32"/>
        </w:rPr>
        <w:t>Introduction</w:t>
      </w:r>
    </w:p>
    <w:p w14:paraId="3CCAFF88" w14:textId="77777777" w:rsidR="006F08A0" w:rsidRDefault="006F08A0" w:rsidP="006F08A0"/>
    <w:p w14:paraId="52B9E73C" w14:textId="77777777" w:rsidR="006F08A0" w:rsidRDefault="006F08A0" w:rsidP="006F08A0">
      <w:pPr>
        <w:pStyle w:val="BodyText"/>
        <w:spacing w:before="121" w:line="249" w:lineRule="auto"/>
        <w:ind w:left="567" w:right="47" w:firstLine="16"/>
        <w:rPr>
          <w:sz w:val="24"/>
          <w:szCs w:val="24"/>
        </w:rPr>
      </w:pPr>
      <w:r w:rsidRPr="004E0DF7">
        <w:rPr>
          <w:sz w:val="24"/>
        </w:rPr>
        <w:t xml:space="preserve">Almost </w:t>
      </w:r>
      <w:r>
        <w:rPr>
          <w:sz w:val="24"/>
        </w:rPr>
        <w:t>73% of women aged 16-64 in the UK are in employment.  The equalisation of the state pension age has seen the number of women aged over 60 in employment rise in the last few years.  In this guide, we will look at issues affecting women in the workplace, which in turn have an impact on their employers.  The guide will focus on the Menopause</w:t>
      </w:r>
      <w:proofErr w:type="gramStart"/>
      <w:r>
        <w:rPr>
          <w:sz w:val="24"/>
        </w:rPr>
        <w:t xml:space="preserve">. </w:t>
      </w:r>
      <w:proofErr w:type="gramEnd"/>
      <w:r>
        <w:rPr>
          <w:sz w:val="24"/>
        </w:rPr>
        <w:t xml:space="preserve">However, we have also included some brief information about reproductive health, cervical screening, female </w:t>
      </w:r>
      <w:proofErr w:type="gramStart"/>
      <w:r>
        <w:rPr>
          <w:sz w:val="24"/>
        </w:rPr>
        <w:t>cancers</w:t>
      </w:r>
      <w:proofErr w:type="gramEnd"/>
      <w:r>
        <w:rPr>
          <w:sz w:val="24"/>
        </w:rPr>
        <w:t xml:space="preserve"> and fertility.  How employers support women and their partners through these issues can make a big difference to staff engagement, </w:t>
      </w:r>
      <w:proofErr w:type="gramStart"/>
      <w:r>
        <w:rPr>
          <w:sz w:val="24"/>
        </w:rPr>
        <w:t>absence</w:t>
      </w:r>
      <w:proofErr w:type="gramEnd"/>
      <w:r>
        <w:rPr>
          <w:sz w:val="24"/>
        </w:rPr>
        <w:t xml:space="preserve"> and retention.   You will find further information through the useful </w:t>
      </w:r>
      <w:proofErr w:type="gramStart"/>
      <w:r>
        <w:rPr>
          <w:sz w:val="24"/>
        </w:rPr>
        <w:t>resources</w:t>
      </w:r>
      <w:proofErr w:type="gramEnd"/>
      <w:r>
        <w:rPr>
          <w:sz w:val="24"/>
        </w:rPr>
        <w:t xml:space="preserve"> links at the end of the booklet. Throughout this leaflet we will refer to women, however these conditions can also affect all individuals who were assigned female at birth.</w:t>
      </w:r>
    </w:p>
    <w:p w14:paraId="40E8D90A" w14:textId="77777777" w:rsidR="006F08A0" w:rsidRDefault="006F08A0" w:rsidP="006F08A0">
      <w:pPr>
        <w:pStyle w:val="BodyText"/>
        <w:spacing w:before="121" w:line="249" w:lineRule="auto"/>
        <w:ind w:left="567" w:right="47" w:firstLine="16"/>
        <w:rPr>
          <w:sz w:val="24"/>
          <w:szCs w:val="24"/>
        </w:rPr>
      </w:pPr>
    </w:p>
    <w:p w14:paraId="3FDB3238" w14:textId="77777777" w:rsidR="006F08A0" w:rsidRPr="00560D3E" w:rsidRDefault="006F08A0" w:rsidP="006F08A0">
      <w:pPr>
        <w:pStyle w:val="Heading3"/>
        <w:spacing w:before="98"/>
        <w:ind w:left="567"/>
        <w:rPr>
          <w:rFonts w:ascii="AdLib" w:hAnsi="AdLib"/>
          <w:b/>
          <w:color w:val="169492"/>
          <w:sz w:val="32"/>
          <w:szCs w:val="32"/>
        </w:rPr>
      </w:pPr>
      <w:r w:rsidRPr="00560D3E">
        <w:rPr>
          <w:rFonts w:ascii="AdLib" w:hAnsi="AdLib"/>
          <w:b/>
          <w:color w:val="169492"/>
          <w:sz w:val="32"/>
          <w:szCs w:val="32"/>
        </w:rPr>
        <w:t xml:space="preserve">What </w:t>
      </w:r>
      <w:r>
        <w:rPr>
          <w:rFonts w:ascii="AdLib" w:hAnsi="AdLib"/>
          <w:b/>
          <w:color w:val="169492"/>
          <w:sz w:val="32"/>
          <w:szCs w:val="32"/>
        </w:rPr>
        <w:t>is the Menopause</w:t>
      </w:r>
      <w:r w:rsidRPr="00560D3E">
        <w:rPr>
          <w:rFonts w:ascii="AdLib" w:hAnsi="AdLib"/>
          <w:b/>
          <w:color w:val="169492"/>
          <w:sz w:val="32"/>
          <w:szCs w:val="32"/>
        </w:rPr>
        <w:t>?</w:t>
      </w:r>
    </w:p>
    <w:p w14:paraId="57226329" w14:textId="77777777" w:rsidR="006F08A0" w:rsidRDefault="006F08A0" w:rsidP="006F08A0">
      <w:pPr>
        <w:pStyle w:val="BodyText"/>
        <w:spacing w:before="121" w:line="249" w:lineRule="auto"/>
        <w:ind w:left="567" w:right="47" w:firstLine="16"/>
        <w:rPr>
          <w:sz w:val="24"/>
          <w:szCs w:val="24"/>
        </w:rPr>
      </w:pPr>
      <w:r w:rsidRPr="00952FF5">
        <w:rPr>
          <w:sz w:val="24"/>
          <w:szCs w:val="24"/>
        </w:rPr>
        <w:t xml:space="preserve">The menopause </w:t>
      </w:r>
      <w:r>
        <w:rPr>
          <w:sz w:val="24"/>
          <w:szCs w:val="24"/>
        </w:rPr>
        <w:t>occurs between the ages of 45</w:t>
      </w:r>
      <w:r w:rsidRPr="00952FF5">
        <w:rPr>
          <w:sz w:val="24"/>
          <w:szCs w:val="24"/>
        </w:rPr>
        <w:t xml:space="preserve"> and 55 years of age as a woman's oestrogen levels decline.</w:t>
      </w:r>
      <w:r>
        <w:rPr>
          <w:sz w:val="24"/>
          <w:szCs w:val="24"/>
        </w:rPr>
        <w:t xml:space="preserve">  It is a natural part of ageing for women.  The menopause lasts between 4 and 8 years, although for some individuals it can last 12 years.  The menopause happens when is when a woman’s periods </w:t>
      </w:r>
      <w:proofErr w:type="gramStart"/>
      <w:r>
        <w:rPr>
          <w:sz w:val="24"/>
          <w:szCs w:val="24"/>
        </w:rPr>
        <w:t>stop</w:t>
      </w:r>
      <w:proofErr w:type="gramEnd"/>
      <w:r>
        <w:rPr>
          <w:sz w:val="24"/>
          <w:szCs w:val="24"/>
        </w:rPr>
        <w:t xml:space="preserve"> and she is no longer able to become pregnant naturally.  </w:t>
      </w:r>
    </w:p>
    <w:p w14:paraId="5D430D69" w14:textId="77777777" w:rsidR="006F08A0" w:rsidRDefault="006F08A0" w:rsidP="006F08A0">
      <w:pPr>
        <w:pStyle w:val="BodyText"/>
        <w:spacing w:before="121" w:line="249" w:lineRule="auto"/>
        <w:ind w:left="567" w:right="47" w:firstLine="16"/>
        <w:rPr>
          <w:sz w:val="24"/>
          <w:szCs w:val="24"/>
        </w:rPr>
      </w:pPr>
      <w:r>
        <w:rPr>
          <w:sz w:val="24"/>
          <w:szCs w:val="24"/>
        </w:rPr>
        <w:t xml:space="preserve">Symptoms can occur in both the day and night and may interfere with work.  Common symptoms include </w:t>
      </w:r>
      <w:r w:rsidRPr="00952FF5">
        <w:rPr>
          <w:sz w:val="24"/>
          <w:szCs w:val="24"/>
        </w:rPr>
        <w:t>hot flushes</w:t>
      </w:r>
      <w:r>
        <w:rPr>
          <w:sz w:val="24"/>
          <w:szCs w:val="24"/>
        </w:rPr>
        <w:t xml:space="preserve">, </w:t>
      </w:r>
      <w:r w:rsidRPr="00952FF5">
        <w:rPr>
          <w:sz w:val="24"/>
          <w:szCs w:val="24"/>
        </w:rPr>
        <w:t>night sweats</w:t>
      </w:r>
      <w:r>
        <w:rPr>
          <w:sz w:val="24"/>
          <w:szCs w:val="24"/>
        </w:rPr>
        <w:t xml:space="preserve">, </w:t>
      </w:r>
      <w:r w:rsidRPr="00952FF5">
        <w:rPr>
          <w:sz w:val="24"/>
          <w:szCs w:val="24"/>
        </w:rPr>
        <w:t>difficulty sleeping</w:t>
      </w:r>
      <w:r>
        <w:rPr>
          <w:sz w:val="24"/>
          <w:szCs w:val="24"/>
        </w:rPr>
        <w:t xml:space="preserve">, </w:t>
      </w:r>
      <w:r w:rsidRPr="00952FF5">
        <w:rPr>
          <w:sz w:val="24"/>
          <w:szCs w:val="24"/>
        </w:rPr>
        <w:t>low mood or anxiety</w:t>
      </w:r>
      <w:r>
        <w:rPr>
          <w:sz w:val="24"/>
          <w:szCs w:val="24"/>
        </w:rPr>
        <w:t xml:space="preserve">, reduced libido and </w:t>
      </w:r>
      <w:r w:rsidRPr="00952FF5">
        <w:rPr>
          <w:sz w:val="24"/>
          <w:szCs w:val="24"/>
        </w:rPr>
        <w:t>problems with memory and concentration</w:t>
      </w:r>
      <w:r>
        <w:rPr>
          <w:sz w:val="24"/>
          <w:szCs w:val="24"/>
        </w:rPr>
        <w:t xml:space="preserve">.  </w:t>
      </w:r>
    </w:p>
    <w:p w14:paraId="70665619" w14:textId="77777777" w:rsidR="006F08A0" w:rsidRDefault="006F08A0" w:rsidP="006F08A0">
      <w:pPr>
        <w:pStyle w:val="BodyText"/>
        <w:spacing w:before="121" w:line="249" w:lineRule="auto"/>
        <w:ind w:left="567" w:right="47" w:firstLine="16"/>
        <w:rPr>
          <w:sz w:val="24"/>
          <w:szCs w:val="24"/>
        </w:rPr>
      </w:pPr>
      <w:r>
        <w:rPr>
          <w:sz w:val="24"/>
          <w:szCs w:val="24"/>
        </w:rPr>
        <w:t>During the menopause, oestrogen levels fall, and remain lower, resulting in ovulation and periods stopping.  If a woman is over 50 and does not have a menstrual period for 12 months, health professionals consider her to have gone through the menopause.</w:t>
      </w:r>
    </w:p>
    <w:p w14:paraId="2101FEEF" w14:textId="77777777" w:rsidR="006F08A0" w:rsidRPr="00952FF5" w:rsidRDefault="006F08A0" w:rsidP="006F08A0">
      <w:pPr>
        <w:pStyle w:val="BodyText"/>
        <w:spacing w:before="121" w:line="249" w:lineRule="auto"/>
        <w:ind w:left="567" w:right="47" w:firstLine="16"/>
        <w:rPr>
          <w:sz w:val="24"/>
          <w:szCs w:val="24"/>
        </w:rPr>
      </w:pPr>
      <w:r>
        <w:rPr>
          <w:sz w:val="24"/>
          <w:szCs w:val="24"/>
        </w:rPr>
        <w:t>Prior to reaching the menopause, women will go through a phase called the Perimenopause.  During this period (usually around 4 years), the body starts to prepare for the menopause.  Oestrogen levels will fall and then rise again causing irregular monthly cycles as well as mood swings, stomach cramps and other symptoms associated with the menstrual cycle.</w:t>
      </w:r>
    </w:p>
    <w:p w14:paraId="649DE86B" w14:textId="77777777" w:rsidR="006F08A0" w:rsidRDefault="006F08A0" w:rsidP="006F08A0">
      <w:pPr>
        <w:pStyle w:val="BodyText"/>
        <w:spacing w:before="121" w:line="249" w:lineRule="auto"/>
        <w:ind w:left="567" w:right="47" w:firstLine="16"/>
        <w:rPr>
          <w:rFonts w:ascii="AdLib" w:eastAsiaTheme="majorEastAsia" w:hAnsi="AdLib" w:cstheme="majorBidi"/>
          <w:b/>
          <w:color w:val="169492"/>
          <w:sz w:val="32"/>
          <w:szCs w:val="32"/>
          <w:lang w:eastAsia="en-US" w:bidi="ar-SA"/>
        </w:rPr>
      </w:pPr>
      <w:r w:rsidRPr="00275910">
        <w:rPr>
          <w:rFonts w:ascii="AdLib" w:eastAsiaTheme="majorEastAsia" w:hAnsi="AdLib" w:cstheme="majorBidi"/>
          <w:b/>
          <w:color w:val="169492"/>
          <w:sz w:val="32"/>
          <w:szCs w:val="32"/>
          <w:lang w:eastAsia="en-US" w:bidi="ar-SA"/>
        </w:rPr>
        <w:t>Reproductive Health and Fertility</w:t>
      </w:r>
    </w:p>
    <w:p w14:paraId="18EA49A9" w14:textId="77777777" w:rsidR="006F08A0" w:rsidRDefault="006F08A0" w:rsidP="006F08A0">
      <w:pPr>
        <w:pStyle w:val="BodyText"/>
        <w:spacing w:before="121" w:line="249" w:lineRule="auto"/>
        <w:ind w:left="567" w:right="47" w:firstLine="16"/>
        <w:rPr>
          <w:sz w:val="24"/>
          <w:szCs w:val="24"/>
        </w:rPr>
      </w:pPr>
      <w:r w:rsidRPr="00873A97">
        <w:rPr>
          <w:sz w:val="24"/>
          <w:szCs w:val="24"/>
        </w:rPr>
        <w:t>In a</w:t>
      </w:r>
      <w:r>
        <w:rPr>
          <w:sz w:val="24"/>
          <w:szCs w:val="24"/>
        </w:rPr>
        <w:t>ddition to the effects of the menopause and perimenopause of women in reproductive health, issues can also affect women of working age.   Around 1 in 7 couples will experience infertility, with a variety of causes.</w:t>
      </w:r>
    </w:p>
    <w:p w14:paraId="6F188460" w14:textId="77777777" w:rsidR="006F08A0" w:rsidRDefault="006F08A0" w:rsidP="006F08A0">
      <w:pPr>
        <w:pStyle w:val="BodyText"/>
        <w:spacing w:before="121" w:line="249" w:lineRule="auto"/>
        <w:ind w:left="567" w:right="47" w:firstLine="16"/>
        <w:rPr>
          <w:sz w:val="24"/>
          <w:szCs w:val="24"/>
        </w:rPr>
      </w:pPr>
      <w:r>
        <w:rPr>
          <w:sz w:val="24"/>
          <w:szCs w:val="24"/>
        </w:rPr>
        <w:t>1 in 20 women also live with a condition called PMDD (or Premenstrual D</w:t>
      </w:r>
      <w:r w:rsidRPr="00873A97">
        <w:rPr>
          <w:sz w:val="24"/>
          <w:szCs w:val="24"/>
        </w:rPr>
        <w:t xml:space="preserve">ysphoric </w:t>
      </w:r>
      <w:r>
        <w:rPr>
          <w:sz w:val="24"/>
          <w:szCs w:val="24"/>
        </w:rPr>
        <w:t>D</w:t>
      </w:r>
      <w:r w:rsidRPr="00873A97">
        <w:rPr>
          <w:sz w:val="24"/>
          <w:szCs w:val="24"/>
        </w:rPr>
        <w:t>isorder</w:t>
      </w:r>
      <w:r>
        <w:rPr>
          <w:sz w:val="24"/>
          <w:szCs w:val="24"/>
        </w:rPr>
        <w:t>)</w:t>
      </w:r>
      <w:proofErr w:type="gramStart"/>
      <w:r>
        <w:rPr>
          <w:sz w:val="24"/>
          <w:szCs w:val="24"/>
        </w:rPr>
        <w:t xml:space="preserve">. </w:t>
      </w:r>
      <w:proofErr w:type="gramEnd"/>
      <w:r>
        <w:rPr>
          <w:sz w:val="24"/>
          <w:szCs w:val="24"/>
        </w:rPr>
        <w:t>PMDD is sometimes referred to as an extreme version of PMS (Premenstrual Syndrome) which can cause many emotional and physical symptoms during the woman’s monthly cycle</w:t>
      </w:r>
      <w:proofErr w:type="gramStart"/>
      <w:r>
        <w:rPr>
          <w:sz w:val="24"/>
          <w:szCs w:val="24"/>
        </w:rPr>
        <w:t xml:space="preserve">. </w:t>
      </w:r>
      <w:proofErr w:type="gramEnd"/>
      <w:r>
        <w:rPr>
          <w:sz w:val="24"/>
          <w:szCs w:val="24"/>
        </w:rPr>
        <w:t xml:space="preserve">PMDD is a hormone-based disorder affecting moods, thought to be caused by an adverse </w:t>
      </w:r>
      <w:r>
        <w:rPr>
          <w:sz w:val="24"/>
          <w:szCs w:val="24"/>
        </w:rPr>
        <w:lastRenderedPageBreak/>
        <w:t xml:space="preserve">reaction to the fluctuating levels of hormones in the monthly cycle. </w:t>
      </w:r>
    </w:p>
    <w:p w14:paraId="1A9B489E" w14:textId="77777777" w:rsidR="006F08A0" w:rsidRDefault="006F08A0" w:rsidP="006F08A0">
      <w:pPr>
        <w:shd w:val="clear" w:color="auto" w:fill="FFFFFF"/>
        <w:spacing w:after="0" w:line="240" w:lineRule="auto"/>
        <w:ind w:left="567"/>
        <w:rPr>
          <w:rFonts w:ascii="Arial" w:eastAsia="Arial" w:hAnsi="Arial" w:cs="Arial"/>
          <w:sz w:val="24"/>
          <w:szCs w:val="24"/>
          <w:lang w:eastAsia="en-GB" w:bidi="en-GB"/>
        </w:rPr>
      </w:pPr>
      <w:r w:rsidRPr="00FE1183">
        <w:rPr>
          <w:rFonts w:ascii="Arial" w:eastAsia="Arial" w:hAnsi="Arial" w:cs="Arial"/>
          <w:sz w:val="24"/>
          <w:szCs w:val="24"/>
          <w:lang w:eastAsia="en-GB" w:bidi="en-GB"/>
        </w:rPr>
        <w:t xml:space="preserve">Common symptoms include </w:t>
      </w:r>
      <w:r>
        <w:rPr>
          <w:rFonts w:ascii="Arial" w:eastAsia="Arial" w:hAnsi="Arial" w:cs="Arial"/>
          <w:sz w:val="24"/>
          <w:szCs w:val="24"/>
          <w:lang w:eastAsia="en-GB" w:bidi="en-GB"/>
        </w:rPr>
        <w:t>di</w:t>
      </w:r>
      <w:r w:rsidRPr="00FE1183">
        <w:rPr>
          <w:rFonts w:ascii="Arial" w:eastAsia="Arial" w:hAnsi="Arial" w:cs="Arial"/>
          <w:sz w:val="24"/>
          <w:szCs w:val="24"/>
          <w:lang w:eastAsia="en-GB" w:bidi="en-GB"/>
        </w:rPr>
        <w:t>fficulty concentrating</w:t>
      </w:r>
      <w:r>
        <w:rPr>
          <w:rFonts w:ascii="Arial" w:eastAsia="Arial" w:hAnsi="Arial" w:cs="Arial"/>
          <w:sz w:val="24"/>
          <w:szCs w:val="24"/>
          <w:lang w:eastAsia="en-GB" w:bidi="en-GB"/>
        </w:rPr>
        <w:t xml:space="preserve">, depression, anxiety, sadness, hopelessness, anger, lethargy, loss of interest in normal day to day activities, food cravings and insomnia or hypersomnia (excessive daytime sleepiness), joint or muscle pain and feeling bloated. </w:t>
      </w:r>
    </w:p>
    <w:p w14:paraId="523DA50C" w14:textId="77777777" w:rsidR="006F08A0" w:rsidRDefault="006F08A0" w:rsidP="006F08A0">
      <w:pPr>
        <w:shd w:val="clear" w:color="auto" w:fill="FFFFFF"/>
        <w:spacing w:after="0" w:line="240" w:lineRule="auto"/>
        <w:ind w:left="567"/>
        <w:rPr>
          <w:rFonts w:ascii="Arial" w:eastAsia="Arial" w:hAnsi="Arial" w:cs="Arial"/>
          <w:sz w:val="24"/>
          <w:szCs w:val="24"/>
          <w:lang w:eastAsia="en-GB" w:bidi="en-GB"/>
        </w:rPr>
      </w:pPr>
    </w:p>
    <w:p w14:paraId="21F19A6C" w14:textId="77777777" w:rsidR="006F08A0" w:rsidRPr="004E4042" w:rsidRDefault="006F08A0" w:rsidP="006F08A0">
      <w:pPr>
        <w:shd w:val="clear" w:color="auto" w:fill="FFFFFF"/>
        <w:spacing w:after="0" w:line="240" w:lineRule="auto"/>
        <w:ind w:left="567"/>
        <w:rPr>
          <w:rFonts w:ascii="Arial" w:eastAsia="Arial" w:hAnsi="Arial" w:cs="Arial"/>
          <w:sz w:val="24"/>
          <w:szCs w:val="24"/>
          <w:lang w:eastAsia="en-GB" w:bidi="en-GB"/>
        </w:rPr>
      </w:pPr>
      <w:r>
        <w:rPr>
          <w:rFonts w:ascii="AdLib" w:eastAsiaTheme="majorEastAsia" w:hAnsi="AdLib" w:cstheme="majorBidi"/>
          <w:b/>
          <w:color w:val="169492"/>
          <w:sz w:val="32"/>
          <w:szCs w:val="32"/>
        </w:rPr>
        <w:t>Cervical Screening</w:t>
      </w:r>
    </w:p>
    <w:p w14:paraId="4CBDEBA3" w14:textId="77777777" w:rsidR="006F08A0" w:rsidRDefault="006F08A0" w:rsidP="006F08A0">
      <w:pPr>
        <w:shd w:val="clear" w:color="auto" w:fill="FFFFFF"/>
        <w:spacing w:after="0" w:line="240" w:lineRule="auto"/>
        <w:ind w:left="567"/>
        <w:rPr>
          <w:rFonts w:ascii="Arial" w:eastAsia="Arial" w:hAnsi="Arial" w:cs="Arial"/>
          <w:sz w:val="24"/>
          <w:szCs w:val="24"/>
          <w:lang w:eastAsia="en-GB" w:bidi="en-GB"/>
        </w:rPr>
      </w:pPr>
      <w:r w:rsidRPr="004E4042">
        <w:rPr>
          <w:rFonts w:ascii="Arial" w:eastAsia="Arial" w:hAnsi="Arial" w:cs="Arial"/>
          <w:sz w:val="24"/>
          <w:szCs w:val="24"/>
          <w:lang w:eastAsia="en-GB" w:bidi="en-GB"/>
        </w:rPr>
        <w:t>Cervical screening (a sm</w:t>
      </w:r>
      <w:r>
        <w:rPr>
          <w:rFonts w:ascii="Arial" w:eastAsia="Arial" w:hAnsi="Arial" w:cs="Arial"/>
          <w:sz w:val="24"/>
          <w:szCs w:val="24"/>
          <w:lang w:eastAsia="en-GB" w:bidi="en-GB"/>
        </w:rPr>
        <w:t>ear test) checks the health of the</w:t>
      </w:r>
      <w:r w:rsidRPr="004E4042">
        <w:rPr>
          <w:rFonts w:ascii="Arial" w:eastAsia="Arial" w:hAnsi="Arial" w:cs="Arial"/>
          <w:sz w:val="24"/>
          <w:szCs w:val="24"/>
          <w:lang w:eastAsia="en-GB" w:bidi="en-GB"/>
        </w:rPr>
        <w:t xml:space="preserve"> cervix</w:t>
      </w:r>
      <w:proofErr w:type="gramStart"/>
      <w:r w:rsidRPr="004E4042">
        <w:rPr>
          <w:rFonts w:ascii="Arial" w:eastAsia="Arial" w:hAnsi="Arial" w:cs="Arial"/>
          <w:sz w:val="24"/>
          <w:szCs w:val="24"/>
          <w:lang w:eastAsia="en-GB" w:bidi="en-GB"/>
        </w:rPr>
        <w:t xml:space="preserve">. </w:t>
      </w:r>
      <w:proofErr w:type="gramEnd"/>
      <w:r w:rsidRPr="004E4042">
        <w:rPr>
          <w:rFonts w:ascii="Arial" w:eastAsia="Arial" w:hAnsi="Arial" w:cs="Arial"/>
          <w:sz w:val="24"/>
          <w:szCs w:val="24"/>
          <w:lang w:eastAsia="en-GB" w:bidi="en-GB"/>
        </w:rPr>
        <w:t xml:space="preserve">The cervix is the opening to </w:t>
      </w:r>
      <w:r>
        <w:rPr>
          <w:rFonts w:ascii="Arial" w:eastAsia="Arial" w:hAnsi="Arial" w:cs="Arial"/>
          <w:sz w:val="24"/>
          <w:szCs w:val="24"/>
          <w:lang w:eastAsia="en-GB" w:bidi="en-GB"/>
        </w:rPr>
        <w:t xml:space="preserve">the womb.  It is not a test for </w:t>
      </w:r>
      <w:proofErr w:type="gramStart"/>
      <w:r>
        <w:rPr>
          <w:rFonts w:ascii="Arial" w:eastAsia="Arial" w:hAnsi="Arial" w:cs="Arial"/>
          <w:sz w:val="24"/>
          <w:szCs w:val="24"/>
          <w:lang w:eastAsia="en-GB" w:bidi="en-GB"/>
        </w:rPr>
        <w:t>cancer, but</w:t>
      </w:r>
      <w:proofErr w:type="gramEnd"/>
      <w:r>
        <w:rPr>
          <w:rFonts w:ascii="Arial" w:eastAsia="Arial" w:hAnsi="Arial" w:cs="Arial"/>
          <w:sz w:val="24"/>
          <w:szCs w:val="24"/>
          <w:lang w:eastAsia="en-GB" w:bidi="en-GB"/>
        </w:rPr>
        <w:t xml:space="preserve"> can help to prevent </w:t>
      </w:r>
      <w:r w:rsidRPr="004E4042">
        <w:rPr>
          <w:rFonts w:ascii="Arial" w:eastAsia="Arial" w:hAnsi="Arial" w:cs="Arial"/>
          <w:sz w:val="24"/>
          <w:szCs w:val="24"/>
          <w:lang w:eastAsia="en-GB" w:bidi="en-GB"/>
        </w:rPr>
        <w:t>cancer.</w:t>
      </w:r>
      <w:r>
        <w:rPr>
          <w:rFonts w:ascii="Arial" w:eastAsia="Arial" w:hAnsi="Arial" w:cs="Arial"/>
          <w:sz w:val="24"/>
          <w:szCs w:val="24"/>
          <w:lang w:eastAsia="en-GB" w:bidi="en-GB"/>
        </w:rPr>
        <w:t xml:space="preserve">  All women and p</w:t>
      </w:r>
      <w:r w:rsidRPr="004E4042">
        <w:rPr>
          <w:rFonts w:ascii="Arial" w:eastAsia="Arial" w:hAnsi="Arial" w:cs="Arial"/>
          <w:sz w:val="24"/>
          <w:szCs w:val="24"/>
          <w:lang w:eastAsia="en-GB" w:bidi="en-GB"/>
        </w:rPr>
        <w:t>eople with a cervix aged 25 to</w:t>
      </w:r>
      <w:r>
        <w:rPr>
          <w:rFonts w:ascii="Arial" w:eastAsia="Arial" w:hAnsi="Arial" w:cs="Arial"/>
          <w:sz w:val="24"/>
          <w:szCs w:val="24"/>
          <w:lang w:eastAsia="en-GB" w:bidi="en-GB"/>
        </w:rPr>
        <w:t xml:space="preserve"> 64 should be invited by letter to attend a screening appointment.  Early detection of abnormal cells, and early treatment can prevent cervical cancer from developing.  Allowing female staff to attend their screening appointments will encourage uptake of the screening programme.  Employers can commit to the Time to Test Pledge with Jo’s Cancer Trust will show your commitment to female staff accessing screening appointments.  You may also consider allowing attendance at other screening such as bowel screening or testing for all staff members.</w:t>
      </w:r>
    </w:p>
    <w:p w14:paraId="2D05B437" w14:textId="77777777" w:rsidR="006F08A0" w:rsidRDefault="006F08A0" w:rsidP="006F08A0">
      <w:pPr>
        <w:shd w:val="clear" w:color="auto" w:fill="FFFFFF"/>
        <w:spacing w:after="0" w:line="240" w:lineRule="auto"/>
        <w:ind w:left="567"/>
        <w:rPr>
          <w:rFonts w:ascii="Arial" w:eastAsia="Arial" w:hAnsi="Arial" w:cs="Arial"/>
          <w:sz w:val="24"/>
          <w:szCs w:val="24"/>
          <w:lang w:eastAsia="en-GB" w:bidi="en-GB"/>
        </w:rPr>
      </w:pPr>
    </w:p>
    <w:p w14:paraId="4EDF8051" w14:textId="77777777" w:rsidR="006F08A0" w:rsidRPr="004E4042" w:rsidRDefault="006F08A0" w:rsidP="006F08A0">
      <w:pPr>
        <w:shd w:val="clear" w:color="auto" w:fill="FFFFFF"/>
        <w:spacing w:after="0" w:line="240" w:lineRule="auto"/>
        <w:ind w:left="567"/>
        <w:rPr>
          <w:rFonts w:ascii="Arial" w:eastAsia="Arial" w:hAnsi="Arial" w:cs="Arial"/>
          <w:sz w:val="24"/>
          <w:szCs w:val="24"/>
          <w:lang w:eastAsia="en-GB" w:bidi="en-GB"/>
        </w:rPr>
      </w:pPr>
      <w:r w:rsidRPr="00FE1183">
        <w:rPr>
          <w:rFonts w:ascii="AdLib" w:eastAsiaTheme="majorEastAsia" w:hAnsi="AdLib" w:cstheme="majorBidi"/>
          <w:b/>
          <w:color w:val="169492"/>
          <w:sz w:val="32"/>
          <w:szCs w:val="32"/>
        </w:rPr>
        <w:t>Female Cancers</w:t>
      </w:r>
    </w:p>
    <w:p w14:paraId="6F4A7133" w14:textId="77777777" w:rsidR="006F08A0" w:rsidRDefault="006F08A0" w:rsidP="006F08A0">
      <w:pPr>
        <w:pStyle w:val="BodyText"/>
        <w:spacing w:before="121" w:line="249" w:lineRule="auto"/>
        <w:ind w:left="567" w:right="47" w:firstLine="16"/>
        <w:rPr>
          <w:sz w:val="24"/>
          <w:szCs w:val="24"/>
        </w:rPr>
      </w:pPr>
      <w:r>
        <w:rPr>
          <w:sz w:val="24"/>
          <w:szCs w:val="24"/>
        </w:rPr>
        <w:t xml:space="preserve">There are around 55,000 new cases of breast cancer diagnosed each year in the UK, with breast cancer likely to affect 1 in 20 females in the UK in their lifetime.  Experts believe that almost a quarter of these could be avoided by leading a healthy lifestyle.  Breast Cancer makes up 15% of all cancer cases in the UK and is second most common cause of death for females (after heart disease).  Breast Cancer survival rates are improving, particularly if diagnosis is made early.  </w:t>
      </w:r>
    </w:p>
    <w:p w14:paraId="15E5A033" w14:textId="77777777" w:rsidR="006F08A0" w:rsidRDefault="006F08A0" w:rsidP="006F08A0">
      <w:pPr>
        <w:pStyle w:val="BodyText"/>
        <w:spacing w:before="121" w:line="249" w:lineRule="auto"/>
        <w:ind w:left="567" w:right="47" w:firstLine="16"/>
        <w:rPr>
          <w:sz w:val="24"/>
          <w:szCs w:val="24"/>
        </w:rPr>
      </w:pPr>
      <w:r>
        <w:rPr>
          <w:sz w:val="24"/>
          <w:szCs w:val="24"/>
        </w:rPr>
        <w:t xml:space="preserve">There are around 7400 cases of Ovarian Cancer diagnosed each year in the UK, and if the sixth most common cancer to affect women in the UK.  Rates expected to increase by 15% over the next 10-15 years.  </w:t>
      </w:r>
    </w:p>
    <w:p w14:paraId="253F82F2" w14:textId="77777777" w:rsidR="006F08A0" w:rsidRDefault="006F08A0" w:rsidP="006F08A0">
      <w:pPr>
        <w:pStyle w:val="BodyText"/>
        <w:spacing w:before="121" w:line="249" w:lineRule="auto"/>
        <w:ind w:left="567" w:right="47" w:firstLine="16"/>
        <w:rPr>
          <w:sz w:val="24"/>
          <w:szCs w:val="24"/>
        </w:rPr>
      </w:pPr>
      <w:r>
        <w:rPr>
          <w:sz w:val="24"/>
          <w:szCs w:val="24"/>
        </w:rPr>
        <w:t>Being diagnosed with cancer, or any sort, whether female or male is a frightening experience and having an understanding and supportive employer can make all the difference.</w:t>
      </w:r>
    </w:p>
    <w:p w14:paraId="108F3D28" w14:textId="77777777" w:rsidR="006F08A0" w:rsidRPr="00873A97" w:rsidRDefault="006F08A0" w:rsidP="006F08A0">
      <w:pPr>
        <w:pStyle w:val="BodyText"/>
        <w:spacing w:before="121" w:line="249" w:lineRule="auto"/>
        <w:ind w:left="567" w:right="47" w:firstLine="16"/>
        <w:rPr>
          <w:sz w:val="24"/>
          <w:szCs w:val="24"/>
        </w:rPr>
      </w:pPr>
    </w:p>
    <w:p w14:paraId="6229E6B2" w14:textId="77777777" w:rsidR="006F08A0" w:rsidRPr="00560D3E" w:rsidRDefault="006F08A0" w:rsidP="006F08A0">
      <w:pPr>
        <w:pStyle w:val="Heading3"/>
        <w:spacing w:before="98"/>
        <w:ind w:left="567"/>
        <w:rPr>
          <w:rFonts w:ascii="AdLib" w:hAnsi="AdLib"/>
          <w:b/>
          <w:color w:val="169492"/>
          <w:sz w:val="32"/>
          <w:szCs w:val="32"/>
        </w:rPr>
      </w:pPr>
      <w:r w:rsidRPr="00560D3E">
        <w:rPr>
          <w:rFonts w:ascii="AdLib" w:hAnsi="AdLib"/>
          <w:b/>
          <w:color w:val="169492"/>
          <w:sz w:val="32"/>
          <w:szCs w:val="32"/>
        </w:rPr>
        <w:t xml:space="preserve">Why should </w:t>
      </w:r>
      <w:r>
        <w:rPr>
          <w:rFonts w:ascii="AdLib" w:hAnsi="AdLib"/>
          <w:b/>
          <w:color w:val="169492"/>
          <w:sz w:val="32"/>
          <w:szCs w:val="32"/>
        </w:rPr>
        <w:t>employers implement support for Women</w:t>
      </w:r>
      <w:r>
        <w:rPr>
          <w:rFonts w:ascii="Arial" w:hAnsi="Arial" w:cs="Arial"/>
          <w:b/>
          <w:color w:val="169492"/>
          <w:sz w:val="32"/>
          <w:szCs w:val="32"/>
        </w:rPr>
        <w:t>’</w:t>
      </w:r>
      <w:r>
        <w:rPr>
          <w:rFonts w:ascii="AdLib" w:hAnsi="AdLib"/>
          <w:b/>
          <w:color w:val="169492"/>
          <w:sz w:val="32"/>
          <w:szCs w:val="32"/>
        </w:rPr>
        <w:t>s Health in the Workplace</w:t>
      </w:r>
      <w:r w:rsidRPr="00560D3E">
        <w:rPr>
          <w:rFonts w:ascii="AdLib" w:hAnsi="AdLib"/>
          <w:b/>
          <w:color w:val="169492"/>
          <w:sz w:val="32"/>
          <w:szCs w:val="32"/>
        </w:rPr>
        <w:t xml:space="preserve">? </w:t>
      </w:r>
    </w:p>
    <w:p w14:paraId="7C841938" w14:textId="77777777" w:rsidR="006F08A0" w:rsidRDefault="006F08A0" w:rsidP="006F08A0">
      <w:pPr>
        <w:pStyle w:val="BodyText"/>
        <w:tabs>
          <w:tab w:val="left" w:pos="567"/>
        </w:tabs>
        <w:spacing w:line="249" w:lineRule="auto"/>
        <w:ind w:left="567" w:right="698"/>
        <w:jc w:val="both"/>
        <w:rPr>
          <w:sz w:val="24"/>
          <w:szCs w:val="24"/>
        </w:rPr>
      </w:pPr>
    </w:p>
    <w:p w14:paraId="72C88263" w14:textId="77777777" w:rsidR="006F08A0" w:rsidRDefault="006F08A0" w:rsidP="006F08A0">
      <w:pPr>
        <w:pStyle w:val="BodyText"/>
        <w:tabs>
          <w:tab w:val="left" w:pos="567"/>
        </w:tabs>
        <w:spacing w:line="249" w:lineRule="auto"/>
        <w:ind w:left="567" w:right="698"/>
        <w:jc w:val="both"/>
        <w:rPr>
          <w:sz w:val="24"/>
          <w:szCs w:val="24"/>
        </w:rPr>
      </w:pPr>
      <w:r>
        <w:rPr>
          <w:sz w:val="24"/>
          <w:szCs w:val="24"/>
        </w:rPr>
        <w:t xml:space="preserve">Women make up a large proportion of the workplace, with some industries such as health and social care, education, retail and secretarial or </w:t>
      </w:r>
      <w:proofErr w:type="gramStart"/>
      <w:r>
        <w:rPr>
          <w:sz w:val="24"/>
          <w:szCs w:val="24"/>
        </w:rPr>
        <w:t>office based</w:t>
      </w:r>
      <w:proofErr w:type="gramEnd"/>
      <w:r>
        <w:rPr>
          <w:sz w:val="24"/>
          <w:szCs w:val="24"/>
        </w:rPr>
        <w:t xml:space="preserve"> occupations having some of the highest proportion of female staff.</w:t>
      </w:r>
    </w:p>
    <w:p w14:paraId="113EF259" w14:textId="77777777" w:rsidR="006F08A0" w:rsidRDefault="006F08A0" w:rsidP="006F08A0">
      <w:pPr>
        <w:pStyle w:val="BodyText"/>
        <w:tabs>
          <w:tab w:val="left" w:pos="567"/>
        </w:tabs>
        <w:spacing w:line="249" w:lineRule="auto"/>
        <w:ind w:left="567" w:right="698"/>
        <w:jc w:val="both"/>
        <w:rPr>
          <w:sz w:val="24"/>
          <w:szCs w:val="24"/>
        </w:rPr>
      </w:pPr>
    </w:p>
    <w:p w14:paraId="36E406D7" w14:textId="77777777" w:rsidR="006F08A0" w:rsidRPr="00952FF5" w:rsidRDefault="006F08A0" w:rsidP="006F08A0">
      <w:pPr>
        <w:pStyle w:val="BodyText"/>
        <w:tabs>
          <w:tab w:val="left" w:pos="567"/>
        </w:tabs>
        <w:spacing w:line="249" w:lineRule="auto"/>
        <w:ind w:left="567" w:right="698"/>
        <w:jc w:val="both"/>
        <w:rPr>
          <w:sz w:val="24"/>
          <w:szCs w:val="24"/>
        </w:rPr>
      </w:pPr>
      <w:r>
        <w:rPr>
          <w:sz w:val="24"/>
          <w:szCs w:val="24"/>
        </w:rPr>
        <w:t>In terms of the menopause, s</w:t>
      </w:r>
      <w:r w:rsidRPr="00952FF5">
        <w:rPr>
          <w:sz w:val="24"/>
          <w:szCs w:val="24"/>
        </w:rPr>
        <w:t xml:space="preserve">tudies have shown </w:t>
      </w:r>
      <w:r>
        <w:rPr>
          <w:sz w:val="24"/>
          <w:szCs w:val="24"/>
        </w:rPr>
        <w:t>that</w:t>
      </w:r>
      <w:r w:rsidRPr="00952FF5">
        <w:rPr>
          <w:sz w:val="24"/>
          <w:szCs w:val="24"/>
        </w:rPr>
        <w:t xml:space="preserve"> symptoms can have a significant impact on attendance and performance in the workplace. </w:t>
      </w:r>
      <w:r>
        <w:rPr>
          <w:sz w:val="24"/>
          <w:szCs w:val="24"/>
        </w:rPr>
        <w:t xml:space="preserve">  As our population are now living longer and working longer, it is of vital importance that staff are supported to stay well and thrive in the workplace.</w:t>
      </w:r>
    </w:p>
    <w:p w14:paraId="64E73D05" w14:textId="77777777" w:rsidR="006F08A0" w:rsidRDefault="006F08A0" w:rsidP="006F08A0">
      <w:pPr>
        <w:pStyle w:val="BodyText"/>
        <w:spacing w:before="121" w:line="249" w:lineRule="auto"/>
        <w:ind w:left="567" w:right="47" w:firstLine="16"/>
        <w:rPr>
          <w:sz w:val="24"/>
          <w:szCs w:val="24"/>
        </w:rPr>
      </w:pPr>
    </w:p>
    <w:p w14:paraId="161CDDA2" w14:textId="77777777" w:rsidR="006F08A0" w:rsidRDefault="006F08A0" w:rsidP="006F08A0">
      <w:pPr>
        <w:pStyle w:val="BodyText"/>
        <w:spacing w:before="121" w:line="249" w:lineRule="auto"/>
        <w:ind w:left="567" w:right="47" w:firstLine="16"/>
        <w:rPr>
          <w:sz w:val="24"/>
          <w:szCs w:val="24"/>
        </w:rPr>
      </w:pPr>
      <w:r>
        <w:rPr>
          <w:sz w:val="24"/>
          <w:szCs w:val="24"/>
        </w:rPr>
        <w:t>Issues affecting women’s health are not just female issues.  They affect the whole organisation</w:t>
      </w:r>
      <w:proofErr w:type="gramStart"/>
      <w:r w:rsidRPr="00952FF5">
        <w:rPr>
          <w:sz w:val="24"/>
          <w:szCs w:val="24"/>
        </w:rPr>
        <w:t>. </w:t>
      </w:r>
      <w:proofErr w:type="gramEnd"/>
      <w:r>
        <w:rPr>
          <w:sz w:val="24"/>
          <w:szCs w:val="24"/>
        </w:rPr>
        <w:t>Awareness on these topics are</w:t>
      </w:r>
      <w:r w:rsidRPr="00952FF5">
        <w:rPr>
          <w:sz w:val="24"/>
          <w:szCs w:val="24"/>
        </w:rPr>
        <w:t xml:space="preserve"> fundamental and reducing the stigma attached to </w:t>
      </w:r>
      <w:r>
        <w:rPr>
          <w:sz w:val="24"/>
          <w:szCs w:val="24"/>
        </w:rPr>
        <w:t>them and enabling women, and their families to be supported through these life events</w:t>
      </w:r>
      <w:proofErr w:type="gramStart"/>
      <w:r>
        <w:rPr>
          <w:sz w:val="24"/>
          <w:szCs w:val="24"/>
        </w:rPr>
        <w:t xml:space="preserve">. </w:t>
      </w:r>
      <w:proofErr w:type="gramEnd"/>
      <w:r>
        <w:rPr>
          <w:sz w:val="24"/>
          <w:szCs w:val="24"/>
        </w:rPr>
        <w:t xml:space="preserve">The CIPD (Chartered Institute for Personnel and Development) carried out a survey with YouGov, finding that almost two thirds of women had difficulty concentrating because of menopausal symptoms, 30% took sick leave to manage their symptoms and a third felt </w:t>
      </w:r>
      <w:r>
        <w:rPr>
          <w:sz w:val="24"/>
          <w:szCs w:val="24"/>
        </w:rPr>
        <w:lastRenderedPageBreak/>
        <w:t>embarrassment when raising their issues with managers.</w:t>
      </w:r>
    </w:p>
    <w:p w14:paraId="6C6F4A25" w14:textId="77777777" w:rsidR="006F08A0" w:rsidRDefault="006F08A0" w:rsidP="006F08A0">
      <w:pPr>
        <w:pStyle w:val="BodyText"/>
        <w:spacing w:before="121" w:line="249" w:lineRule="auto"/>
        <w:ind w:left="567" w:right="47" w:firstLine="16"/>
        <w:rPr>
          <w:sz w:val="24"/>
          <w:szCs w:val="24"/>
        </w:rPr>
      </w:pPr>
      <w:r>
        <w:rPr>
          <w:sz w:val="24"/>
          <w:szCs w:val="24"/>
        </w:rPr>
        <w:t xml:space="preserve">With 1 in 3 workers likely to be over the age of 50 by 2030, the numbers of women affected by the menopause whilst working is set to rise. </w:t>
      </w:r>
    </w:p>
    <w:p w14:paraId="047C536C" w14:textId="77777777" w:rsidR="006F08A0" w:rsidRDefault="006F08A0" w:rsidP="006F08A0">
      <w:pPr>
        <w:pStyle w:val="BodyText"/>
        <w:spacing w:before="121" w:line="249" w:lineRule="auto"/>
        <w:ind w:left="567" w:right="47" w:firstLine="16"/>
        <w:rPr>
          <w:sz w:val="24"/>
          <w:szCs w:val="24"/>
        </w:rPr>
      </w:pPr>
      <w:r>
        <w:rPr>
          <w:sz w:val="24"/>
          <w:szCs w:val="24"/>
        </w:rPr>
        <w:t>Having appropriate and supportive policies in place, with absence management systems can keep staff engaged and save absence costs.</w:t>
      </w:r>
    </w:p>
    <w:p w14:paraId="309911F4" w14:textId="77777777" w:rsidR="006F08A0" w:rsidRPr="00C41901" w:rsidRDefault="006F08A0" w:rsidP="006F08A0">
      <w:pPr>
        <w:pStyle w:val="BodyText"/>
        <w:tabs>
          <w:tab w:val="left" w:pos="284"/>
        </w:tabs>
        <w:spacing w:line="249" w:lineRule="auto"/>
        <w:ind w:left="567" w:right="698" w:hanging="283"/>
        <w:jc w:val="center"/>
        <w:rPr>
          <w:sz w:val="20"/>
        </w:rPr>
      </w:pPr>
      <w:r>
        <w:rPr>
          <w:noProof/>
          <w:sz w:val="24"/>
          <w:szCs w:val="24"/>
          <w:lang w:bidi="ar-SA"/>
        </w:rPr>
        <w:drawing>
          <wp:inline distT="0" distB="0" distL="0" distR="0" wp14:anchorId="427593AC" wp14:editId="33AF0B98">
            <wp:extent cx="6644005" cy="4338955"/>
            <wp:effectExtent l="0" t="0" r="4445" b="4445"/>
            <wp:docPr id="1" name="Picture 1" descr="By 2030 1 in 3 workers in the UK will be aged over 50.  &#10;In the UK the average age for a woman to go through the menopause is 51&#10;1 in 4 menopausal women could experience serious menopausal symptoms&#10;1 in 20 women will be affected by breast cancer in their life times&#10;30% menopausal women took sick leave due to their symptoms&#10;1 in 20 women living with PMDD" title="Image showing statistics regarding women's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4005" cy="4338955"/>
                    </a:xfrm>
                    <a:prstGeom prst="rect">
                      <a:avLst/>
                    </a:prstGeom>
                    <a:noFill/>
                    <a:ln>
                      <a:noFill/>
                    </a:ln>
                  </pic:spPr>
                </pic:pic>
              </a:graphicData>
            </a:graphic>
          </wp:inline>
        </w:drawing>
      </w:r>
    </w:p>
    <w:p w14:paraId="7B528E8F" w14:textId="77777777" w:rsidR="006F08A0" w:rsidRPr="00560D3E" w:rsidRDefault="006F08A0" w:rsidP="006F08A0">
      <w:pPr>
        <w:pStyle w:val="Heading3"/>
        <w:spacing w:before="98"/>
        <w:ind w:left="567"/>
        <w:rPr>
          <w:rFonts w:ascii="AdLib" w:hAnsi="AdLib"/>
          <w:b/>
          <w:color w:val="169492"/>
          <w:sz w:val="32"/>
          <w:szCs w:val="32"/>
        </w:rPr>
      </w:pPr>
      <w:r w:rsidRPr="00560D3E">
        <w:rPr>
          <w:rFonts w:ascii="AdLib" w:hAnsi="AdLib"/>
          <w:b/>
          <w:color w:val="169492"/>
          <w:sz w:val="32"/>
          <w:szCs w:val="32"/>
        </w:rPr>
        <w:t xml:space="preserve">Links </w:t>
      </w:r>
      <w:r>
        <w:rPr>
          <w:rFonts w:ascii="AdLib" w:hAnsi="AdLib"/>
          <w:b/>
          <w:color w:val="169492"/>
          <w:sz w:val="32"/>
          <w:szCs w:val="32"/>
        </w:rPr>
        <w:t>to other conditions</w:t>
      </w:r>
    </w:p>
    <w:p w14:paraId="29340ABF" w14:textId="77777777" w:rsidR="006F08A0" w:rsidRDefault="006F08A0" w:rsidP="006F08A0">
      <w:pPr>
        <w:pStyle w:val="BodyText"/>
        <w:spacing w:before="121" w:line="249" w:lineRule="auto"/>
        <w:ind w:left="567" w:right="47" w:firstLine="16"/>
        <w:rPr>
          <w:sz w:val="24"/>
          <w:szCs w:val="24"/>
        </w:rPr>
      </w:pPr>
      <w:r>
        <w:rPr>
          <w:sz w:val="24"/>
          <w:szCs w:val="24"/>
        </w:rPr>
        <w:t>As we have read, health issues such as PMDD and living through the menopause can affect mental and physical health.  Mental Health should always be considered when tackling other health issues in the workplace.  Equally, leading a healthy lifestyle can reduce the risk of cancers and help to manage menopausal symptoms.  It is therefore important to include wider healthy promotion messages in any activities planned for the workplace.</w:t>
      </w:r>
    </w:p>
    <w:p w14:paraId="4C8D1289" w14:textId="77777777" w:rsidR="006F08A0" w:rsidRDefault="006F08A0" w:rsidP="006F08A0">
      <w:pPr>
        <w:pStyle w:val="Heading3"/>
        <w:spacing w:before="98"/>
        <w:ind w:left="284"/>
        <w:rPr>
          <w:b/>
          <w:color w:val="169492"/>
          <w:sz w:val="32"/>
          <w:szCs w:val="32"/>
        </w:rPr>
      </w:pPr>
    </w:p>
    <w:p w14:paraId="5B0CE0BE" w14:textId="77777777" w:rsidR="006F08A0" w:rsidRPr="00560D3E" w:rsidRDefault="006F08A0" w:rsidP="006F08A0">
      <w:pPr>
        <w:pStyle w:val="Heading3"/>
        <w:spacing w:before="98"/>
        <w:ind w:left="567"/>
        <w:rPr>
          <w:rFonts w:ascii="AdLib" w:hAnsi="AdLib"/>
          <w:b/>
          <w:color w:val="169492"/>
          <w:sz w:val="32"/>
          <w:szCs w:val="32"/>
        </w:rPr>
      </w:pPr>
      <w:r>
        <w:rPr>
          <w:rFonts w:ascii="AdLib" w:hAnsi="AdLib"/>
          <w:b/>
          <w:color w:val="169492"/>
          <w:sz w:val="32"/>
          <w:szCs w:val="32"/>
        </w:rPr>
        <w:t>Menopause, Reproductive Health</w:t>
      </w:r>
      <w:r w:rsidRPr="00560D3E">
        <w:rPr>
          <w:rFonts w:ascii="AdLib" w:hAnsi="AdLib"/>
          <w:b/>
          <w:color w:val="169492"/>
          <w:sz w:val="32"/>
          <w:szCs w:val="32"/>
        </w:rPr>
        <w:t xml:space="preserve"> and Workplace Health and Safety</w:t>
      </w:r>
      <w:r>
        <w:rPr>
          <w:rFonts w:ascii="AdLib" w:hAnsi="AdLib"/>
          <w:b/>
          <w:color w:val="169492"/>
          <w:sz w:val="32"/>
          <w:szCs w:val="32"/>
        </w:rPr>
        <w:t xml:space="preserve"> Law</w:t>
      </w:r>
    </w:p>
    <w:p w14:paraId="1816C419" w14:textId="77777777" w:rsidR="006F08A0" w:rsidRDefault="006F08A0" w:rsidP="006F08A0"/>
    <w:p w14:paraId="3C6DBC36" w14:textId="77777777" w:rsidR="006F08A0" w:rsidRPr="009D4B10" w:rsidRDefault="006F08A0" w:rsidP="006F08A0">
      <w:pPr>
        <w:pStyle w:val="BodyText"/>
        <w:spacing w:before="121" w:line="249" w:lineRule="auto"/>
        <w:ind w:left="567" w:right="47" w:firstLine="16"/>
        <w:rPr>
          <w:sz w:val="24"/>
          <w:szCs w:val="24"/>
        </w:rPr>
      </w:pPr>
      <w:r>
        <w:rPr>
          <w:sz w:val="24"/>
          <w:szCs w:val="24"/>
        </w:rPr>
        <w:t>The Health and Safety Executive (HSE) states that u</w:t>
      </w:r>
      <w:r w:rsidRPr="009D4B10">
        <w:rPr>
          <w:sz w:val="24"/>
          <w:szCs w:val="24"/>
        </w:rPr>
        <w:t xml:space="preserve">nder health and safety </w:t>
      </w:r>
      <w:r>
        <w:rPr>
          <w:sz w:val="24"/>
          <w:szCs w:val="24"/>
        </w:rPr>
        <w:t xml:space="preserve">law, employers must ensure </w:t>
      </w:r>
      <w:r w:rsidRPr="009D4B10">
        <w:rPr>
          <w:sz w:val="24"/>
          <w:szCs w:val="24"/>
        </w:rPr>
        <w:t>the health and safety of all their</w:t>
      </w:r>
      <w:r>
        <w:rPr>
          <w:sz w:val="24"/>
          <w:szCs w:val="24"/>
        </w:rPr>
        <w:t xml:space="preserve"> employees, irrespective of age as much as it is reasonably practical to do so.  </w:t>
      </w:r>
      <w:r w:rsidRPr="009D4B10">
        <w:rPr>
          <w:sz w:val="24"/>
          <w:szCs w:val="24"/>
        </w:rPr>
        <w:t xml:space="preserve">Employers must also provide adequate information, instruction, </w:t>
      </w:r>
      <w:proofErr w:type="gramStart"/>
      <w:r w:rsidRPr="009D4B10">
        <w:rPr>
          <w:sz w:val="24"/>
          <w:szCs w:val="24"/>
        </w:rPr>
        <w:t>training</w:t>
      </w:r>
      <w:proofErr w:type="gramEnd"/>
      <w:r w:rsidRPr="009D4B10">
        <w:rPr>
          <w:sz w:val="24"/>
          <w:szCs w:val="24"/>
        </w:rPr>
        <w:t xml:space="preserve"> and supervision to enable their employees to carry out their work safely.</w:t>
      </w:r>
      <w:r>
        <w:rPr>
          <w:sz w:val="24"/>
          <w:szCs w:val="24"/>
        </w:rPr>
        <w:t xml:space="preserve">  Employers have a duty of care to make suitable and sufficient assessments of risks in the workplace, and special consideration should be made to groups of workers who could be particularly at risk, which may include older workers, new or expectant mothers and those undergoing treatment for medical conditions.  In addition, employers should not discriminate on grounds of age, gender, or sex</w:t>
      </w:r>
      <w:proofErr w:type="gramStart"/>
      <w:r>
        <w:rPr>
          <w:sz w:val="24"/>
          <w:szCs w:val="24"/>
        </w:rPr>
        <w:t xml:space="preserve">. </w:t>
      </w:r>
      <w:proofErr w:type="gramEnd"/>
      <w:r>
        <w:rPr>
          <w:sz w:val="24"/>
          <w:szCs w:val="24"/>
        </w:rPr>
        <w:t>(Equality Act 2010).</w:t>
      </w:r>
    </w:p>
    <w:p w14:paraId="58DA483F" w14:textId="77777777" w:rsidR="006F08A0" w:rsidRDefault="006F08A0" w:rsidP="006F08A0">
      <w:pPr>
        <w:rPr>
          <w:rFonts w:ascii="AdLib"/>
        </w:rPr>
      </w:pPr>
      <w:r>
        <w:rPr>
          <w:sz w:val="24"/>
          <w:szCs w:val="24"/>
        </w:rPr>
        <w:br w:type="page"/>
      </w:r>
    </w:p>
    <w:p w14:paraId="4912708D" w14:textId="77777777" w:rsidR="006F08A0" w:rsidRPr="00560D3E" w:rsidRDefault="006F08A0" w:rsidP="006F08A0">
      <w:pPr>
        <w:pStyle w:val="Heading3"/>
        <w:spacing w:before="98"/>
        <w:ind w:left="284"/>
        <w:rPr>
          <w:rFonts w:ascii="AdLib" w:hAnsi="AdLib"/>
          <w:b/>
          <w:color w:val="169492"/>
          <w:sz w:val="32"/>
          <w:szCs w:val="32"/>
        </w:rPr>
      </w:pPr>
      <w:r w:rsidRPr="00560D3E">
        <w:rPr>
          <w:rFonts w:ascii="AdLib" w:hAnsi="AdLib"/>
          <w:b/>
          <w:color w:val="169492"/>
          <w:sz w:val="32"/>
          <w:szCs w:val="32"/>
        </w:rPr>
        <w:lastRenderedPageBreak/>
        <w:t xml:space="preserve">What employers can do to </w:t>
      </w:r>
      <w:proofErr w:type="gramStart"/>
      <w:r w:rsidRPr="00560D3E">
        <w:rPr>
          <w:rFonts w:ascii="AdLib" w:hAnsi="AdLib"/>
          <w:b/>
          <w:color w:val="169492"/>
          <w:sz w:val="32"/>
          <w:szCs w:val="32"/>
        </w:rPr>
        <w:t>help</w:t>
      </w:r>
      <w:proofErr w:type="gramEnd"/>
    </w:p>
    <w:p w14:paraId="6374BEFE" w14:textId="77777777" w:rsidR="006F08A0" w:rsidRDefault="006F08A0" w:rsidP="006F08A0">
      <w:pPr>
        <w:pStyle w:val="BodyText"/>
        <w:spacing w:before="7"/>
        <w:ind w:left="284"/>
        <w:rPr>
          <w:rFonts w:ascii="AdLib"/>
          <w:sz w:val="12"/>
        </w:rPr>
      </w:pPr>
    </w:p>
    <w:p w14:paraId="10CFF416" w14:textId="77777777" w:rsidR="006F08A0" w:rsidRDefault="006F08A0" w:rsidP="006F08A0">
      <w:pPr>
        <w:pStyle w:val="BodyText"/>
        <w:spacing w:before="94" w:line="324" w:lineRule="auto"/>
        <w:ind w:left="284" w:right="677"/>
        <w:jc w:val="both"/>
        <w:rPr>
          <w:sz w:val="24"/>
          <w:szCs w:val="24"/>
        </w:rPr>
      </w:pPr>
      <w:r>
        <w:rPr>
          <w:sz w:val="24"/>
          <w:szCs w:val="24"/>
        </w:rPr>
        <w:t xml:space="preserve">Employers can implement several things to support the women’s health amongst their staff group. </w:t>
      </w:r>
      <w:r w:rsidRPr="00377EAB">
        <w:rPr>
          <w:sz w:val="24"/>
          <w:szCs w:val="24"/>
        </w:rPr>
        <w:t xml:space="preserve"> Here are some suggestions based on latest Health and Wellbeing research and best practice</w:t>
      </w:r>
      <w:proofErr w:type="gramStart"/>
      <w:r w:rsidRPr="00377EAB">
        <w:rPr>
          <w:sz w:val="24"/>
          <w:szCs w:val="24"/>
        </w:rPr>
        <w:t xml:space="preserve">. </w:t>
      </w:r>
      <w:proofErr w:type="gramEnd"/>
      <w:r w:rsidRPr="00377EAB">
        <w:rPr>
          <w:sz w:val="24"/>
          <w:szCs w:val="24"/>
        </w:rPr>
        <w:t xml:space="preserve">This guide has focused particularly on </w:t>
      </w:r>
      <w:r>
        <w:rPr>
          <w:sz w:val="24"/>
          <w:szCs w:val="24"/>
        </w:rPr>
        <w:t>menopausal or reproductive</w:t>
      </w:r>
      <w:r w:rsidRPr="00377EAB">
        <w:rPr>
          <w:sz w:val="24"/>
          <w:szCs w:val="24"/>
        </w:rPr>
        <w:t xml:space="preserve"> health although many of these initiatives will support and promote better health and wellbeing in general.</w:t>
      </w:r>
    </w:p>
    <w:p w14:paraId="14D3B35B" w14:textId="77777777" w:rsidR="006F08A0" w:rsidRDefault="006F08A0" w:rsidP="006F08A0">
      <w:pPr>
        <w:pStyle w:val="BodyText"/>
        <w:numPr>
          <w:ilvl w:val="0"/>
          <w:numId w:val="1"/>
        </w:numPr>
        <w:spacing w:before="94" w:line="324" w:lineRule="auto"/>
        <w:ind w:left="284" w:right="677"/>
        <w:jc w:val="both"/>
        <w:rPr>
          <w:color w:val="008080"/>
          <w:sz w:val="24"/>
        </w:rPr>
      </w:pPr>
      <w:r w:rsidRPr="00377EAB">
        <w:rPr>
          <w:color w:val="008080"/>
          <w:sz w:val="24"/>
        </w:rPr>
        <w:t>Open communication with staff will encourage them to come forward and report concerns regarding their own health and wellbeing, as well as health and safety within the organisation</w:t>
      </w:r>
      <w:proofErr w:type="gramStart"/>
      <w:r w:rsidRPr="00377EAB">
        <w:rPr>
          <w:color w:val="008080"/>
          <w:sz w:val="24"/>
        </w:rPr>
        <w:t xml:space="preserve">. </w:t>
      </w:r>
      <w:proofErr w:type="gramEnd"/>
      <w:r w:rsidRPr="00377EAB">
        <w:rPr>
          <w:color w:val="008080"/>
          <w:sz w:val="24"/>
        </w:rPr>
        <w:t>Enabling staff to speak up and seek help can make a big difference to managing conditions and prevent them from worsening</w:t>
      </w:r>
      <w:proofErr w:type="gramStart"/>
      <w:r w:rsidRPr="00377EAB">
        <w:rPr>
          <w:color w:val="008080"/>
          <w:sz w:val="24"/>
        </w:rPr>
        <w:t xml:space="preserve">. </w:t>
      </w:r>
      <w:proofErr w:type="gramEnd"/>
      <w:r w:rsidRPr="00377EAB">
        <w:rPr>
          <w:color w:val="008080"/>
          <w:sz w:val="24"/>
        </w:rPr>
        <w:t>Consult with staff when changes are being made in the workplace, and if you have, a workplace union involve them in discussions</w:t>
      </w:r>
      <w:r w:rsidRPr="00377EAB">
        <w:rPr>
          <w:color w:val="008080"/>
          <w:spacing w:val="-18"/>
          <w:sz w:val="24"/>
        </w:rPr>
        <w:t xml:space="preserve"> </w:t>
      </w:r>
      <w:r w:rsidRPr="00377EAB">
        <w:rPr>
          <w:color w:val="008080"/>
          <w:sz w:val="24"/>
        </w:rPr>
        <w:t>too.</w:t>
      </w:r>
      <w:r>
        <w:rPr>
          <w:color w:val="008080"/>
          <w:sz w:val="24"/>
        </w:rPr>
        <w:t xml:space="preserve">  Ask about wellbeing in appraisals so that this becomes a normal part of conversations. </w:t>
      </w:r>
    </w:p>
    <w:p w14:paraId="189468DA" w14:textId="77777777" w:rsidR="006F08A0" w:rsidRPr="001C08E8" w:rsidRDefault="006F08A0" w:rsidP="006F08A0">
      <w:pPr>
        <w:pStyle w:val="BodyText"/>
        <w:numPr>
          <w:ilvl w:val="0"/>
          <w:numId w:val="1"/>
        </w:numPr>
        <w:spacing w:before="94" w:line="324" w:lineRule="auto"/>
        <w:ind w:left="284" w:right="677"/>
        <w:jc w:val="both"/>
        <w:rPr>
          <w:color w:val="008080"/>
          <w:sz w:val="24"/>
        </w:rPr>
      </w:pPr>
      <w:r>
        <w:rPr>
          <w:color w:val="008080"/>
          <w:sz w:val="24"/>
        </w:rPr>
        <w:t>Mention your provision for health and wellbeing at on boarding so staff are aware of the help available from day one.  A good on-boarding programme can also help new team members to connect with colleagues, supporting health and wellbeing in the future.</w:t>
      </w:r>
    </w:p>
    <w:p w14:paraId="10872EEB" w14:textId="77777777" w:rsidR="006F08A0" w:rsidRDefault="006F08A0" w:rsidP="006F08A0">
      <w:pPr>
        <w:pStyle w:val="BodyText"/>
        <w:numPr>
          <w:ilvl w:val="0"/>
          <w:numId w:val="1"/>
        </w:numPr>
        <w:spacing w:before="94" w:line="324" w:lineRule="auto"/>
        <w:ind w:left="284" w:right="677"/>
        <w:jc w:val="both"/>
        <w:rPr>
          <w:color w:val="008080"/>
          <w:sz w:val="24"/>
        </w:rPr>
      </w:pPr>
      <w:r w:rsidRPr="00377EAB">
        <w:rPr>
          <w:color w:val="008080"/>
          <w:sz w:val="24"/>
        </w:rPr>
        <w:t xml:space="preserve">Ensure senior management are on board with health and wellbeing initiatives. </w:t>
      </w:r>
    </w:p>
    <w:p w14:paraId="2D1F97EF" w14:textId="77777777" w:rsidR="006F08A0" w:rsidRPr="00377EAB" w:rsidRDefault="006F08A0" w:rsidP="006F08A0">
      <w:pPr>
        <w:pStyle w:val="BodyText"/>
        <w:numPr>
          <w:ilvl w:val="0"/>
          <w:numId w:val="1"/>
        </w:numPr>
        <w:spacing w:before="94" w:line="324" w:lineRule="auto"/>
        <w:ind w:left="284" w:right="677"/>
        <w:jc w:val="both"/>
        <w:rPr>
          <w:color w:val="008080"/>
          <w:sz w:val="24"/>
        </w:rPr>
      </w:pPr>
      <w:r>
        <w:rPr>
          <w:color w:val="008080"/>
          <w:sz w:val="24"/>
        </w:rPr>
        <w:t xml:space="preserve">Investigate engaging an employee assistance provider (staff counselling).  If this is not an option, promote local support services available.  Set up a notice board </w:t>
      </w:r>
      <w:r w:rsidRPr="00377EAB">
        <w:rPr>
          <w:color w:val="008080"/>
          <w:sz w:val="24"/>
        </w:rPr>
        <w:t xml:space="preserve">either in a staff room or on the company </w:t>
      </w:r>
      <w:r>
        <w:rPr>
          <w:color w:val="008080"/>
          <w:sz w:val="24"/>
        </w:rPr>
        <w:t xml:space="preserve">shared </w:t>
      </w:r>
      <w:r w:rsidRPr="00377EAB">
        <w:rPr>
          <w:color w:val="008080"/>
          <w:sz w:val="24"/>
        </w:rPr>
        <w:t>drives to promote good health messages and signpost staff to sources of</w:t>
      </w:r>
      <w:r w:rsidRPr="00377EAB">
        <w:rPr>
          <w:color w:val="008080"/>
          <w:spacing w:val="-2"/>
          <w:sz w:val="24"/>
        </w:rPr>
        <w:t xml:space="preserve"> </w:t>
      </w:r>
      <w:r w:rsidRPr="00377EAB">
        <w:rPr>
          <w:color w:val="008080"/>
          <w:sz w:val="24"/>
        </w:rPr>
        <w:t>support.</w:t>
      </w:r>
    </w:p>
    <w:p w14:paraId="301465E5" w14:textId="77777777" w:rsidR="006F08A0" w:rsidRDefault="006F08A0" w:rsidP="006F08A0">
      <w:pPr>
        <w:pStyle w:val="BodyText"/>
        <w:numPr>
          <w:ilvl w:val="0"/>
          <w:numId w:val="1"/>
        </w:numPr>
        <w:spacing w:before="94" w:line="324" w:lineRule="auto"/>
        <w:ind w:left="284" w:right="677"/>
        <w:jc w:val="both"/>
        <w:rPr>
          <w:color w:val="008080"/>
          <w:sz w:val="24"/>
        </w:rPr>
      </w:pPr>
      <w:r w:rsidRPr="00377EAB">
        <w:rPr>
          <w:color w:val="008080"/>
          <w:sz w:val="24"/>
        </w:rPr>
        <w:t>Carry out return to work interviews to ensure staff are supported when returning to the workplace after</w:t>
      </w:r>
      <w:r w:rsidRPr="00377EAB">
        <w:rPr>
          <w:color w:val="008080"/>
          <w:spacing w:val="-32"/>
          <w:sz w:val="24"/>
        </w:rPr>
        <w:t xml:space="preserve"> </w:t>
      </w:r>
      <w:r w:rsidRPr="00377EAB">
        <w:rPr>
          <w:color w:val="008080"/>
          <w:sz w:val="24"/>
        </w:rPr>
        <w:t>absence.</w:t>
      </w:r>
    </w:p>
    <w:p w14:paraId="1995D344" w14:textId="77777777" w:rsidR="006F08A0" w:rsidRPr="00377EAB" w:rsidRDefault="006F08A0" w:rsidP="006F08A0">
      <w:pPr>
        <w:pStyle w:val="BodyText"/>
        <w:numPr>
          <w:ilvl w:val="0"/>
          <w:numId w:val="1"/>
        </w:numPr>
        <w:spacing w:before="94" w:line="324" w:lineRule="auto"/>
        <w:ind w:left="284" w:right="677"/>
        <w:jc w:val="both"/>
        <w:rPr>
          <w:color w:val="008080"/>
          <w:sz w:val="24"/>
        </w:rPr>
      </w:pPr>
      <w:r>
        <w:rPr>
          <w:color w:val="008080"/>
          <w:sz w:val="24"/>
        </w:rPr>
        <w:t xml:space="preserve">Ensure that risks assessments are up to date and </w:t>
      </w:r>
      <w:proofErr w:type="gramStart"/>
      <w:r>
        <w:rPr>
          <w:color w:val="008080"/>
          <w:sz w:val="24"/>
        </w:rPr>
        <w:t>take into account</w:t>
      </w:r>
      <w:proofErr w:type="gramEnd"/>
      <w:r>
        <w:rPr>
          <w:color w:val="008080"/>
          <w:sz w:val="24"/>
        </w:rPr>
        <w:t xml:space="preserve"> needs of specific staff groups, such as new and expectant mothers, older workers and those with health conditions. </w:t>
      </w:r>
    </w:p>
    <w:p w14:paraId="23D69FB6" w14:textId="65857830" w:rsidR="006F08A0" w:rsidRDefault="006F08A0" w:rsidP="006F08A0">
      <w:pPr>
        <w:pStyle w:val="BodyText"/>
        <w:numPr>
          <w:ilvl w:val="0"/>
          <w:numId w:val="1"/>
        </w:numPr>
        <w:spacing w:before="94" w:line="324" w:lineRule="auto"/>
        <w:ind w:left="284" w:right="677"/>
        <w:jc w:val="both"/>
        <w:rPr>
          <w:color w:val="008080"/>
          <w:sz w:val="24"/>
        </w:rPr>
      </w:pPr>
      <w:r w:rsidRPr="00377EAB">
        <w:rPr>
          <w:color w:val="008080"/>
          <w:sz w:val="24"/>
        </w:rPr>
        <w:t>Make good use of reasonable adjustments for staff who need adaptations to their working</w:t>
      </w:r>
      <w:r w:rsidRPr="00377EAB">
        <w:rPr>
          <w:color w:val="008080"/>
          <w:spacing w:val="-21"/>
          <w:sz w:val="24"/>
        </w:rPr>
        <w:t xml:space="preserve"> </w:t>
      </w:r>
      <w:r w:rsidRPr="00377EAB">
        <w:rPr>
          <w:color w:val="008080"/>
          <w:sz w:val="24"/>
        </w:rPr>
        <w:t>practices</w:t>
      </w:r>
      <w:r>
        <w:rPr>
          <w:color w:val="008080"/>
          <w:sz w:val="24"/>
        </w:rPr>
        <w:t>, for example adjusting working hours.  Follow correct procedures for any changes to work, even for the short term.</w:t>
      </w:r>
      <w:r w:rsidR="00BA45EE">
        <w:rPr>
          <w:color w:val="008080"/>
          <w:sz w:val="24"/>
        </w:rPr>
        <w:t xml:space="preserve">  Allow some home or hybrid working to allow staff to manage their symptoms if practical for their duties. </w:t>
      </w:r>
    </w:p>
    <w:p w14:paraId="7BB9D1F2" w14:textId="77777777" w:rsidR="006F08A0" w:rsidRPr="000E4DB4" w:rsidRDefault="006F08A0" w:rsidP="006F08A0">
      <w:pPr>
        <w:pStyle w:val="BodyText"/>
        <w:numPr>
          <w:ilvl w:val="0"/>
          <w:numId w:val="1"/>
        </w:numPr>
        <w:spacing w:before="94" w:line="324" w:lineRule="auto"/>
        <w:ind w:left="284" w:right="677"/>
        <w:jc w:val="both"/>
        <w:rPr>
          <w:color w:val="008080"/>
          <w:sz w:val="24"/>
        </w:rPr>
      </w:pPr>
      <w:r w:rsidRPr="000E4DB4">
        <w:rPr>
          <w:color w:val="008080"/>
          <w:sz w:val="24"/>
        </w:rPr>
        <w:t>Manage changes in performance with care</w:t>
      </w:r>
      <w:proofErr w:type="gramStart"/>
      <w:r w:rsidRPr="000E4DB4">
        <w:rPr>
          <w:color w:val="008080"/>
          <w:sz w:val="24"/>
        </w:rPr>
        <w:t xml:space="preserve">. </w:t>
      </w:r>
      <w:proofErr w:type="gramEnd"/>
      <w:r w:rsidRPr="000E4DB4">
        <w:rPr>
          <w:color w:val="008080"/>
          <w:sz w:val="24"/>
        </w:rPr>
        <w:t xml:space="preserve">Ensure reasonable adjustments and performance reviews are carried </w:t>
      </w:r>
      <w:proofErr w:type="gramStart"/>
      <w:r w:rsidRPr="000E4DB4">
        <w:rPr>
          <w:color w:val="008080"/>
          <w:sz w:val="24"/>
        </w:rPr>
        <w:t>our</w:t>
      </w:r>
      <w:proofErr w:type="gramEnd"/>
      <w:r w:rsidRPr="000E4DB4">
        <w:rPr>
          <w:color w:val="008080"/>
          <w:sz w:val="24"/>
        </w:rPr>
        <w:t xml:space="preserve"> fairly for all staff.</w:t>
      </w:r>
    </w:p>
    <w:p w14:paraId="22B82009" w14:textId="77777777" w:rsidR="006F08A0" w:rsidRDefault="006F08A0" w:rsidP="006F08A0">
      <w:pPr>
        <w:pStyle w:val="BodyText"/>
        <w:numPr>
          <w:ilvl w:val="0"/>
          <w:numId w:val="1"/>
        </w:numPr>
        <w:spacing w:before="94" w:line="324" w:lineRule="auto"/>
        <w:ind w:left="284" w:right="677"/>
        <w:jc w:val="both"/>
        <w:rPr>
          <w:color w:val="008080"/>
          <w:sz w:val="24"/>
        </w:rPr>
      </w:pPr>
      <w:r>
        <w:rPr>
          <w:color w:val="008080"/>
          <w:sz w:val="24"/>
        </w:rPr>
        <w:t>Look at absence management policies and be clear on time away from the workplace for medical appointment, including fertility appointments.</w:t>
      </w:r>
    </w:p>
    <w:p w14:paraId="0CB1BB23" w14:textId="77777777" w:rsidR="006F08A0" w:rsidRDefault="006F08A0" w:rsidP="006F08A0">
      <w:pPr>
        <w:pStyle w:val="BodyText"/>
        <w:numPr>
          <w:ilvl w:val="0"/>
          <w:numId w:val="1"/>
        </w:numPr>
        <w:spacing w:before="94" w:line="324" w:lineRule="auto"/>
        <w:ind w:left="284" w:right="677"/>
        <w:jc w:val="both"/>
        <w:rPr>
          <w:color w:val="008080"/>
          <w:sz w:val="24"/>
        </w:rPr>
      </w:pPr>
      <w:r>
        <w:rPr>
          <w:color w:val="008080"/>
          <w:sz w:val="24"/>
        </w:rPr>
        <w:t xml:space="preserve">Provide colleagues with someone to talk to other than their immediate line manager.  You could offer them to talk to a member of the HR team if you have one, another manager or a colleague who is a health champion. </w:t>
      </w:r>
    </w:p>
    <w:p w14:paraId="1964D43B" w14:textId="77777777" w:rsidR="006F08A0" w:rsidRPr="00622151" w:rsidRDefault="006F08A0" w:rsidP="006F08A0">
      <w:pPr>
        <w:pStyle w:val="BodyText"/>
        <w:numPr>
          <w:ilvl w:val="0"/>
          <w:numId w:val="1"/>
        </w:numPr>
        <w:spacing w:before="94" w:line="324" w:lineRule="auto"/>
        <w:ind w:left="284" w:right="677"/>
        <w:jc w:val="both"/>
        <w:rPr>
          <w:color w:val="008080"/>
          <w:sz w:val="24"/>
        </w:rPr>
      </w:pPr>
      <w:r w:rsidRPr="00622151">
        <w:rPr>
          <w:color w:val="008080"/>
          <w:sz w:val="24"/>
        </w:rPr>
        <w:lastRenderedPageBreak/>
        <w:t xml:space="preserve">Look at the workplace environment.  Check it is suitable for staff to carry out their duties and provides space for breaks and that suitable sanitary disposal provisions are in place for female staff and visitors. </w:t>
      </w:r>
    </w:p>
    <w:p w14:paraId="4C2E9CD8" w14:textId="77777777" w:rsidR="006F08A0" w:rsidRDefault="006F08A0" w:rsidP="006F08A0">
      <w:pPr>
        <w:pStyle w:val="BodyText"/>
        <w:numPr>
          <w:ilvl w:val="0"/>
          <w:numId w:val="1"/>
        </w:numPr>
        <w:spacing w:before="145" w:line="324" w:lineRule="auto"/>
        <w:ind w:left="284" w:right="677"/>
        <w:jc w:val="both"/>
        <w:rPr>
          <w:color w:val="008080"/>
          <w:sz w:val="24"/>
        </w:rPr>
      </w:pPr>
      <w:r w:rsidRPr="00253EBC">
        <w:rPr>
          <w:color w:val="008080"/>
          <w:sz w:val="24"/>
        </w:rPr>
        <w:t>Take part in various camp</w:t>
      </w:r>
      <w:r>
        <w:rPr>
          <w:color w:val="008080"/>
          <w:sz w:val="24"/>
        </w:rPr>
        <w:t>aigns, which can improve health awareness such as breast cancer month, ovarian cancer awareness and PMDD month.  These activities can help to break down stigma and will</w:t>
      </w:r>
      <w:r w:rsidRPr="00253EBC">
        <w:rPr>
          <w:color w:val="008080"/>
          <w:sz w:val="24"/>
        </w:rPr>
        <w:t xml:space="preserve"> improve knowledge in the workforce and increase understanding towards colleagues living with long-term health conditions</w:t>
      </w:r>
      <w:proofErr w:type="gramStart"/>
      <w:r w:rsidRPr="00253EBC">
        <w:rPr>
          <w:color w:val="008080"/>
          <w:sz w:val="24"/>
        </w:rPr>
        <w:t xml:space="preserve">. </w:t>
      </w:r>
      <w:proofErr w:type="gramEnd"/>
      <w:r w:rsidRPr="00253EBC">
        <w:rPr>
          <w:color w:val="008080"/>
          <w:sz w:val="24"/>
        </w:rPr>
        <w:t>A third of people with long-term health conditions do not feel that their colleagues understand their health needs.</w:t>
      </w:r>
    </w:p>
    <w:p w14:paraId="3343FA43" w14:textId="77777777" w:rsidR="006F08A0" w:rsidRDefault="006F08A0" w:rsidP="006F08A0">
      <w:pPr>
        <w:pStyle w:val="BodyText"/>
        <w:numPr>
          <w:ilvl w:val="0"/>
          <w:numId w:val="1"/>
        </w:numPr>
        <w:spacing w:before="145" w:line="324" w:lineRule="auto"/>
        <w:ind w:left="284" w:right="677"/>
        <w:jc w:val="both"/>
        <w:rPr>
          <w:color w:val="008080"/>
          <w:sz w:val="24"/>
        </w:rPr>
      </w:pPr>
      <w:r>
        <w:rPr>
          <w:color w:val="008080"/>
          <w:sz w:val="24"/>
        </w:rPr>
        <w:t xml:space="preserve">Promote healthy lifestyles.  Being smoke-free, eating healthily and keeping active will help to prevent cancers and help in managing symptoms of other conditions. </w:t>
      </w:r>
    </w:p>
    <w:p w14:paraId="51E4B67A" w14:textId="4C2A58F3" w:rsidR="006F08A0" w:rsidRDefault="006F08A0" w:rsidP="006F08A0">
      <w:pPr>
        <w:pStyle w:val="BodyText"/>
        <w:numPr>
          <w:ilvl w:val="0"/>
          <w:numId w:val="1"/>
        </w:numPr>
        <w:spacing w:before="145" w:line="324" w:lineRule="auto"/>
        <w:ind w:left="284" w:right="677"/>
        <w:jc w:val="both"/>
        <w:rPr>
          <w:color w:val="008080"/>
          <w:sz w:val="24"/>
        </w:rPr>
      </w:pPr>
      <w:r w:rsidRPr="00F0640F">
        <w:rPr>
          <w:color w:val="008080"/>
          <w:sz w:val="24"/>
        </w:rPr>
        <w:t xml:space="preserve">Offer training for managers.  This is available from various organisations, including ACAS and will help equip them to better support their teams. </w:t>
      </w:r>
    </w:p>
    <w:p w14:paraId="0FA337D9" w14:textId="16C58F35" w:rsidR="00BA45EE" w:rsidRDefault="00BA45EE" w:rsidP="006F08A0">
      <w:pPr>
        <w:pStyle w:val="BodyText"/>
        <w:numPr>
          <w:ilvl w:val="0"/>
          <w:numId w:val="1"/>
        </w:numPr>
        <w:spacing w:before="145" w:line="324" w:lineRule="auto"/>
        <w:ind w:left="284" w:right="677"/>
        <w:jc w:val="both"/>
        <w:rPr>
          <w:color w:val="008080"/>
          <w:sz w:val="24"/>
        </w:rPr>
      </w:pPr>
      <w:r>
        <w:rPr>
          <w:color w:val="008080"/>
          <w:sz w:val="24"/>
        </w:rPr>
        <w:t xml:space="preserve">Offer sanitary products in </w:t>
      </w:r>
      <w:proofErr w:type="gramStart"/>
      <w:r>
        <w:rPr>
          <w:color w:val="008080"/>
          <w:sz w:val="24"/>
        </w:rPr>
        <w:t>wash rooms</w:t>
      </w:r>
      <w:proofErr w:type="gramEnd"/>
      <w:r>
        <w:rPr>
          <w:color w:val="008080"/>
          <w:sz w:val="24"/>
        </w:rPr>
        <w:t xml:space="preserve"> for staff to use</w:t>
      </w:r>
      <w:r w:rsidR="002E33EB">
        <w:rPr>
          <w:color w:val="008080"/>
          <w:sz w:val="24"/>
        </w:rPr>
        <w:t xml:space="preserve"> to avoid unnecessary embarrassment if an unexpected period occurs, or if they experience heavy bleeding. </w:t>
      </w:r>
    </w:p>
    <w:p w14:paraId="03A777DE" w14:textId="04FD1287" w:rsidR="00BA45EE" w:rsidRDefault="00BA45EE" w:rsidP="006F08A0">
      <w:pPr>
        <w:pStyle w:val="BodyText"/>
        <w:numPr>
          <w:ilvl w:val="0"/>
          <w:numId w:val="1"/>
        </w:numPr>
        <w:spacing w:before="145" w:line="324" w:lineRule="auto"/>
        <w:ind w:left="284" w:right="677"/>
        <w:jc w:val="both"/>
        <w:rPr>
          <w:color w:val="008080"/>
          <w:sz w:val="24"/>
        </w:rPr>
      </w:pPr>
      <w:r>
        <w:rPr>
          <w:color w:val="008080"/>
          <w:sz w:val="24"/>
        </w:rPr>
        <w:t xml:space="preserve">Allow staff to take additional breaks, and if reasonably practical provide a light and airy restroom, or allow staff to go for a short walk which can help in alleviating hot flush </w:t>
      </w:r>
      <w:proofErr w:type="gramStart"/>
      <w:r>
        <w:rPr>
          <w:color w:val="008080"/>
          <w:sz w:val="24"/>
        </w:rPr>
        <w:t>symptoms</w:t>
      </w:r>
      <w:proofErr w:type="gramEnd"/>
    </w:p>
    <w:p w14:paraId="31BEC3C0" w14:textId="356B414C" w:rsidR="00BA45EE" w:rsidRDefault="00BA45EE" w:rsidP="00BA45EE">
      <w:pPr>
        <w:pStyle w:val="BodyText"/>
        <w:numPr>
          <w:ilvl w:val="0"/>
          <w:numId w:val="1"/>
        </w:numPr>
        <w:spacing w:before="145" w:line="324" w:lineRule="auto"/>
        <w:ind w:left="284" w:right="677"/>
        <w:jc w:val="both"/>
        <w:rPr>
          <w:color w:val="008080"/>
          <w:sz w:val="24"/>
        </w:rPr>
      </w:pPr>
      <w:r>
        <w:rPr>
          <w:color w:val="008080"/>
          <w:sz w:val="24"/>
        </w:rPr>
        <w:t xml:space="preserve">Consider adapting uniforms to make the more comfortable, if </w:t>
      </w:r>
      <w:proofErr w:type="gramStart"/>
      <w:r>
        <w:rPr>
          <w:color w:val="008080"/>
          <w:sz w:val="24"/>
        </w:rPr>
        <w:t>possible</w:t>
      </w:r>
      <w:proofErr w:type="gramEnd"/>
      <w:r>
        <w:rPr>
          <w:color w:val="008080"/>
          <w:sz w:val="24"/>
        </w:rPr>
        <w:t xml:space="preserve"> to do so. </w:t>
      </w:r>
    </w:p>
    <w:p w14:paraId="6EB4C371" w14:textId="75A12AC6" w:rsidR="00BA45EE" w:rsidRPr="00BA45EE" w:rsidRDefault="00BA45EE" w:rsidP="00BA45EE">
      <w:pPr>
        <w:pStyle w:val="BodyText"/>
        <w:numPr>
          <w:ilvl w:val="0"/>
          <w:numId w:val="1"/>
        </w:numPr>
        <w:spacing w:before="145" w:line="324" w:lineRule="auto"/>
        <w:ind w:left="284" w:right="677"/>
        <w:jc w:val="both"/>
        <w:rPr>
          <w:color w:val="008080"/>
          <w:sz w:val="24"/>
        </w:rPr>
      </w:pPr>
      <w:r>
        <w:rPr>
          <w:color w:val="008080"/>
          <w:sz w:val="24"/>
        </w:rPr>
        <w:t xml:space="preserve">Set up a quiet and confidential area for staff to take or make calls regarding appointments, which sometimes </w:t>
      </w:r>
      <w:proofErr w:type="gramStart"/>
      <w:r>
        <w:rPr>
          <w:color w:val="008080"/>
          <w:sz w:val="24"/>
        </w:rPr>
        <w:t>have to</w:t>
      </w:r>
      <w:proofErr w:type="gramEnd"/>
      <w:r>
        <w:rPr>
          <w:color w:val="008080"/>
          <w:sz w:val="24"/>
        </w:rPr>
        <w:t xml:space="preserve"> take place in working hours. </w:t>
      </w:r>
    </w:p>
    <w:p w14:paraId="396A133A" w14:textId="77777777" w:rsidR="006F08A0" w:rsidRDefault="006F08A0" w:rsidP="006F08A0">
      <w:pPr>
        <w:pStyle w:val="Heading3"/>
        <w:spacing w:before="98"/>
        <w:ind w:left="284"/>
        <w:rPr>
          <w:rFonts w:ascii="AdLib" w:hAnsi="AdLib"/>
          <w:b/>
          <w:color w:val="169492"/>
          <w:sz w:val="32"/>
          <w:szCs w:val="32"/>
        </w:rPr>
      </w:pPr>
      <w:r w:rsidRPr="00560D3E">
        <w:rPr>
          <w:rFonts w:ascii="AdLib" w:hAnsi="AdLib"/>
          <w:b/>
          <w:color w:val="169492"/>
          <w:sz w:val="32"/>
          <w:szCs w:val="32"/>
        </w:rPr>
        <w:t>Useful Resources</w:t>
      </w:r>
    </w:p>
    <w:p w14:paraId="35706EC3" w14:textId="603944D1" w:rsidR="006F08A0" w:rsidRPr="00951B2A" w:rsidRDefault="00022BBD" w:rsidP="006F08A0">
      <w:pPr>
        <w:pStyle w:val="ListParagraph"/>
        <w:numPr>
          <w:ilvl w:val="0"/>
          <w:numId w:val="2"/>
        </w:numPr>
        <w:tabs>
          <w:tab w:val="left" w:pos="1166"/>
        </w:tabs>
        <w:spacing w:before="72" w:line="218" w:lineRule="exact"/>
        <w:ind w:left="284"/>
        <w:rPr>
          <w:rFonts w:ascii="Arial" w:hAnsi="Arial" w:cs="Arial"/>
          <w:color w:val="007F7F"/>
          <w:sz w:val="24"/>
          <w:szCs w:val="24"/>
        </w:rPr>
      </w:pPr>
      <w:hyperlink r:id="rId16" w:history="1">
        <w:r w:rsidR="006F08A0" w:rsidRPr="00951B2A">
          <w:rPr>
            <w:rStyle w:val="Hyperlink"/>
            <w:rFonts w:ascii="Arial" w:hAnsi="Arial" w:cs="Arial"/>
            <w:sz w:val="24"/>
            <w:szCs w:val="24"/>
          </w:rPr>
          <w:t>A Better Medway</w:t>
        </w:r>
      </w:hyperlink>
      <w:r w:rsidR="006F08A0" w:rsidRPr="00951B2A">
        <w:rPr>
          <w:rFonts w:ascii="Arial" w:hAnsi="Arial" w:cs="Arial"/>
          <w:color w:val="007F7F"/>
          <w:sz w:val="24"/>
          <w:szCs w:val="24"/>
        </w:rPr>
        <w:t xml:space="preserve"> - local health improvement advice and support</w:t>
      </w:r>
      <w:r>
        <w:rPr>
          <w:rFonts w:ascii="Arial" w:hAnsi="Arial" w:cs="Arial"/>
          <w:color w:val="007F7F"/>
          <w:sz w:val="24"/>
          <w:szCs w:val="24"/>
        </w:rPr>
        <w:t xml:space="preserve"> in Medway </w:t>
      </w:r>
    </w:p>
    <w:p w14:paraId="35560EC0" w14:textId="77777777" w:rsidR="006F08A0" w:rsidRDefault="006F08A0" w:rsidP="006F08A0">
      <w:pPr>
        <w:pStyle w:val="ListParagraph"/>
        <w:numPr>
          <w:ilvl w:val="0"/>
          <w:numId w:val="2"/>
        </w:numPr>
        <w:tabs>
          <w:tab w:val="left" w:pos="1166"/>
        </w:tabs>
        <w:spacing w:line="247" w:lineRule="auto"/>
        <w:ind w:left="284" w:right="875"/>
        <w:rPr>
          <w:rFonts w:ascii="Arial" w:hAnsi="Arial" w:cs="Arial"/>
          <w:color w:val="007F7F"/>
          <w:sz w:val="24"/>
          <w:szCs w:val="24"/>
        </w:rPr>
      </w:pPr>
      <w:r w:rsidRPr="00951B2A">
        <w:rPr>
          <w:rFonts w:ascii="Arial" w:hAnsi="Arial" w:cs="Arial"/>
          <w:color w:val="007F7F"/>
          <w:sz w:val="24"/>
          <w:szCs w:val="24"/>
        </w:rPr>
        <w:t xml:space="preserve">Access to work programme for support and equipment at work when you have long term health condition or disability </w:t>
      </w:r>
      <w:hyperlink r:id="rId17">
        <w:r w:rsidRPr="00951B2A">
          <w:rPr>
            <w:rFonts w:ascii="Arial" w:hAnsi="Arial" w:cs="Arial"/>
            <w:color w:val="007F7F"/>
            <w:sz w:val="24"/>
            <w:szCs w:val="24"/>
          </w:rPr>
          <w:t>https://www.gov.uk/access-to-work</w:t>
        </w:r>
      </w:hyperlink>
    </w:p>
    <w:p w14:paraId="4180A268" w14:textId="77777777" w:rsidR="006F08A0" w:rsidRPr="006F08A0" w:rsidRDefault="00022BBD" w:rsidP="006F08A0">
      <w:pPr>
        <w:pStyle w:val="ListParagraph"/>
        <w:numPr>
          <w:ilvl w:val="0"/>
          <w:numId w:val="2"/>
        </w:numPr>
        <w:tabs>
          <w:tab w:val="left" w:pos="1166"/>
        </w:tabs>
        <w:spacing w:before="72" w:line="240" w:lineRule="exact"/>
        <w:ind w:left="283" w:hanging="238"/>
        <w:rPr>
          <w:rFonts w:ascii="Arial" w:hAnsi="Arial" w:cs="Arial"/>
          <w:color w:val="007F7F"/>
          <w:sz w:val="24"/>
          <w:szCs w:val="24"/>
        </w:rPr>
      </w:pPr>
      <w:hyperlink r:id="rId18" w:history="1">
        <w:r w:rsidR="006F08A0" w:rsidRPr="006F08A0">
          <w:rPr>
            <w:rStyle w:val="Hyperlink"/>
            <w:rFonts w:ascii="Arial" w:hAnsi="Arial" w:cs="Arial"/>
            <w:sz w:val="24"/>
            <w:szCs w:val="24"/>
          </w:rPr>
          <w:t>One You Kent:</w:t>
        </w:r>
      </w:hyperlink>
      <w:r w:rsidR="006F08A0" w:rsidRPr="006F08A0">
        <w:rPr>
          <w:rFonts w:ascii="Arial" w:hAnsi="Arial" w:cs="Arial"/>
          <w:sz w:val="24"/>
          <w:szCs w:val="24"/>
        </w:rPr>
        <w:t xml:space="preserve"> </w:t>
      </w:r>
      <w:r w:rsidR="006F08A0" w:rsidRPr="006F08A0">
        <w:rPr>
          <w:rFonts w:ascii="Arial" w:hAnsi="Arial" w:cs="Arial"/>
          <w:color w:val="007F7F"/>
          <w:sz w:val="24"/>
          <w:szCs w:val="24"/>
        </w:rPr>
        <w:t>local health improvement advice and information for Kent</w:t>
      </w:r>
    </w:p>
    <w:p w14:paraId="7232B76C" w14:textId="2216F966" w:rsidR="006F08A0" w:rsidRPr="006F08A0" w:rsidRDefault="00022BBD" w:rsidP="006F08A0">
      <w:pPr>
        <w:pStyle w:val="ListParagraph"/>
        <w:numPr>
          <w:ilvl w:val="0"/>
          <w:numId w:val="2"/>
        </w:numPr>
        <w:tabs>
          <w:tab w:val="left" w:pos="1166"/>
        </w:tabs>
        <w:spacing w:line="247" w:lineRule="auto"/>
        <w:ind w:left="284" w:right="875"/>
        <w:rPr>
          <w:rFonts w:ascii="Arial" w:hAnsi="Arial" w:cs="Arial"/>
          <w:color w:val="007F7F"/>
          <w:sz w:val="24"/>
          <w:szCs w:val="24"/>
        </w:rPr>
      </w:pPr>
      <w:hyperlink r:id="rId19" w:history="1">
        <w:r w:rsidR="006F08A0" w:rsidRPr="00022BBD">
          <w:rPr>
            <w:rStyle w:val="Hyperlink"/>
            <w:rFonts w:ascii="Arial" w:hAnsi="Arial" w:cs="Arial"/>
            <w:sz w:val="24"/>
            <w:szCs w:val="24"/>
          </w:rPr>
          <w:t>Access to work programme</w:t>
        </w:r>
      </w:hyperlink>
      <w:r w:rsidR="006F08A0" w:rsidRPr="006F08A0">
        <w:rPr>
          <w:rFonts w:ascii="Arial" w:hAnsi="Arial" w:cs="Arial"/>
          <w:color w:val="007F7F"/>
          <w:sz w:val="24"/>
          <w:szCs w:val="24"/>
        </w:rPr>
        <w:t xml:space="preserve"> for support and equipment at work when you have long term health condition or </w:t>
      </w:r>
      <w:proofErr w:type="gramStart"/>
      <w:r w:rsidR="006F08A0" w:rsidRPr="006F08A0">
        <w:rPr>
          <w:rFonts w:ascii="Arial" w:hAnsi="Arial" w:cs="Arial"/>
          <w:color w:val="007F7F"/>
          <w:sz w:val="24"/>
          <w:szCs w:val="24"/>
        </w:rPr>
        <w:t>disability</w:t>
      </w:r>
      <w:proofErr w:type="gramEnd"/>
      <w:r w:rsidR="006F08A0" w:rsidRPr="006F08A0">
        <w:rPr>
          <w:rFonts w:ascii="Arial" w:hAnsi="Arial" w:cs="Arial"/>
          <w:color w:val="007F7F"/>
          <w:sz w:val="24"/>
          <w:szCs w:val="24"/>
        </w:rPr>
        <w:t xml:space="preserve"> </w:t>
      </w:r>
    </w:p>
    <w:p w14:paraId="1EB38BB8" w14:textId="77777777" w:rsidR="006F08A0" w:rsidRPr="006F08A0" w:rsidRDefault="006F08A0" w:rsidP="006F08A0">
      <w:pPr>
        <w:pStyle w:val="ListParagraph"/>
        <w:numPr>
          <w:ilvl w:val="0"/>
          <w:numId w:val="2"/>
        </w:numPr>
        <w:tabs>
          <w:tab w:val="left" w:pos="1166"/>
        </w:tabs>
        <w:spacing w:line="247" w:lineRule="auto"/>
        <w:ind w:left="284" w:right="1203"/>
        <w:rPr>
          <w:rFonts w:ascii="Arial" w:hAnsi="Arial" w:cs="Arial"/>
          <w:color w:val="007F7F"/>
          <w:sz w:val="24"/>
          <w:szCs w:val="24"/>
        </w:rPr>
      </w:pPr>
      <w:r w:rsidRPr="006F08A0">
        <w:rPr>
          <w:rFonts w:ascii="Arial" w:hAnsi="Arial" w:cs="Arial"/>
          <w:color w:val="007F7F"/>
          <w:sz w:val="24"/>
          <w:szCs w:val="24"/>
        </w:rPr>
        <w:t xml:space="preserve">Business in the Community Public Health England Toolkits: </w:t>
      </w:r>
      <w:hyperlink r:id="rId20" w:history="1">
        <w:r w:rsidRPr="006F08A0">
          <w:rPr>
            <w:rStyle w:val="Hyperlink"/>
            <w:rFonts w:ascii="Arial" w:hAnsi="Arial" w:cs="Arial"/>
            <w:sz w:val="24"/>
            <w:szCs w:val="24"/>
          </w:rPr>
          <w:t xml:space="preserve">Mental Health toolkit for employers </w:t>
        </w:r>
      </w:hyperlink>
    </w:p>
    <w:p w14:paraId="6903D175" w14:textId="77777777" w:rsidR="006F08A0" w:rsidRPr="006F08A0" w:rsidRDefault="00022BBD" w:rsidP="006F08A0">
      <w:pPr>
        <w:pStyle w:val="ListParagraph"/>
        <w:numPr>
          <w:ilvl w:val="0"/>
          <w:numId w:val="2"/>
        </w:numPr>
        <w:tabs>
          <w:tab w:val="left" w:pos="1166"/>
        </w:tabs>
        <w:spacing w:line="210" w:lineRule="exact"/>
        <w:ind w:left="284"/>
        <w:rPr>
          <w:rStyle w:val="Hyperlink"/>
          <w:rFonts w:ascii="Arial" w:hAnsi="Arial" w:cs="Arial"/>
          <w:sz w:val="24"/>
          <w:szCs w:val="24"/>
        </w:rPr>
      </w:pPr>
      <w:hyperlink r:id="rId21" w:history="1">
        <w:r w:rsidR="006F08A0" w:rsidRPr="006F08A0">
          <w:rPr>
            <w:rStyle w:val="Hyperlink"/>
            <w:rFonts w:ascii="Arial" w:hAnsi="Arial" w:cs="Arial"/>
            <w:sz w:val="24"/>
            <w:szCs w:val="24"/>
          </w:rPr>
          <w:t>Every Mind Matters</w:t>
        </w:r>
      </w:hyperlink>
      <w:r w:rsidR="006F08A0" w:rsidRPr="006F08A0">
        <w:rPr>
          <w:rFonts w:ascii="Arial" w:hAnsi="Arial" w:cs="Arial"/>
          <w:sz w:val="24"/>
          <w:szCs w:val="24"/>
        </w:rPr>
        <w:t xml:space="preserve"> </w:t>
      </w:r>
      <w:r w:rsidR="006F08A0" w:rsidRPr="006F08A0">
        <w:rPr>
          <w:rFonts w:ascii="Arial" w:hAnsi="Arial" w:cs="Arial"/>
          <w:color w:val="007F7F"/>
          <w:sz w:val="24"/>
          <w:szCs w:val="24"/>
        </w:rPr>
        <w:t xml:space="preserve">Mental Health information from the NHS and Public Health England </w:t>
      </w:r>
      <w:r w:rsidR="006F08A0" w:rsidRPr="006F08A0">
        <w:rPr>
          <w:rFonts w:ascii="Arial" w:hAnsi="Arial" w:cs="Arial"/>
          <w:color w:val="007F7F"/>
          <w:sz w:val="24"/>
          <w:szCs w:val="24"/>
        </w:rPr>
        <w:fldChar w:fldCharType="begin"/>
      </w:r>
      <w:r w:rsidR="006F08A0" w:rsidRPr="006F08A0">
        <w:rPr>
          <w:rFonts w:ascii="Arial" w:hAnsi="Arial" w:cs="Arial"/>
          <w:color w:val="007F7F"/>
          <w:sz w:val="24"/>
          <w:szCs w:val="24"/>
        </w:rPr>
        <w:instrText xml:space="preserve"> HYPERLINK "https://www.mentalhealthatwork.org.uk/" </w:instrText>
      </w:r>
      <w:r w:rsidR="006F08A0" w:rsidRPr="006F08A0">
        <w:rPr>
          <w:rFonts w:ascii="Arial" w:hAnsi="Arial" w:cs="Arial"/>
          <w:color w:val="007F7F"/>
          <w:sz w:val="24"/>
          <w:szCs w:val="24"/>
        </w:rPr>
      </w:r>
      <w:r w:rsidR="006F08A0" w:rsidRPr="006F08A0">
        <w:rPr>
          <w:rFonts w:ascii="Arial" w:hAnsi="Arial" w:cs="Arial"/>
          <w:color w:val="007F7F"/>
          <w:sz w:val="24"/>
          <w:szCs w:val="24"/>
        </w:rPr>
        <w:fldChar w:fldCharType="separate"/>
      </w:r>
    </w:p>
    <w:p w14:paraId="52875782" w14:textId="77777777" w:rsidR="006F08A0" w:rsidRPr="006F08A0" w:rsidRDefault="006F08A0" w:rsidP="006F08A0">
      <w:pPr>
        <w:pStyle w:val="ListParagraph"/>
        <w:numPr>
          <w:ilvl w:val="0"/>
          <w:numId w:val="2"/>
        </w:numPr>
        <w:tabs>
          <w:tab w:val="left" w:pos="1166"/>
        </w:tabs>
        <w:ind w:left="284"/>
        <w:rPr>
          <w:rFonts w:ascii="Arial" w:hAnsi="Arial" w:cs="Arial"/>
          <w:color w:val="007F7F"/>
          <w:sz w:val="24"/>
          <w:szCs w:val="24"/>
        </w:rPr>
      </w:pPr>
      <w:r w:rsidRPr="006F08A0">
        <w:rPr>
          <w:rStyle w:val="Hyperlink"/>
          <w:rFonts w:ascii="Arial" w:hAnsi="Arial" w:cs="Arial"/>
          <w:sz w:val="24"/>
          <w:szCs w:val="24"/>
        </w:rPr>
        <w:t>For Better Mental Health at Work</w:t>
      </w:r>
      <w:r w:rsidRPr="006F08A0">
        <w:rPr>
          <w:rFonts w:ascii="Arial" w:hAnsi="Arial" w:cs="Arial"/>
          <w:color w:val="007F7F"/>
          <w:sz w:val="24"/>
          <w:szCs w:val="24"/>
        </w:rPr>
        <w:fldChar w:fldCharType="end"/>
      </w:r>
      <w:r w:rsidRPr="006F08A0">
        <w:rPr>
          <w:rFonts w:ascii="Arial" w:hAnsi="Arial" w:cs="Arial"/>
          <w:color w:val="007F7F"/>
          <w:spacing w:val="-6"/>
          <w:sz w:val="24"/>
          <w:szCs w:val="24"/>
        </w:rPr>
        <w:t xml:space="preserve"> </w:t>
      </w:r>
    </w:p>
    <w:p w14:paraId="2D35068C" w14:textId="77777777" w:rsidR="006F08A0" w:rsidRPr="006F08A0" w:rsidRDefault="006F08A0" w:rsidP="006F08A0">
      <w:pPr>
        <w:pStyle w:val="ListParagraph"/>
        <w:numPr>
          <w:ilvl w:val="0"/>
          <w:numId w:val="2"/>
        </w:numPr>
        <w:tabs>
          <w:tab w:val="left" w:pos="1166"/>
        </w:tabs>
        <w:ind w:left="284"/>
        <w:rPr>
          <w:rFonts w:ascii="Arial" w:hAnsi="Arial" w:cs="Arial"/>
          <w:color w:val="007F7F"/>
          <w:sz w:val="24"/>
          <w:szCs w:val="24"/>
        </w:rPr>
      </w:pPr>
      <w:r w:rsidRPr="006F08A0">
        <w:rPr>
          <w:rFonts w:ascii="Arial" w:hAnsi="Arial" w:cs="Arial"/>
          <w:color w:val="007F7F"/>
          <w:spacing w:val="-6"/>
          <w:sz w:val="24"/>
          <w:szCs w:val="24"/>
        </w:rPr>
        <w:t xml:space="preserve">ACAS: </w:t>
      </w:r>
      <w:hyperlink r:id="rId22" w:history="1">
        <w:r w:rsidRPr="006F08A0">
          <w:rPr>
            <w:rStyle w:val="Hyperlink"/>
            <w:rFonts w:ascii="Arial" w:hAnsi="Arial" w:cs="Arial"/>
            <w:spacing w:val="-6"/>
            <w:sz w:val="24"/>
            <w:szCs w:val="24"/>
          </w:rPr>
          <w:t>Menopause at Work Guidance</w:t>
        </w:r>
      </w:hyperlink>
      <w:r w:rsidRPr="006F08A0">
        <w:rPr>
          <w:rFonts w:ascii="Arial" w:hAnsi="Arial" w:cs="Arial"/>
          <w:color w:val="007F7F"/>
          <w:spacing w:val="-6"/>
          <w:sz w:val="24"/>
          <w:szCs w:val="24"/>
        </w:rPr>
        <w:t xml:space="preserve">, </w:t>
      </w:r>
      <w:hyperlink r:id="rId23" w:history="1">
        <w:r w:rsidRPr="006F08A0">
          <w:rPr>
            <w:rStyle w:val="Hyperlink"/>
            <w:rFonts w:ascii="Arial" w:hAnsi="Arial" w:cs="Arial"/>
            <w:spacing w:val="-6"/>
            <w:sz w:val="24"/>
            <w:szCs w:val="24"/>
          </w:rPr>
          <w:t>Menopause Training for Managers</w:t>
        </w:r>
      </w:hyperlink>
    </w:p>
    <w:p w14:paraId="6648E70C" w14:textId="77777777" w:rsidR="006F08A0" w:rsidRPr="006F08A0" w:rsidRDefault="006F08A0" w:rsidP="006F08A0">
      <w:pPr>
        <w:pStyle w:val="ListParagraph"/>
        <w:numPr>
          <w:ilvl w:val="0"/>
          <w:numId w:val="2"/>
        </w:numPr>
        <w:tabs>
          <w:tab w:val="left" w:pos="1166"/>
        </w:tabs>
        <w:ind w:left="284"/>
        <w:rPr>
          <w:rFonts w:ascii="Arial" w:hAnsi="Arial" w:cs="Arial"/>
          <w:color w:val="007F7F"/>
          <w:sz w:val="24"/>
          <w:szCs w:val="24"/>
        </w:rPr>
      </w:pPr>
      <w:r w:rsidRPr="006F08A0">
        <w:rPr>
          <w:rFonts w:ascii="Arial" w:hAnsi="Arial" w:cs="Arial"/>
          <w:color w:val="007F7F"/>
          <w:spacing w:val="-6"/>
          <w:sz w:val="24"/>
          <w:szCs w:val="24"/>
        </w:rPr>
        <w:t>CIPD:</w:t>
      </w:r>
      <w:r w:rsidRPr="006F08A0">
        <w:rPr>
          <w:rFonts w:ascii="Arial" w:hAnsi="Arial" w:cs="Arial"/>
          <w:color w:val="007F7F"/>
          <w:sz w:val="24"/>
          <w:szCs w:val="24"/>
        </w:rPr>
        <w:t xml:space="preserve"> </w:t>
      </w:r>
      <w:hyperlink r:id="rId24" w:history="1">
        <w:r w:rsidRPr="006F08A0">
          <w:rPr>
            <w:rStyle w:val="Hyperlink"/>
            <w:rFonts w:ascii="Arial" w:hAnsi="Arial" w:cs="Arial"/>
            <w:sz w:val="24"/>
            <w:szCs w:val="24"/>
          </w:rPr>
          <w:t>Let's talk Menopause</w:t>
        </w:r>
      </w:hyperlink>
    </w:p>
    <w:p w14:paraId="15D4AE6C" w14:textId="77777777" w:rsidR="006F08A0" w:rsidRPr="00951B2A" w:rsidRDefault="00022BBD" w:rsidP="006F08A0">
      <w:pPr>
        <w:pStyle w:val="ListParagraph"/>
        <w:numPr>
          <w:ilvl w:val="0"/>
          <w:numId w:val="2"/>
        </w:numPr>
        <w:tabs>
          <w:tab w:val="left" w:pos="1166"/>
        </w:tabs>
        <w:spacing w:line="247" w:lineRule="auto"/>
        <w:ind w:left="284" w:right="836"/>
        <w:rPr>
          <w:rFonts w:ascii="Arial" w:hAnsi="Arial" w:cs="Arial"/>
          <w:color w:val="007F7F"/>
          <w:sz w:val="24"/>
          <w:szCs w:val="24"/>
        </w:rPr>
      </w:pPr>
      <w:hyperlink r:id="rId25" w:history="1">
        <w:r w:rsidR="006F08A0" w:rsidRPr="00951B2A">
          <w:rPr>
            <w:rStyle w:val="Hyperlink"/>
            <w:rFonts w:ascii="Arial" w:hAnsi="Arial" w:cs="Arial"/>
            <w:sz w:val="24"/>
            <w:szCs w:val="24"/>
          </w:rPr>
          <w:t>Health and Safety Executive</w:t>
        </w:r>
      </w:hyperlink>
      <w:r w:rsidR="006F08A0" w:rsidRPr="00951B2A">
        <w:rPr>
          <w:rFonts w:ascii="Arial" w:hAnsi="Arial" w:cs="Arial"/>
          <w:color w:val="007F7F"/>
          <w:sz w:val="24"/>
          <w:szCs w:val="24"/>
        </w:rPr>
        <w:t xml:space="preserve"> – </w:t>
      </w:r>
      <w:hyperlink r:id="rId26" w:history="1">
        <w:r w:rsidR="006F08A0" w:rsidRPr="00951B2A">
          <w:rPr>
            <w:rStyle w:val="Hyperlink"/>
            <w:rFonts w:ascii="Arial" w:hAnsi="Arial" w:cs="Arial"/>
            <w:sz w:val="24"/>
            <w:szCs w:val="24"/>
          </w:rPr>
          <w:t>HSE Management Standards</w:t>
        </w:r>
      </w:hyperlink>
      <w:r w:rsidR="006F08A0" w:rsidRPr="00951B2A">
        <w:rPr>
          <w:rFonts w:ascii="Arial" w:hAnsi="Arial" w:cs="Arial"/>
          <w:color w:val="007F7F"/>
          <w:sz w:val="24"/>
          <w:szCs w:val="24"/>
        </w:rPr>
        <w:t xml:space="preserve">, </w:t>
      </w:r>
      <w:hyperlink r:id="rId27" w:history="1">
        <w:r w:rsidR="006F08A0" w:rsidRPr="00951B2A">
          <w:rPr>
            <w:rStyle w:val="Hyperlink"/>
            <w:rFonts w:ascii="Arial" w:hAnsi="Arial" w:cs="Arial"/>
            <w:sz w:val="24"/>
            <w:szCs w:val="24"/>
          </w:rPr>
          <w:t>Advice for Managers on Mental Health Conditions</w:t>
        </w:r>
      </w:hyperlink>
    </w:p>
    <w:p w14:paraId="1B3430C4" w14:textId="77777777" w:rsidR="006F08A0" w:rsidRPr="00951B2A" w:rsidRDefault="006F08A0" w:rsidP="006F08A0">
      <w:pPr>
        <w:pStyle w:val="ListParagraph"/>
        <w:numPr>
          <w:ilvl w:val="0"/>
          <w:numId w:val="2"/>
        </w:numPr>
        <w:tabs>
          <w:tab w:val="left" w:pos="1166"/>
        </w:tabs>
        <w:ind w:left="284"/>
        <w:rPr>
          <w:rFonts w:ascii="Arial" w:hAnsi="Arial" w:cs="Arial"/>
          <w:color w:val="007F7F"/>
          <w:sz w:val="24"/>
          <w:szCs w:val="24"/>
        </w:rPr>
      </w:pPr>
      <w:r w:rsidRPr="00951B2A">
        <w:rPr>
          <w:rFonts w:ascii="Arial" w:hAnsi="Arial" w:cs="Arial"/>
          <w:color w:val="007F7F"/>
          <w:sz w:val="24"/>
          <w:szCs w:val="24"/>
        </w:rPr>
        <w:t xml:space="preserve">Mental Health First Aid – </w:t>
      </w:r>
      <w:hyperlink r:id="rId28" w:history="1">
        <w:r w:rsidRPr="00951B2A">
          <w:rPr>
            <w:rStyle w:val="Hyperlink"/>
            <w:rFonts w:ascii="Arial" w:hAnsi="Arial" w:cs="Arial"/>
            <w:sz w:val="24"/>
            <w:szCs w:val="24"/>
          </w:rPr>
          <w:t>Line Manager’s Resource</w:t>
        </w:r>
      </w:hyperlink>
      <w:r w:rsidRPr="00951B2A">
        <w:rPr>
          <w:rFonts w:ascii="Arial" w:hAnsi="Arial" w:cs="Arial"/>
          <w:color w:val="007F7F"/>
          <w:sz w:val="24"/>
          <w:szCs w:val="24"/>
        </w:rPr>
        <w:t></w:t>
      </w:r>
    </w:p>
    <w:p w14:paraId="3C3F8647" w14:textId="53D65E59" w:rsidR="006F08A0" w:rsidRPr="00951B2A" w:rsidRDefault="00022BBD" w:rsidP="006F08A0">
      <w:pPr>
        <w:pStyle w:val="ListParagraph"/>
        <w:numPr>
          <w:ilvl w:val="0"/>
          <w:numId w:val="2"/>
        </w:numPr>
        <w:tabs>
          <w:tab w:val="left" w:pos="1166"/>
        </w:tabs>
        <w:ind w:left="284"/>
        <w:rPr>
          <w:rFonts w:ascii="Arial" w:hAnsi="Arial" w:cs="Arial"/>
          <w:color w:val="007F7F"/>
          <w:sz w:val="24"/>
          <w:szCs w:val="24"/>
        </w:rPr>
      </w:pPr>
      <w:r>
        <w:rPr>
          <w:rFonts w:ascii="Arial" w:hAnsi="Arial" w:cs="Arial"/>
          <w:color w:val="007F7F"/>
          <w:sz w:val="24"/>
          <w:szCs w:val="24"/>
        </w:rPr>
        <w:t xml:space="preserve">Mental Health Charity </w:t>
      </w:r>
      <w:hyperlink r:id="rId29" w:history="1">
        <w:r w:rsidR="006F08A0" w:rsidRPr="00022BBD">
          <w:rPr>
            <w:rStyle w:val="Hyperlink"/>
            <w:rFonts w:ascii="Arial" w:hAnsi="Arial" w:cs="Arial"/>
            <w:sz w:val="24"/>
            <w:szCs w:val="24"/>
          </w:rPr>
          <w:t>Mind</w:t>
        </w:r>
        <w:r>
          <w:rPr>
            <w:rStyle w:val="Hyperlink"/>
            <w:rFonts w:ascii="Arial" w:hAnsi="Arial" w:cs="Arial"/>
            <w:sz w:val="24"/>
            <w:szCs w:val="24"/>
          </w:rPr>
          <w:t>.</w:t>
        </w:r>
      </w:hyperlink>
    </w:p>
    <w:p w14:paraId="6C0F18AC" w14:textId="77777777" w:rsidR="006F08A0" w:rsidRPr="00951B2A" w:rsidRDefault="00022BBD" w:rsidP="006F08A0">
      <w:pPr>
        <w:pStyle w:val="ListParagraph"/>
        <w:numPr>
          <w:ilvl w:val="0"/>
          <w:numId w:val="2"/>
        </w:numPr>
        <w:tabs>
          <w:tab w:val="left" w:pos="1166"/>
        </w:tabs>
        <w:ind w:left="284"/>
        <w:rPr>
          <w:rStyle w:val="Strong"/>
          <w:rFonts w:ascii="Arial" w:hAnsi="Arial" w:cs="Arial"/>
          <w:b w:val="0"/>
          <w:bCs w:val="0"/>
          <w:color w:val="007F7F"/>
          <w:sz w:val="24"/>
          <w:szCs w:val="24"/>
        </w:rPr>
      </w:pPr>
      <w:hyperlink r:id="rId30" w:history="1">
        <w:r w:rsidR="006F08A0" w:rsidRPr="00951B2A">
          <w:rPr>
            <w:rStyle w:val="Hyperlink"/>
            <w:rFonts w:ascii="Arial" w:hAnsi="Arial" w:cs="Arial"/>
            <w:spacing w:val="5"/>
            <w:sz w:val="24"/>
            <w:szCs w:val="24"/>
            <w:shd w:val="clear" w:color="auto" w:fill="FFFFFF"/>
          </w:rPr>
          <w:t>International Association for Premenstrual Disorders.</w:t>
        </w:r>
      </w:hyperlink>
    </w:p>
    <w:p w14:paraId="1D3BC2CF" w14:textId="77777777" w:rsidR="006F08A0" w:rsidRPr="0061747B" w:rsidRDefault="006F08A0" w:rsidP="006F08A0">
      <w:pPr>
        <w:pStyle w:val="ListParagraph"/>
        <w:numPr>
          <w:ilvl w:val="0"/>
          <w:numId w:val="2"/>
        </w:numPr>
        <w:tabs>
          <w:tab w:val="left" w:pos="1166"/>
        </w:tabs>
        <w:ind w:left="284"/>
        <w:rPr>
          <w:rFonts w:ascii="Arial" w:hAnsi="Arial" w:cs="Arial"/>
          <w:color w:val="007F7F"/>
          <w:sz w:val="24"/>
          <w:szCs w:val="24"/>
        </w:rPr>
      </w:pPr>
      <w:r w:rsidRPr="00951B2A">
        <w:rPr>
          <w:rFonts w:ascii="Arial" w:hAnsi="Arial" w:cs="Arial"/>
          <w:color w:val="007F7F"/>
          <w:sz w:val="24"/>
          <w:szCs w:val="24"/>
        </w:rPr>
        <w:t>Daisy Network at</w:t>
      </w:r>
      <w:r w:rsidRPr="00951B2A">
        <w:rPr>
          <w:rFonts w:ascii="Arial" w:hAnsi="Arial" w:cs="Arial"/>
          <w:color w:val="000000"/>
          <w:sz w:val="24"/>
          <w:szCs w:val="24"/>
          <w:shd w:val="clear" w:color="auto" w:fill="FFFFFF"/>
        </w:rPr>
        <w:t> </w:t>
      </w:r>
      <w:hyperlink r:id="rId31" w:history="1">
        <w:r w:rsidRPr="00951B2A">
          <w:rPr>
            <w:rStyle w:val="Hyperlink"/>
            <w:rFonts w:ascii="Arial" w:hAnsi="Arial" w:cs="Arial"/>
            <w:b/>
            <w:bCs/>
            <w:sz w:val="24"/>
            <w:szCs w:val="24"/>
            <w:shd w:val="clear" w:color="auto" w:fill="FFFFFF"/>
          </w:rPr>
          <w:t>www.daisynetwork.org</w:t>
        </w:r>
      </w:hyperlink>
      <w:r w:rsidRPr="00951B2A">
        <w:rPr>
          <w:rFonts w:ascii="Arial" w:hAnsi="Arial" w:cs="Arial"/>
          <w:color w:val="000000"/>
          <w:sz w:val="24"/>
          <w:szCs w:val="24"/>
          <w:shd w:val="clear" w:color="auto" w:fill="FFFFFF"/>
        </w:rPr>
        <w:t>.</w:t>
      </w:r>
    </w:p>
    <w:p w14:paraId="18AD4256" w14:textId="77777777" w:rsidR="006F08A0" w:rsidRPr="00951B2A" w:rsidRDefault="006F08A0" w:rsidP="006F08A0">
      <w:pPr>
        <w:pStyle w:val="ListParagraph"/>
        <w:numPr>
          <w:ilvl w:val="0"/>
          <w:numId w:val="2"/>
        </w:numPr>
        <w:tabs>
          <w:tab w:val="left" w:pos="1166"/>
        </w:tabs>
        <w:ind w:left="284"/>
        <w:rPr>
          <w:rFonts w:ascii="Arial" w:hAnsi="Arial" w:cs="Arial"/>
          <w:color w:val="007F7F"/>
          <w:sz w:val="24"/>
          <w:szCs w:val="24"/>
        </w:rPr>
      </w:pPr>
      <w:r w:rsidRPr="0061747B">
        <w:rPr>
          <w:rFonts w:ascii="Arial" w:hAnsi="Arial" w:cs="Arial"/>
          <w:color w:val="007F7F"/>
          <w:sz w:val="24"/>
          <w:szCs w:val="24"/>
        </w:rPr>
        <w:t xml:space="preserve">See Her Thrive </w:t>
      </w:r>
      <w:hyperlink r:id="rId32" w:history="1">
        <w:r w:rsidRPr="0061747B">
          <w:rPr>
            <w:rStyle w:val="Hyperlink"/>
            <w:rFonts w:ascii="Arial" w:hAnsi="Arial" w:cs="Arial"/>
            <w:sz w:val="24"/>
            <w:szCs w:val="24"/>
            <w:shd w:val="clear" w:color="auto" w:fill="FFFFFF"/>
          </w:rPr>
          <w:t>Workplace Wellbeing for Women</w:t>
        </w:r>
      </w:hyperlink>
    </w:p>
    <w:p w14:paraId="49D6AD7D" w14:textId="77777777" w:rsidR="006F08A0" w:rsidRPr="00951B2A" w:rsidRDefault="006F08A0" w:rsidP="006F08A0">
      <w:pPr>
        <w:pStyle w:val="ListParagraph"/>
        <w:numPr>
          <w:ilvl w:val="0"/>
          <w:numId w:val="2"/>
        </w:numPr>
        <w:tabs>
          <w:tab w:val="left" w:pos="1166"/>
        </w:tabs>
        <w:ind w:left="284"/>
        <w:rPr>
          <w:rFonts w:ascii="Arial" w:hAnsi="Arial" w:cs="Arial"/>
          <w:color w:val="007F7F"/>
          <w:sz w:val="24"/>
          <w:szCs w:val="24"/>
        </w:rPr>
      </w:pPr>
      <w:r w:rsidRPr="00951B2A">
        <w:rPr>
          <w:rFonts w:ascii="Arial" w:hAnsi="Arial" w:cs="Arial"/>
          <w:color w:val="007F7F"/>
          <w:sz w:val="24"/>
          <w:szCs w:val="24"/>
        </w:rPr>
        <w:lastRenderedPageBreak/>
        <w:t>NHS for information on various conditions and healthy lifestyles:</w:t>
      </w:r>
      <w:hyperlink r:id="rId33">
        <w:r w:rsidRPr="00951B2A">
          <w:rPr>
            <w:rStyle w:val="Hyperlink"/>
            <w:rFonts w:ascii="Arial" w:hAnsi="Arial" w:cs="Arial"/>
            <w:spacing w:val="5"/>
            <w:sz w:val="24"/>
            <w:shd w:val="clear" w:color="auto" w:fill="FFFFFF"/>
          </w:rPr>
          <w:t xml:space="preserve"> https://www.nhs.uk/</w:t>
        </w:r>
      </w:hyperlink>
      <w:r w:rsidRPr="00951B2A">
        <w:rPr>
          <w:rFonts w:ascii="Arial" w:hAnsi="Arial" w:cs="Arial"/>
          <w:color w:val="007F7F"/>
          <w:sz w:val="32"/>
          <w:szCs w:val="24"/>
        </w:rPr>
        <w:t xml:space="preserve"> </w:t>
      </w:r>
    </w:p>
    <w:p w14:paraId="4BCA82DB" w14:textId="64399A91" w:rsidR="006F08A0" w:rsidRPr="00D72826" w:rsidRDefault="00022BBD" w:rsidP="006F08A0">
      <w:pPr>
        <w:pStyle w:val="ListParagraph"/>
        <w:numPr>
          <w:ilvl w:val="0"/>
          <w:numId w:val="2"/>
        </w:numPr>
        <w:tabs>
          <w:tab w:val="left" w:pos="1166"/>
        </w:tabs>
        <w:ind w:left="284"/>
        <w:rPr>
          <w:rStyle w:val="Hyperlink"/>
          <w:rFonts w:ascii="Arial" w:hAnsi="Arial" w:cs="Arial"/>
          <w:color w:val="007F7F"/>
          <w:sz w:val="24"/>
          <w:szCs w:val="24"/>
        </w:rPr>
      </w:pPr>
      <w:hyperlink r:id="rId34" w:history="1">
        <w:r w:rsidR="006F08A0" w:rsidRPr="00022BBD">
          <w:rPr>
            <w:rStyle w:val="Hyperlink"/>
            <w:rFonts w:ascii="Arial" w:hAnsi="Arial" w:cs="Arial"/>
            <w:sz w:val="24"/>
            <w:szCs w:val="24"/>
          </w:rPr>
          <w:t xml:space="preserve">NHS </w:t>
        </w:r>
        <w:r w:rsidRPr="00022BBD">
          <w:rPr>
            <w:rStyle w:val="Hyperlink"/>
            <w:rFonts w:ascii="Arial" w:hAnsi="Arial" w:cs="Arial"/>
            <w:sz w:val="24"/>
            <w:szCs w:val="24"/>
          </w:rPr>
          <w:t>Better Health Campaign</w:t>
        </w:r>
      </w:hyperlink>
      <w:r>
        <w:rPr>
          <w:rFonts w:ascii="Arial" w:hAnsi="Arial" w:cs="Arial"/>
          <w:color w:val="007F7F"/>
          <w:sz w:val="24"/>
          <w:szCs w:val="24"/>
        </w:rPr>
        <w:t xml:space="preserve">, </w:t>
      </w:r>
      <w:r w:rsidR="006F08A0" w:rsidRPr="00951B2A">
        <w:rPr>
          <w:rFonts w:ascii="Arial" w:hAnsi="Arial" w:cs="Arial"/>
          <w:color w:val="007F7F"/>
          <w:sz w:val="24"/>
          <w:szCs w:val="24"/>
        </w:rPr>
        <w:t>for healthy lifestyle advice</w:t>
      </w:r>
      <w:r>
        <w:rPr>
          <w:rFonts w:ascii="Arial" w:hAnsi="Arial" w:cs="Arial"/>
          <w:color w:val="007F7F"/>
          <w:sz w:val="24"/>
          <w:szCs w:val="24"/>
        </w:rPr>
        <w:t>.</w:t>
      </w:r>
      <w:r w:rsidRPr="00D72826">
        <w:rPr>
          <w:rStyle w:val="Hyperlink"/>
          <w:rFonts w:ascii="Arial" w:hAnsi="Arial" w:cs="Arial"/>
          <w:color w:val="007F7F"/>
          <w:sz w:val="24"/>
          <w:szCs w:val="24"/>
        </w:rPr>
        <w:t xml:space="preserve"> </w:t>
      </w:r>
    </w:p>
    <w:p w14:paraId="330ADB5C" w14:textId="77777777" w:rsidR="006F08A0" w:rsidRDefault="00022BBD" w:rsidP="006F08A0">
      <w:pPr>
        <w:pStyle w:val="ListParagraph"/>
        <w:numPr>
          <w:ilvl w:val="0"/>
          <w:numId w:val="2"/>
        </w:numPr>
        <w:tabs>
          <w:tab w:val="left" w:pos="1166"/>
        </w:tabs>
        <w:ind w:left="284"/>
        <w:rPr>
          <w:rFonts w:ascii="Arial" w:hAnsi="Arial" w:cs="Arial"/>
          <w:color w:val="007F7F"/>
          <w:sz w:val="24"/>
          <w:szCs w:val="24"/>
        </w:rPr>
      </w:pPr>
      <w:hyperlink r:id="rId35" w:history="1">
        <w:r w:rsidR="006F08A0" w:rsidRPr="00D72826">
          <w:rPr>
            <w:rStyle w:val="Hyperlink"/>
            <w:rFonts w:ascii="Arial" w:hAnsi="Arial" w:cs="Arial"/>
            <w:sz w:val="24"/>
            <w:szCs w:val="24"/>
          </w:rPr>
          <w:t>Cancer Research UK</w:t>
        </w:r>
      </w:hyperlink>
    </w:p>
    <w:p w14:paraId="428E1D0E" w14:textId="77777777" w:rsidR="006F08A0" w:rsidRDefault="00022BBD" w:rsidP="006F08A0">
      <w:pPr>
        <w:pStyle w:val="ListParagraph"/>
        <w:numPr>
          <w:ilvl w:val="0"/>
          <w:numId w:val="2"/>
        </w:numPr>
        <w:tabs>
          <w:tab w:val="left" w:pos="1166"/>
        </w:tabs>
        <w:ind w:left="284"/>
        <w:rPr>
          <w:rFonts w:ascii="Arial" w:hAnsi="Arial" w:cs="Arial"/>
          <w:color w:val="007F7F"/>
          <w:sz w:val="24"/>
          <w:szCs w:val="24"/>
        </w:rPr>
      </w:pPr>
      <w:hyperlink r:id="rId36" w:history="1">
        <w:r w:rsidR="006F08A0" w:rsidRPr="00D72826">
          <w:rPr>
            <w:rStyle w:val="Hyperlink"/>
            <w:rFonts w:ascii="Arial" w:hAnsi="Arial" w:cs="Arial"/>
            <w:sz w:val="24"/>
            <w:szCs w:val="24"/>
          </w:rPr>
          <w:t>Breast Cancer UK</w:t>
        </w:r>
      </w:hyperlink>
    </w:p>
    <w:p w14:paraId="60FD8A9C" w14:textId="77777777" w:rsidR="006F08A0" w:rsidRPr="004E4042" w:rsidRDefault="00022BBD" w:rsidP="006F08A0">
      <w:pPr>
        <w:pStyle w:val="ListParagraph"/>
        <w:numPr>
          <w:ilvl w:val="0"/>
          <w:numId w:val="2"/>
        </w:numPr>
        <w:tabs>
          <w:tab w:val="left" w:pos="1166"/>
        </w:tabs>
        <w:ind w:left="284"/>
        <w:rPr>
          <w:rStyle w:val="Hyperlink"/>
          <w:rFonts w:ascii="Arial" w:hAnsi="Arial" w:cs="Arial"/>
          <w:color w:val="007F7F"/>
          <w:sz w:val="24"/>
          <w:szCs w:val="24"/>
        </w:rPr>
      </w:pPr>
      <w:hyperlink r:id="rId37" w:history="1">
        <w:r w:rsidR="006F08A0" w:rsidRPr="00D72826">
          <w:rPr>
            <w:rStyle w:val="Hyperlink"/>
            <w:rFonts w:ascii="Arial" w:hAnsi="Arial" w:cs="Arial"/>
            <w:sz w:val="24"/>
            <w:szCs w:val="24"/>
          </w:rPr>
          <w:t>Ovarian Cancer Action UK</w:t>
        </w:r>
      </w:hyperlink>
    </w:p>
    <w:p w14:paraId="79BB6B6B" w14:textId="77777777" w:rsidR="006F08A0" w:rsidRDefault="00022BBD" w:rsidP="006F08A0">
      <w:pPr>
        <w:pStyle w:val="ListParagraph"/>
        <w:numPr>
          <w:ilvl w:val="0"/>
          <w:numId w:val="2"/>
        </w:numPr>
        <w:tabs>
          <w:tab w:val="left" w:pos="1166"/>
        </w:tabs>
        <w:ind w:left="284"/>
        <w:rPr>
          <w:rFonts w:ascii="Arial" w:hAnsi="Arial" w:cs="Arial"/>
          <w:color w:val="007F7F"/>
          <w:sz w:val="24"/>
          <w:szCs w:val="24"/>
        </w:rPr>
      </w:pPr>
      <w:hyperlink r:id="rId38" w:history="1">
        <w:r w:rsidR="006F08A0" w:rsidRPr="004E4042">
          <w:rPr>
            <w:rStyle w:val="Hyperlink"/>
            <w:rFonts w:ascii="Arial" w:hAnsi="Arial" w:cs="Arial"/>
            <w:sz w:val="24"/>
            <w:szCs w:val="24"/>
          </w:rPr>
          <w:t>Jo’s Cancer Trust</w:t>
        </w:r>
      </w:hyperlink>
    </w:p>
    <w:p w14:paraId="2614E587" w14:textId="77777777" w:rsidR="006F08A0" w:rsidRPr="00951B2A" w:rsidRDefault="006F08A0" w:rsidP="006F08A0">
      <w:pPr>
        <w:pStyle w:val="ListParagraph"/>
        <w:tabs>
          <w:tab w:val="left" w:pos="1166"/>
        </w:tabs>
        <w:ind w:left="284"/>
        <w:rPr>
          <w:rFonts w:ascii="Arial" w:hAnsi="Arial" w:cs="Arial"/>
          <w:color w:val="007F7F"/>
          <w:sz w:val="24"/>
          <w:szCs w:val="24"/>
        </w:rPr>
      </w:pPr>
    </w:p>
    <w:p w14:paraId="169520DF" w14:textId="77777777" w:rsidR="006F08A0" w:rsidRPr="00560D3E" w:rsidRDefault="006F08A0" w:rsidP="006F08A0">
      <w:pPr>
        <w:pStyle w:val="Heading3"/>
        <w:spacing w:before="98"/>
        <w:ind w:left="284"/>
        <w:rPr>
          <w:rFonts w:ascii="AdLib" w:hAnsi="AdLib"/>
          <w:b/>
          <w:color w:val="169492"/>
          <w:sz w:val="32"/>
          <w:szCs w:val="32"/>
        </w:rPr>
      </w:pPr>
      <w:r w:rsidRPr="00560D3E">
        <w:rPr>
          <w:rFonts w:ascii="AdLib" w:hAnsi="AdLib"/>
          <w:b/>
          <w:color w:val="169492"/>
          <w:sz w:val="32"/>
          <w:szCs w:val="32"/>
        </w:rPr>
        <w:t>Contact</w:t>
      </w:r>
    </w:p>
    <w:p w14:paraId="721AB724" w14:textId="77777777" w:rsidR="006F08A0" w:rsidRPr="00414274" w:rsidRDefault="006F08A0" w:rsidP="006F08A0">
      <w:pPr>
        <w:pStyle w:val="BodyText"/>
        <w:spacing w:before="129" w:line="266" w:lineRule="auto"/>
        <w:ind w:left="284" w:right="381"/>
        <w:rPr>
          <w:sz w:val="24"/>
          <w:szCs w:val="24"/>
        </w:rPr>
      </w:pPr>
      <w:r w:rsidRPr="00414274">
        <w:rPr>
          <w:sz w:val="24"/>
          <w:szCs w:val="24"/>
        </w:rPr>
        <w:t xml:space="preserve">For a no obligation meeting to get the Workplace Health programme started in your business, or for further information please contact: </w:t>
      </w:r>
    </w:p>
    <w:p w14:paraId="05F0DFC3" w14:textId="2E2E1B21" w:rsidR="006F08A0" w:rsidRDefault="006F08A0" w:rsidP="006F08A0">
      <w:pPr>
        <w:pStyle w:val="BodyText"/>
        <w:spacing w:before="129" w:line="266" w:lineRule="auto"/>
        <w:ind w:left="284" w:right="381"/>
        <w:rPr>
          <w:rStyle w:val="Hyperlink"/>
          <w:sz w:val="24"/>
          <w:szCs w:val="24"/>
        </w:rPr>
      </w:pPr>
      <w:r>
        <w:rPr>
          <w:sz w:val="24"/>
          <w:szCs w:val="24"/>
        </w:rPr>
        <w:t xml:space="preserve">By email </w:t>
      </w:r>
      <w:hyperlink r:id="rId39" w:history="1">
        <w:r w:rsidRPr="00414274">
          <w:rPr>
            <w:sz w:val="24"/>
            <w:szCs w:val="24"/>
          </w:rPr>
          <w:t>workplacehealth@medway.gov.uk</w:t>
        </w:r>
      </w:hyperlink>
      <w:r>
        <w:rPr>
          <w:sz w:val="24"/>
          <w:szCs w:val="24"/>
        </w:rPr>
        <w:t xml:space="preserve">.  By telephone </w:t>
      </w:r>
      <w:r w:rsidRPr="00414274">
        <w:rPr>
          <w:sz w:val="24"/>
          <w:szCs w:val="24"/>
        </w:rPr>
        <w:t>01634 3343</w:t>
      </w:r>
      <w:r w:rsidR="00022BBD">
        <w:rPr>
          <w:sz w:val="24"/>
          <w:szCs w:val="24"/>
        </w:rPr>
        <w:t>55</w:t>
      </w:r>
      <w:r>
        <w:rPr>
          <w:sz w:val="24"/>
          <w:szCs w:val="24"/>
        </w:rPr>
        <w:t xml:space="preserve"> or visit the </w:t>
      </w:r>
      <w:hyperlink r:id="rId40" w:history="1">
        <w:r w:rsidRPr="00414274">
          <w:rPr>
            <w:rStyle w:val="Hyperlink"/>
            <w:sz w:val="24"/>
            <w:szCs w:val="24"/>
          </w:rPr>
          <w:t>website.</w:t>
        </w:r>
      </w:hyperlink>
    </w:p>
    <w:p w14:paraId="04C4DCBD" w14:textId="77777777" w:rsidR="006F08A0" w:rsidRDefault="006F08A0" w:rsidP="006F08A0">
      <w:pPr>
        <w:pStyle w:val="BodyText"/>
        <w:spacing w:before="129" w:line="266" w:lineRule="auto"/>
        <w:ind w:left="284" w:right="381"/>
        <w:rPr>
          <w:sz w:val="24"/>
          <w:szCs w:val="24"/>
          <w:vertAlign w:val="superscript"/>
        </w:rPr>
      </w:pPr>
      <w:r>
        <w:rPr>
          <w:sz w:val="24"/>
          <w:szCs w:val="24"/>
          <w:vertAlign w:val="superscript"/>
        </w:rPr>
        <w:t xml:space="preserve"> </w:t>
      </w:r>
    </w:p>
    <w:p w14:paraId="0F54E82C" w14:textId="77777777" w:rsidR="006F08A0" w:rsidRDefault="006F08A0" w:rsidP="006F08A0">
      <w:pPr>
        <w:pStyle w:val="BodyText"/>
        <w:spacing w:before="129" w:line="266" w:lineRule="auto"/>
        <w:ind w:left="284" w:right="381"/>
        <w:rPr>
          <w:sz w:val="24"/>
          <w:szCs w:val="24"/>
          <w:vertAlign w:val="superscript"/>
        </w:rPr>
      </w:pPr>
      <w:r w:rsidRPr="00474012">
        <w:rPr>
          <w:sz w:val="24"/>
          <w:szCs w:val="24"/>
          <w:vertAlign w:val="superscript"/>
        </w:rPr>
        <w:t>Thank you to all those who have contributed to this guide: Mem</w:t>
      </w:r>
      <w:r>
        <w:rPr>
          <w:sz w:val="24"/>
          <w:szCs w:val="24"/>
          <w:vertAlign w:val="superscript"/>
        </w:rPr>
        <w:t>bers of the Public Health Team,</w:t>
      </w:r>
    </w:p>
    <w:p w14:paraId="475BAB96" w14:textId="77777777" w:rsidR="006F08A0" w:rsidRPr="00474012" w:rsidRDefault="006F08A0" w:rsidP="006F08A0">
      <w:pPr>
        <w:pStyle w:val="BodyText"/>
        <w:spacing w:before="129" w:line="266" w:lineRule="auto"/>
        <w:ind w:left="284" w:right="381"/>
        <w:rPr>
          <w:sz w:val="24"/>
          <w:szCs w:val="24"/>
          <w:vertAlign w:val="superscript"/>
        </w:rPr>
      </w:pPr>
      <w:r w:rsidRPr="00474012">
        <w:rPr>
          <w:sz w:val="24"/>
          <w:szCs w:val="24"/>
          <w:vertAlign w:val="superscript"/>
        </w:rPr>
        <w:t>The following sources of information were consulted in the production of this guide:</w:t>
      </w:r>
    </w:p>
    <w:p w14:paraId="22D27DE6" w14:textId="77777777" w:rsidR="006F08A0" w:rsidRPr="001C08E8" w:rsidRDefault="006F08A0" w:rsidP="006F08A0">
      <w:pPr>
        <w:pStyle w:val="BodyText"/>
        <w:spacing w:before="129" w:line="266" w:lineRule="auto"/>
        <w:ind w:left="284" w:right="381"/>
        <w:rPr>
          <w:sz w:val="24"/>
          <w:szCs w:val="24"/>
          <w:vertAlign w:val="superscript"/>
        </w:rPr>
      </w:pPr>
      <w:r w:rsidRPr="00474012">
        <w:rPr>
          <w:sz w:val="24"/>
          <w:szCs w:val="24"/>
          <w:vertAlign w:val="superscript"/>
        </w:rPr>
        <w:t xml:space="preserve">Business in the Community Public Health England Toolkits: </w:t>
      </w:r>
      <w:r>
        <w:rPr>
          <w:sz w:val="24"/>
          <w:szCs w:val="24"/>
          <w:vertAlign w:val="superscript"/>
        </w:rPr>
        <w:t>NHS Employers: Menopause and the Workplace, ACAS Menopause at Work Guide, CIPD, Office of National Statistics, Cancer Research UK, Breast Cancer Care, Ovarian Cancer Action, See Her Thrive, Mind and NHS One You</w:t>
      </w:r>
    </w:p>
    <w:p w14:paraId="0034A352" w14:textId="77777777" w:rsidR="006F08A0" w:rsidRPr="00414274" w:rsidRDefault="006F08A0" w:rsidP="006F08A0">
      <w:pPr>
        <w:pStyle w:val="BodyText"/>
        <w:spacing w:before="129" w:line="266" w:lineRule="auto"/>
        <w:ind w:left="284" w:right="381"/>
        <w:rPr>
          <w:sz w:val="24"/>
          <w:szCs w:val="24"/>
        </w:rPr>
      </w:pPr>
    </w:p>
    <w:p w14:paraId="7E6A2E31" w14:textId="77777777" w:rsidR="00D8629F" w:rsidRDefault="00022BBD"/>
    <w:sectPr w:rsidR="00D8629F" w:rsidSect="0061348F">
      <w:footerReference w:type="default" r:id="rId41"/>
      <w:pgSz w:w="11910" w:h="16840"/>
      <w:pgMar w:top="720" w:right="720" w:bottom="720" w:left="720" w:header="386" w:footer="8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8B14" w14:textId="77777777" w:rsidR="00702F0A" w:rsidRDefault="005C1254">
      <w:pPr>
        <w:spacing w:after="0" w:line="240" w:lineRule="auto"/>
      </w:pPr>
      <w:r>
        <w:separator/>
      </w:r>
    </w:p>
  </w:endnote>
  <w:endnote w:type="continuationSeparator" w:id="0">
    <w:p w14:paraId="6929E52B" w14:textId="77777777" w:rsidR="00702F0A" w:rsidRDefault="005C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Lib">
    <w:altName w:val="Calibri"/>
    <w:panose1 w:val="020B7200000000000000"/>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0E51" w14:textId="77777777" w:rsidR="00BA45EE" w:rsidRDefault="00BA4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7335" w14:textId="77777777" w:rsidR="00BA45EE" w:rsidRDefault="00BA4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DE11" w14:textId="77777777" w:rsidR="00BA45EE" w:rsidRDefault="00BA45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A0C" w14:textId="77777777" w:rsidR="000278B9" w:rsidRPr="000278B9" w:rsidRDefault="006F08A0" w:rsidP="000278B9">
    <w:pPr>
      <w:pStyle w:val="Footer"/>
      <w:tabs>
        <w:tab w:val="clear" w:pos="9026"/>
      </w:tabs>
    </w:pPr>
    <w:r>
      <w:fldChar w:fldCharType="begin"/>
    </w:r>
    <w:r>
      <w:instrText xml:space="preserve"> PAGE   \* MERGEFORMAT </w:instrText>
    </w:r>
    <w:r>
      <w:fldChar w:fldCharType="separate"/>
    </w:r>
    <w:r w:rsidR="005C1254">
      <w:rPr>
        <w:noProof/>
      </w:rPr>
      <w:t>8</w:t>
    </w:r>
    <w:r>
      <w:rPr>
        <w:noProof/>
      </w:rPr>
      <w:fldChar w:fldCharType="end"/>
    </w:r>
    <w:r>
      <w:rPr>
        <w:noProof/>
      </w:rPr>
      <w:t xml:space="preserve"> </w:t>
    </w:r>
  </w:p>
  <w:p w14:paraId="12C989E4" w14:textId="77777777" w:rsidR="0096000F" w:rsidRDefault="00022BB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9682" w14:textId="77777777" w:rsidR="00702F0A" w:rsidRDefault="005C1254">
      <w:pPr>
        <w:spacing w:after="0" w:line="240" w:lineRule="auto"/>
      </w:pPr>
      <w:r>
        <w:separator/>
      </w:r>
    </w:p>
  </w:footnote>
  <w:footnote w:type="continuationSeparator" w:id="0">
    <w:p w14:paraId="458BE4FB" w14:textId="77777777" w:rsidR="00702F0A" w:rsidRDefault="005C1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8EA7" w14:textId="77777777" w:rsidR="00BA45EE" w:rsidRDefault="00BA4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1350" w14:textId="77777777" w:rsidR="00BA45EE" w:rsidRDefault="00BA4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EC85" w14:textId="77777777" w:rsidR="00BA45EE" w:rsidRDefault="00BA4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526DA"/>
    <w:multiLevelType w:val="hybridMultilevel"/>
    <w:tmpl w:val="7A88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31513"/>
    <w:multiLevelType w:val="hybridMultilevel"/>
    <w:tmpl w:val="72467730"/>
    <w:lvl w:ilvl="0" w:tplc="2696C7C2">
      <w:numFmt w:val="bullet"/>
      <w:lvlText w:val=""/>
      <w:lvlJc w:val="left"/>
      <w:pPr>
        <w:ind w:left="592" w:hanging="240"/>
      </w:pPr>
      <w:rPr>
        <w:rFonts w:ascii="Symbol" w:eastAsia="Symbol" w:hAnsi="Symbol" w:cs="Symbol" w:hint="default"/>
        <w:w w:val="100"/>
        <w:sz w:val="18"/>
        <w:szCs w:val="18"/>
        <w:lang w:val="en-GB" w:eastAsia="en-GB" w:bidi="en-GB"/>
      </w:rPr>
    </w:lvl>
    <w:lvl w:ilvl="1" w:tplc="08090001">
      <w:start w:val="1"/>
      <w:numFmt w:val="bullet"/>
      <w:lvlText w:val=""/>
      <w:lvlJc w:val="left"/>
      <w:pPr>
        <w:ind w:left="1379" w:hanging="240"/>
      </w:pPr>
      <w:rPr>
        <w:rFonts w:ascii="Symbol" w:hAnsi="Symbol" w:hint="default"/>
        <w:w w:val="100"/>
        <w:lang w:val="en-GB" w:eastAsia="en-GB" w:bidi="en-GB"/>
      </w:rPr>
    </w:lvl>
    <w:lvl w:ilvl="2" w:tplc="D3CE2958">
      <w:numFmt w:val="bullet"/>
      <w:lvlText w:val=""/>
      <w:lvlJc w:val="left"/>
      <w:pPr>
        <w:ind w:left="6906" w:hanging="240"/>
      </w:pPr>
      <w:rPr>
        <w:rFonts w:ascii="Symbol" w:eastAsia="Symbol" w:hAnsi="Symbol" w:cs="Symbol" w:hint="default"/>
        <w:w w:val="100"/>
        <w:sz w:val="18"/>
        <w:szCs w:val="18"/>
        <w:lang w:val="en-GB" w:eastAsia="en-GB" w:bidi="en-GB"/>
      </w:rPr>
    </w:lvl>
    <w:lvl w:ilvl="3" w:tplc="5D445566">
      <w:numFmt w:val="bullet"/>
      <w:lvlText w:val="•"/>
      <w:lvlJc w:val="left"/>
      <w:pPr>
        <w:ind w:left="6673" w:hanging="240"/>
      </w:pPr>
      <w:rPr>
        <w:rFonts w:hint="default"/>
        <w:lang w:val="en-GB" w:eastAsia="en-GB" w:bidi="en-GB"/>
      </w:rPr>
    </w:lvl>
    <w:lvl w:ilvl="4" w:tplc="BA38770A">
      <w:numFmt w:val="bullet"/>
      <w:lvlText w:val="•"/>
      <w:lvlJc w:val="left"/>
      <w:pPr>
        <w:ind w:left="6446" w:hanging="240"/>
      </w:pPr>
      <w:rPr>
        <w:rFonts w:hint="default"/>
        <w:lang w:val="en-GB" w:eastAsia="en-GB" w:bidi="en-GB"/>
      </w:rPr>
    </w:lvl>
    <w:lvl w:ilvl="5" w:tplc="236E7FA0">
      <w:numFmt w:val="bullet"/>
      <w:lvlText w:val="•"/>
      <w:lvlJc w:val="left"/>
      <w:pPr>
        <w:ind w:left="6219" w:hanging="240"/>
      </w:pPr>
      <w:rPr>
        <w:rFonts w:hint="default"/>
        <w:lang w:val="en-GB" w:eastAsia="en-GB" w:bidi="en-GB"/>
      </w:rPr>
    </w:lvl>
    <w:lvl w:ilvl="6" w:tplc="96188AE4">
      <w:numFmt w:val="bullet"/>
      <w:lvlText w:val="•"/>
      <w:lvlJc w:val="left"/>
      <w:pPr>
        <w:ind w:left="5992" w:hanging="240"/>
      </w:pPr>
      <w:rPr>
        <w:rFonts w:hint="default"/>
        <w:lang w:val="en-GB" w:eastAsia="en-GB" w:bidi="en-GB"/>
      </w:rPr>
    </w:lvl>
    <w:lvl w:ilvl="7" w:tplc="C9B489DE">
      <w:numFmt w:val="bullet"/>
      <w:lvlText w:val="•"/>
      <w:lvlJc w:val="left"/>
      <w:pPr>
        <w:ind w:left="5765" w:hanging="240"/>
      </w:pPr>
      <w:rPr>
        <w:rFonts w:hint="default"/>
        <w:lang w:val="en-GB" w:eastAsia="en-GB" w:bidi="en-GB"/>
      </w:rPr>
    </w:lvl>
    <w:lvl w:ilvl="8" w:tplc="98069396">
      <w:numFmt w:val="bullet"/>
      <w:lvlText w:val="•"/>
      <w:lvlJc w:val="left"/>
      <w:pPr>
        <w:ind w:left="5538" w:hanging="240"/>
      </w:pPr>
      <w:rPr>
        <w:rFonts w:hint="default"/>
        <w:lang w:val="en-GB" w:eastAsia="en-GB" w:bidi="en-GB"/>
      </w:rPr>
    </w:lvl>
  </w:abstractNum>
  <w:num w:numId="1" w16cid:durableId="1732649584">
    <w:abstractNumId w:val="0"/>
  </w:num>
  <w:num w:numId="2" w16cid:durableId="91397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A0"/>
    <w:rsid w:val="00022BBD"/>
    <w:rsid w:val="002E33EB"/>
    <w:rsid w:val="005C1254"/>
    <w:rsid w:val="006F08A0"/>
    <w:rsid w:val="00702F0A"/>
    <w:rsid w:val="00760989"/>
    <w:rsid w:val="00BA45EE"/>
    <w:rsid w:val="00D41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565DC"/>
  <w15:chartTrackingRefBased/>
  <w15:docId w15:val="{B380F4DB-3630-425E-98F6-8A9079E1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A0"/>
    <w:pPr>
      <w:spacing w:after="120" w:line="264" w:lineRule="auto"/>
    </w:pPr>
    <w:rPr>
      <w:rFonts w:eastAsiaTheme="minorEastAsia"/>
      <w:sz w:val="20"/>
      <w:szCs w:val="20"/>
    </w:rPr>
  </w:style>
  <w:style w:type="paragraph" w:styleId="Heading3">
    <w:name w:val="heading 3"/>
    <w:basedOn w:val="Normal"/>
    <w:next w:val="Normal"/>
    <w:link w:val="Heading3Char"/>
    <w:uiPriority w:val="9"/>
    <w:unhideWhenUsed/>
    <w:qFormat/>
    <w:rsid w:val="006F08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08A0"/>
    <w:rPr>
      <w:rFonts w:asciiTheme="majorHAnsi" w:eastAsiaTheme="majorEastAsia" w:hAnsiTheme="majorHAnsi" w:cstheme="majorBidi"/>
      <w:color w:val="44546A" w:themeColor="text2"/>
      <w:sz w:val="24"/>
      <w:szCs w:val="24"/>
    </w:rPr>
  </w:style>
  <w:style w:type="paragraph" w:styleId="BodyText">
    <w:name w:val="Body Text"/>
    <w:basedOn w:val="Normal"/>
    <w:link w:val="BodyTextChar"/>
    <w:uiPriority w:val="1"/>
    <w:rsid w:val="006F08A0"/>
    <w:pPr>
      <w:widowControl w:val="0"/>
      <w:autoSpaceDE w:val="0"/>
      <w:autoSpaceDN w:val="0"/>
      <w:spacing w:after="0" w:line="240" w:lineRule="auto"/>
    </w:pPr>
    <w:rPr>
      <w:rFonts w:ascii="Arial" w:eastAsia="Arial" w:hAnsi="Arial" w:cs="Arial"/>
      <w:sz w:val="18"/>
      <w:szCs w:val="18"/>
      <w:lang w:eastAsia="en-GB" w:bidi="en-GB"/>
    </w:rPr>
  </w:style>
  <w:style w:type="character" w:customStyle="1" w:styleId="BodyTextChar">
    <w:name w:val="Body Text Char"/>
    <w:basedOn w:val="DefaultParagraphFont"/>
    <w:link w:val="BodyText"/>
    <w:uiPriority w:val="1"/>
    <w:rsid w:val="006F08A0"/>
    <w:rPr>
      <w:rFonts w:ascii="Arial" w:eastAsia="Arial" w:hAnsi="Arial" w:cs="Arial"/>
      <w:sz w:val="18"/>
      <w:szCs w:val="18"/>
      <w:lang w:eastAsia="en-GB" w:bidi="en-GB"/>
    </w:rPr>
  </w:style>
  <w:style w:type="paragraph" w:styleId="ListParagraph">
    <w:name w:val="List Paragraph"/>
    <w:basedOn w:val="Normal"/>
    <w:uiPriority w:val="34"/>
    <w:qFormat/>
    <w:rsid w:val="006F08A0"/>
    <w:pPr>
      <w:ind w:left="720"/>
      <w:contextualSpacing/>
    </w:pPr>
  </w:style>
  <w:style w:type="paragraph" w:styleId="Footer">
    <w:name w:val="footer"/>
    <w:basedOn w:val="Normal"/>
    <w:link w:val="FooterChar"/>
    <w:uiPriority w:val="99"/>
    <w:unhideWhenUsed/>
    <w:rsid w:val="006F08A0"/>
    <w:pPr>
      <w:widowControl w:val="0"/>
      <w:tabs>
        <w:tab w:val="center" w:pos="4513"/>
        <w:tab w:val="right" w:pos="9026"/>
      </w:tabs>
      <w:autoSpaceDE w:val="0"/>
      <w:autoSpaceDN w:val="0"/>
      <w:spacing w:after="0" w:line="240" w:lineRule="auto"/>
    </w:pPr>
    <w:rPr>
      <w:rFonts w:ascii="Arial" w:eastAsia="Arial" w:hAnsi="Arial" w:cs="Arial"/>
      <w:lang w:eastAsia="en-GB" w:bidi="en-GB"/>
    </w:rPr>
  </w:style>
  <w:style w:type="character" w:customStyle="1" w:styleId="FooterChar">
    <w:name w:val="Footer Char"/>
    <w:basedOn w:val="DefaultParagraphFont"/>
    <w:link w:val="Footer"/>
    <w:uiPriority w:val="99"/>
    <w:rsid w:val="006F08A0"/>
    <w:rPr>
      <w:rFonts w:ascii="Arial" w:eastAsia="Arial" w:hAnsi="Arial" w:cs="Arial"/>
      <w:sz w:val="20"/>
      <w:szCs w:val="20"/>
      <w:lang w:eastAsia="en-GB" w:bidi="en-GB"/>
    </w:rPr>
  </w:style>
  <w:style w:type="character" w:styleId="Hyperlink">
    <w:name w:val="Hyperlink"/>
    <w:basedOn w:val="DefaultParagraphFont"/>
    <w:uiPriority w:val="99"/>
    <w:unhideWhenUsed/>
    <w:rsid w:val="006F08A0"/>
    <w:rPr>
      <w:color w:val="0563C1" w:themeColor="hyperlink"/>
      <w:u w:val="single"/>
    </w:rPr>
  </w:style>
  <w:style w:type="character" w:styleId="Strong">
    <w:name w:val="Strong"/>
    <w:basedOn w:val="DefaultParagraphFont"/>
    <w:uiPriority w:val="22"/>
    <w:qFormat/>
    <w:rsid w:val="006F08A0"/>
    <w:rPr>
      <w:b/>
      <w:bCs/>
    </w:rPr>
  </w:style>
  <w:style w:type="paragraph" w:styleId="Header">
    <w:name w:val="header"/>
    <w:basedOn w:val="Normal"/>
    <w:link w:val="HeaderChar"/>
    <w:uiPriority w:val="99"/>
    <w:unhideWhenUsed/>
    <w:rsid w:val="00BA4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5EE"/>
    <w:rPr>
      <w:rFonts w:eastAsiaTheme="minorEastAsia"/>
      <w:sz w:val="20"/>
      <w:szCs w:val="20"/>
    </w:rPr>
  </w:style>
  <w:style w:type="character" w:styleId="UnresolvedMention">
    <w:name w:val="Unresolved Mention"/>
    <w:basedOn w:val="DefaultParagraphFont"/>
    <w:uiPriority w:val="99"/>
    <w:semiHidden/>
    <w:unhideWhenUsed/>
    <w:rsid w:val="0002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kent.gov.uk/social-care-and-health/health/one-you-kent" TargetMode="External"/><Relationship Id="rId26" Type="http://schemas.openxmlformats.org/officeDocument/2006/relationships/hyperlink" Target="https://www.hse.gov.uk/stress/standards/index.htm" TargetMode="External"/><Relationship Id="rId39" Type="http://schemas.openxmlformats.org/officeDocument/2006/relationships/hyperlink" Target="mailto:workplacehealth@medway.gov.uk" TargetMode="External"/><Relationship Id="rId21" Type="http://schemas.openxmlformats.org/officeDocument/2006/relationships/hyperlink" Target="https://www.nhs.uk/oneyou/every-mind-matters/" TargetMode="External"/><Relationship Id="rId34" Type="http://schemas.openxmlformats.org/officeDocument/2006/relationships/hyperlink" Target="https://www.nhs.uk/better-health/"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bettermedway.co.uk" TargetMode="External"/><Relationship Id="rId20" Type="http://schemas.openxmlformats.org/officeDocument/2006/relationships/hyperlink" Target="http://wellbeing.bitc.org.uk/all-resources/toolkits/" TargetMode="External"/><Relationship Id="rId29" Type="http://schemas.openxmlformats.org/officeDocument/2006/relationships/hyperlink" Target="https://www.mind.org.uk/"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cipd.co.uk/knowledge/culture/well-being/menopause" TargetMode="External"/><Relationship Id="rId32" Type="http://schemas.openxmlformats.org/officeDocument/2006/relationships/hyperlink" Target="https://www.seeherthrive.com/" TargetMode="External"/><Relationship Id="rId37" Type="http://schemas.openxmlformats.org/officeDocument/2006/relationships/hyperlink" Target="https://ovarian.org.uk/" TargetMode="External"/><Relationship Id="rId40" Type="http://schemas.openxmlformats.org/officeDocument/2006/relationships/hyperlink" Target="http://www.medway.gov.uk/healthyworkplace"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obs.acas.org.uk/Default.aspx" TargetMode="External"/><Relationship Id="rId28" Type="http://schemas.openxmlformats.org/officeDocument/2006/relationships/hyperlink" Target="https://mhfaengland.org/line-managers-resource/" TargetMode="External"/><Relationship Id="rId36" Type="http://schemas.openxmlformats.org/officeDocument/2006/relationships/hyperlink" Target="https://www.breastcanceruk.org.uk/" TargetMode="External"/><Relationship Id="rId10" Type="http://schemas.openxmlformats.org/officeDocument/2006/relationships/header" Target="header2.xml"/><Relationship Id="rId19" Type="http://schemas.openxmlformats.org/officeDocument/2006/relationships/hyperlink" Target="https://www.gov.uk/access-to-work" TargetMode="External"/><Relationship Id="rId31" Type="http://schemas.openxmlformats.org/officeDocument/2006/relationships/hyperlink" Target="https://www.daisynetwork.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rchive.acas.org.uk/menopause" TargetMode="External"/><Relationship Id="rId27" Type="http://schemas.openxmlformats.org/officeDocument/2006/relationships/hyperlink" Target="https://www.hse.gov.uk/stress/mental-health-line-managers.htm" TargetMode="External"/><Relationship Id="rId30" Type="http://schemas.openxmlformats.org/officeDocument/2006/relationships/hyperlink" Target="https://iapmd.org/" TargetMode="External"/><Relationship Id="rId35" Type="http://schemas.openxmlformats.org/officeDocument/2006/relationships/hyperlink" Target="https://www.cancerresearchuk.org/about-cancer" TargetMode="External"/><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gov.uk/access-to-work" TargetMode="External"/><Relationship Id="rId25" Type="http://schemas.openxmlformats.org/officeDocument/2006/relationships/hyperlink" Target="http://www.hse.gov.uk" TargetMode="External"/><Relationship Id="rId33" Type="http://schemas.openxmlformats.org/officeDocument/2006/relationships/hyperlink" Target="http://www.nhs.uk/" TargetMode="External"/><Relationship Id="rId38" Type="http://schemas.openxmlformats.org/officeDocument/2006/relationships/hyperlink" Target="https://www.jo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2255</Words>
  <Characters>12857</Characters>
  <Application>Microsoft Office Word</Application>
  <DocSecurity>0</DocSecurity>
  <Lines>107</Lines>
  <Paragraphs>30</Paragraphs>
  <ScaleCrop>false</ScaleCrop>
  <Company>Medway Council</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michelle</dc:creator>
  <cp:keywords/>
  <dc:description/>
  <cp:lastModifiedBy>saunders, michelle</cp:lastModifiedBy>
  <cp:revision>2</cp:revision>
  <dcterms:created xsi:type="dcterms:W3CDTF">2023-03-24T09:43:00Z</dcterms:created>
  <dcterms:modified xsi:type="dcterms:W3CDTF">2023-03-24T09:43:00Z</dcterms:modified>
</cp:coreProperties>
</file>