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0A" w:rsidRDefault="00BC280A">
      <w:pPr>
        <w:jc w:val="center"/>
        <w:rPr>
          <w:rFonts w:cs="Arial"/>
          <w:bCs/>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37"/>
        <w:gridCol w:w="723"/>
        <w:gridCol w:w="1727"/>
        <w:gridCol w:w="782"/>
        <w:gridCol w:w="946"/>
        <w:gridCol w:w="325"/>
        <w:gridCol w:w="1403"/>
      </w:tblGrid>
      <w:tr w:rsidR="00BC280A">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TITLE</w:t>
            </w:r>
          </w:p>
          <w:p w:rsidR="00BC280A" w:rsidRDefault="00BC280A">
            <w:pPr>
              <w:pStyle w:val="Header"/>
              <w:tabs>
                <w:tab w:val="clear" w:pos="4153"/>
                <w:tab w:val="clear" w:pos="8306"/>
              </w:tabs>
              <w:rPr>
                <w:bCs/>
                <w:i/>
                <w:iCs/>
              </w:rPr>
            </w:pPr>
            <w:r>
              <w:rPr>
                <w:rFonts w:cs="Arial"/>
                <w:bCs/>
                <w:i/>
                <w:iCs/>
                <w:sz w:val="20"/>
              </w:rPr>
              <w:t>Name/description of the issue being assessed</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pStyle w:val="Header"/>
              <w:tabs>
                <w:tab w:val="clear" w:pos="4153"/>
                <w:tab w:val="clear" w:pos="8306"/>
              </w:tabs>
              <w:rPr>
                <w:bCs/>
              </w:rPr>
            </w:pPr>
            <w:r>
              <w:rPr>
                <w:bCs/>
              </w:rPr>
              <w:t xml:space="preserve"> Adaptations Policy</w:t>
            </w:r>
          </w:p>
        </w:tc>
      </w:tr>
      <w:tr w:rsidR="00BC280A">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 xml:space="preserve">DATE </w:t>
            </w:r>
          </w:p>
          <w:p w:rsidR="00BC280A" w:rsidRDefault="00BC280A">
            <w:pPr>
              <w:pStyle w:val="Header"/>
              <w:tabs>
                <w:tab w:val="clear" w:pos="4153"/>
                <w:tab w:val="clear" w:pos="8306"/>
              </w:tabs>
              <w:rPr>
                <w:bCs/>
                <w:i/>
                <w:iCs/>
              </w:rPr>
            </w:pPr>
            <w:r>
              <w:rPr>
                <w:rFonts w:cs="Arial"/>
                <w:bCs/>
                <w:i/>
                <w:iCs/>
                <w:sz w:val="20"/>
              </w:rPr>
              <w:t>Date the DIA is completed</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0C7757" w:rsidRDefault="000C7757" w:rsidP="00277ED9">
            <w:pPr>
              <w:rPr>
                <w:bCs/>
              </w:rPr>
            </w:pPr>
            <w:r>
              <w:rPr>
                <w:bCs/>
              </w:rPr>
              <w:t xml:space="preserve">Published: April </w:t>
            </w:r>
          </w:p>
          <w:p w:rsidR="00BC280A" w:rsidRDefault="000C7757" w:rsidP="00277ED9">
            <w:pPr>
              <w:rPr>
                <w:bCs/>
              </w:rPr>
            </w:pPr>
            <w:r>
              <w:rPr>
                <w:bCs/>
              </w:rPr>
              <w:t>Reviewed June 2020</w:t>
            </w:r>
            <w:bookmarkStart w:id="0" w:name="_GoBack"/>
            <w:bookmarkEnd w:id="0"/>
          </w:p>
        </w:tc>
      </w:tr>
      <w:tr w:rsidR="00BC280A">
        <w:tblPrEx>
          <w:tblCellMar>
            <w:top w:w="0" w:type="dxa"/>
            <w:bottom w:w="0" w:type="dxa"/>
          </w:tblCellMar>
        </w:tblPrEx>
        <w:tc>
          <w:tcPr>
            <w:tcW w:w="2088"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LEAD OFFICER</w:t>
            </w:r>
          </w:p>
          <w:p w:rsidR="00BC280A" w:rsidRDefault="00BC280A">
            <w:pPr>
              <w:pStyle w:val="Header"/>
              <w:tabs>
                <w:tab w:val="clear" w:pos="4153"/>
                <w:tab w:val="clear" w:pos="8306"/>
              </w:tabs>
              <w:rPr>
                <w:bCs/>
              </w:rPr>
            </w:pPr>
            <w:r>
              <w:rPr>
                <w:rFonts w:cs="Arial"/>
                <w:bCs/>
                <w:i/>
                <w:iCs/>
                <w:sz w:val="20"/>
              </w:rPr>
              <w:t>Name and title of person responsible for carrying out the DIA</w:t>
            </w:r>
            <w:r>
              <w:rPr>
                <w:rFonts w:cs="Arial"/>
                <w:bCs/>
                <w:sz w:val="20"/>
              </w:rPr>
              <w:t>.</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Default="000C7757">
            <w:pPr>
              <w:rPr>
                <w:bCs/>
              </w:rPr>
            </w:pPr>
            <w:r>
              <w:rPr>
                <w:bCs/>
              </w:rPr>
              <w:t>Aisling Sims – Policy and Partnerships Manager</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er"/>
              <w:numPr>
                <w:ilvl w:val="0"/>
                <w:numId w:val="9"/>
              </w:numPr>
              <w:tabs>
                <w:tab w:val="clear" w:pos="4153"/>
                <w:tab w:val="clear" w:pos="8306"/>
              </w:tabs>
              <w:rPr>
                <w:bCs/>
              </w:rPr>
            </w:pPr>
            <w:r>
              <w:rPr>
                <w:bCs/>
              </w:rPr>
              <w:t>Summary description of the proposed change</w:t>
            </w:r>
          </w:p>
          <w:p w:rsidR="00BC280A" w:rsidRDefault="00BC280A" w:rsidP="00332FE0">
            <w:pPr>
              <w:pStyle w:val="Header"/>
              <w:numPr>
                <w:ilvl w:val="0"/>
                <w:numId w:val="5"/>
              </w:numPr>
              <w:tabs>
                <w:tab w:val="clear" w:pos="4153"/>
                <w:tab w:val="clear" w:pos="8306"/>
              </w:tabs>
              <w:rPr>
                <w:bCs/>
                <w:i/>
                <w:iCs/>
                <w:sz w:val="20"/>
              </w:rPr>
            </w:pPr>
            <w:r>
              <w:rPr>
                <w:bCs/>
                <w:i/>
                <w:iCs/>
                <w:sz w:val="20"/>
              </w:rPr>
              <w:t>What is the change to policy/service/new project that is being proposed?</w:t>
            </w:r>
          </w:p>
          <w:p w:rsidR="00BC280A" w:rsidRDefault="00BC280A" w:rsidP="00332FE0">
            <w:pPr>
              <w:pStyle w:val="Header"/>
              <w:numPr>
                <w:ilvl w:val="0"/>
                <w:numId w:val="5"/>
              </w:numPr>
              <w:tabs>
                <w:tab w:val="clear" w:pos="4153"/>
                <w:tab w:val="clear" w:pos="8306"/>
              </w:tabs>
              <w:rPr>
                <w:bCs/>
              </w:rPr>
            </w:pPr>
            <w:r>
              <w:rPr>
                <w:bCs/>
                <w:i/>
                <w:iCs/>
                <w:sz w:val="20"/>
              </w:rPr>
              <w:t>How does it compare with the current situation?</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r>
              <w:t>It is proposed to change the existing Ada</w:t>
            </w:r>
            <w:r w:rsidR="00277ED9">
              <w:t xml:space="preserve">ptations Policy to reflect that </w:t>
            </w:r>
            <w:r w:rsidR="00137AE9">
              <w:t xml:space="preserve">major </w:t>
            </w:r>
            <w:r>
              <w:t>adaptations will n</w:t>
            </w:r>
            <w:r w:rsidR="009543CB">
              <w:t>ot be carried out in properties</w:t>
            </w:r>
            <w:r>
              <w:t xml:space="preserve"> </w:t>
            </w:r>
            <w:r w:rsidR="009543CB">
              <w:t>that</w:t>
            </w:r>
            <w:r>
              <w:t xml:space="preserve"> are under occupied. </w:t>
            </w:r>
          </w:p>
          <w:p w:rsidR="00BC280A" w:rsidRDefault="00BC280A"/>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er"/>
              <w:numPr>
                <w:ilvl w:val="0"/>
                <w:numId w:val="9"/>
              </w:numPr>
              <w:tabs>
                <w:tab w:val="clear" w:pos="4153"/>
                <w:tab w:val="clear" w:pos="8306"/>
              </w:tabs>
            </w:pPr>
            <w:r>
              <w:t xml:space="preserve">Summary of evidence used to support this assessment  </w:t>
            </w:r>
          </w:p>
          <w:p w:rsidR="00BC280A" w:rsidRDefault="00BC280A" w:rsidP="00332FE0">
            <w:pPr>
              <w:pStyle w:val="Header"/>
              <w:numPr>
                <w:ilvl w:val="0"/>
                <w:numId w:val="2"/>
              </w:numPr>
              <w:tabs>
                <w:tab w:val="clear" w:pos="4153"/>
                <w:tab w:val="clear" w:pos="8306"/>
              </w:tabs>
              <w:rPr>
                <w:i/>
                <w:iCs/>
                <w:sz w:val="20"/>
              </w:rPr>
            </w:pPr>
            <w:r>
              <w:rPr>
                <w:i/>
                <w:iCs/>
                <w:sz w:val="20"/>
              </w:rPr>
              <w:t>Eg: Feedback from consultation, performance information, service user records etc.</w:t>
            </w:r>
          </w:p>
          <w:p w:rsidR="00BC280A" w:rsidRDefault="00BC280A" w:rsidP="00332FE0">
            <w:pPr>
              <w:pStyle w:val="Header"/>
              <w:numPr>
                <w:ilvl w:val="0"/>
                <w:numId w:val="2"/>
              </w:numPr>
              <w:tabs>
                <w:tab w:val="clear" w:pos="4153"/>
                <w:tab w:val="clear" w:pos="8306"/>
              </w:tabs>
              <w:rPr>
                <w:rFonts w:cs="Arial"/>
              </w:rPr>
            </w:pPr>
            <w:r>
              <w:rPr>
                <w:i/>
                <w:iCs/>
                <w:sz w:val="20"/>
              </w:rPr>
              <w:t>Eg: Comparison of service user profile with Medway Community Profile</w:t>
            </w:r>
            <w:r>
              <w:rPr>
                <w:sz w:val="20"/>
              </w:rPr>
              <w:t xml:space="preserve"> </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tbl>
            <w:tblPr>
              <w:tblStyle w:val="TableGrid"/>
              <w:tblpPr w:leftFromText="180" w:rightFromText="180" w:horzAnchor="margin" w:tblpY="1009"/>
              <w:tblOverlap w:val="never"/>
              <w:tblW w:w="0" w:type="auto"/>
              <w:tblLayout w:type="fixed"/>
              <w:tblLook w:val="04A0" w:firstRow="1" w:lastRow="0" w:firstColumn="1" w:lastColumn="0" w:noHBand="0" w:noVBand="1"/>
              <w:tblCaption w:val="Adaptations completed"/>
            </w:tblPr>
            <w:tblGrid>
              <w:gridCol w:w="4150"/>
              <w:gridCol w:w="4150"/>
            </w:tblGrid>
            <w:tr w:rsidR="00114592" w:rsidTr="00332FE0">
              <w:trPr>
                <w:tblHeader/>
              </w:trPr>
              <w:tc>
                <w:tcPr>
                  <w:tcW w:w="4150" w:type="dxa"/>
                </w:tcPr>
                <w:p w:rsidR="00114592" w:rsidRDefault="00114592" w:rsidP="00114592">
                  <w:r>
                    <w:t>Year</w:t>
                  </w:r>
                </w:p>
              </w:tc>
              <w:tc>
                <w:tcPr>
                  <w:tcW w:w="4150" w:type="dxa"/>
                </w:tcPr>
                <w:p w:rsidR="00114592" w:rsidRDefault="00114592" w:rsidP="00114592">
                  <w:r>
                    <w:t>Number of adaptations completed</w:t>
                  </w:r>
                </w:p>
              </w:tc>
            </w:tr>
            <w:tr w:rsidR="00114592" w:rsidTr="00D20608">
              <w:tc>
                <w:tcPr>
                  <w:tcW w:w="4150" w:type="dxa"/>
                </w:tcPr>
                <w:p w:rsidR="00114592" w:rsidRDefault="00114592" w:rsidP="00114592">
                  <w:r>
                    <w:t>2019/20</w:t>
                  </w:r>
                </w:p>
              </w:tc>
              <w:tc>
                <w:tcPr>
                  <w:tcW w:w="4150" w:type="dxa"/>
                </w:tcPr>
                <w:p w:rsidR="00114592" w:rsidRDefault="00114592" w:rsidP="00114592">
                  <w:r>
                    <w:t>15</w:t>
                  </w:r>
                </w:p>
              </w:tc>
            </w:tr>
            <w:tr w:rsidR="00114592" w:rsidTr="00D20608">
              <w:tc>
                <w:tcPr>
                  <w:tcW w:w="4150" w:type="dxa"/>
                </w:tcPr>
                <w:p w:rsidR="00114592" w:rsidRDefault="00114592" w:rsidP="00114592">
                  <w:r>
                    <w:t>2018/19</w:t>
                  </w:r>
                </w:p>
              </w:tc>
              <w:tc>
                <w:tcPr>
                  <w:tcW w:w="4150" w:type="dxa"/>
                </w:tcPr>
                <w:p w:rsidR="00114592" w:rsidRDefault="00114592" w:rsidP="00114592">
                  <w:r>
                    <w:t>19</w:t>
                  </w:r>
                </w:p>
              </w:tc>
            </w:tr>
            <w:tr w:rsidR="00114592" w:rsidTr="00D20608">
              <w:tc>
                <w:tcPr>
                  <w:tcW w:w="4150" w:type="dxa"/>
                </w:tcPr>
                <w:p w:rsidR="00114592" w:rsidRDefault="00114592" w:rsidP="00114592">
                  <w:r>
                    <w:t>2017/18</w:t>
                  </w:r>
                </w:p>
              </w:tc>
              <w:tc>
                <w:tcPr>
                  <w:tcW w:w="4150" w:type="dxa"/>
                </w:tcPr>
                <w:p w:rsidR="00114592" w:rsidRDefault="00114592" w:rsidP="00114592">
                  <w:r>
                    <w:t>33</w:t>
                  </w:r>
                </w:p>
              </w:tc>
            </w:tr>
          </w:tbl>
          <w:p w:rsidR="00BC280A" w:rsidRDefault="009543CB" w:rsidP="00114592">
            <w:r>
              <w:t xml:space="preserve"> </w:t>
            </w:r>
          </w:p>
          <w:p w:rsidR="00D20608" w:rsidRDefault="00D20608" w:rsidP="00114592">
            <w:r>
              <w:t>Over the past 3 reporting years, a total of 67 properties</w:t>
            </w:r>
            <w:r w:rsidR="00963C4F">
              <w:t xml:space="preserve"> have had adaptations completed. This represents about 1% of the current total stock.</w:t>
            </w:r>
          </w:p>
          <w:p w:rsidR="00D20608" w:rsidRDefault="00D20608" w:rsidP="00114592"/>
          <w:p w:rsidR="00963C4F" w:rsidRDefault="00963C4F" w:rsidP="00114592">
            <w:r>
              <w:t xml:space="preserve">This shows that the service is responding to the needs of residents and helping tenants live independently for longer. </w:t>
            </w:r>
          </w:p>
          <w:p w:rsidR="00963C4F" w:rsidRDefault="00963C4F" w:rsidP="00114592"/>
          <w:p w:rsidR="00D20608" w:rsidRDefault="00963C4F" w:rsidP="00114592">
            <w:r>
              <w:t xml:space="preserve">In 2016 the decision was made to not install adaptations at under occupied properties ensuring the stock is used effectively and households are well </w:t>
            </w:r>
            <w:r w:rsidR="00332FE0">
              <w:t>suited to the type of property.</w:t>
            </w:r>
          </w:p>
        </w:tc>
      </w:tr>
      <w:tr w:rsidR="00BC280A">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BC280A" w:rsidRDefault="00BC280A" w:rsidP="00332FE0">
            <w:pPr>
              <w:pStyle w:val="Heading2"/>
              <w:numPr>
                <w:ilvl w:val="0"/>
                <w:numId w:val="9"/>
              </w:numPr>
              <w:rPr>
                <w:b w:val="0"/>
                <w:bCs w:val="0"/>
                <w:sz w:val="24"/>
              </w:rPr>
            </w:pPr>
            <w:r>
              <w:rPr>
                <w:b w:val="0"/>
                <w:bCs w:val="0"/>
                <w:sz w:val="24"/>
              </w:rPr>
              <w:t>What is the likely impact of the proposed change?</w:t>
            </w:r>
          </w:p>
          <w:p w:rsidR="00BC280A" w:rsidRDefault="00BC280A">
            <w:pPr>
              <w:pStyle w:val="Header"/>
              <w:tabs>
                <w:tab w:val="clear" w:pos="4153"/>
                <w:tab w:val="clear" w:pos="8306"/>
              </w:tabs>
              <w:rPr>
                <w:i/>
                <w:iCs/>
                <w:sz w:val="20"/>
              </w:rPr>
            </w:pPr>
            <w:r>
              <w:rPr>
                <w:i/>
                <w:iCs/>
                <w:sz w:val="20"/>
              </w:rPr>
              <w:t>Is it likely to :</w:t>
            </w:r>
          </w:p>
          <w:p w:rsidR="00BC280A" w:rsidRDefault="00BC280A" w:rsidP="00332FE0">
            <w:pPr>
              <w:pStyle w:val="Header"/>
              <w:numPr>
                <w:ilvl w:val="0"/>
                <w:numId w:val="1"/>
              </w:numPr>
              <w:tabs>
                <w:tab w:val="clear" w:pos="4153"/>
                <w:tab w:val="clear" w:pos="8306"/>
              </w:tabs>
              <w:rPr>
                <w:i/>
                <w:iCs/>
                <w:sz w:val="20"/>
              </w:rPr>
            </w:pPr>
            <w:r>
              <w:rPr>
                <w:i/>
                <w:iCs/>
                <w:sz w:val="20"/>
              </w:rPr>
              <w:t xml:space="preserve">Adversely impact on one or more of the protected characteristic groups? </w:t>
            </w:r>
          </w:p>
          <w:p w:rsidR="00BC280A" w:rsidRDefault="00BC280A" w:rsidP="00332FE0">
            <w:pPr>
              <w:pStyle w:val="Header"/>
              <w:numPr>
                <w:ilvl w:val="0"/>
                <w:numId w:val="1"/>
              </w:numPr>
              <w:tabs>
                <w:tab w:val="clear" w:pos="4153"/>
                <w:tab w:val="clear" w:pos="8306"/>
              </w:tabs>
              <w:rPr>
                <w:i/>
                <w:iCs/>
                <w:sz w:val="20"/>
              </w:rPr>
            </w:pPr>
            <w:r>
              <w:rPr>
                <w:i/>
                <w:iCs/>
                <w:sz w:val="20"/>
              </w:rPr>
              <w:t>Advance equality of opportunity for one or more of the protected characteristic groups?</w:t>
            </w:r>
          </w:p>
          <w:p w:rsidR="00BC280A" w:rsidRPr="00AA2F30" w:rsidRDefault="00BC280A" w:rsidP="00332FE0">
            <w:pPr>
              <w:pStyle w:val="Header"/>
              <w:numPr>
                <w:ilvl w:val="0"/>
                <w:numId w:val="1"/>
              </w:numPr>
              <w:tabs>
                <w:tab w:val="clear" w:pos="4153"/>
                <w:tab w:val="clear" w:pos="8306"/>
              </w:tabs>
              <w:rPr>
                <w:i/>
                <w:iCs/>
                <w:sz w:val="20"/>
              </w:rPr>
            </w:pPr>
            <w:r>
              <w:rPr>
                <w:i/>
                <w:iCs/>
                <w:sz w:val="20"/>
              </w:rPr>
              <w:t>Foster good relations between people who share a protected characteristic and those who don’t?</w:t>
            </w:r>
            <w:r w:rsidRPr="00AA2F30">
              <w:rPr>
                <w:i/>
                <w:iCs/>
                <w:sz w:val="16"/>
              </w:rPr>
              <w:t xml:space="preserve"> (insert </w:t>
            </w:r>
            <w:r>
              <w:sym w:font="Wingdings" w:char="F0FC"/>
            </w:r>
            <w:r w:rsidRPr="00AA2F30">
              <w:rPr>
                <w:i/>
                <w:iCs/>
                <w:sz w:val="16"/>
              </w:rPr>
              <w:t xml:space="preserve"> in one or more boxes)</w:t>
            </w: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Protected characteristic groups</w:t>
            </w:r>
          </w:p>
        </w:tc>
        <w:tc>
          <w:tcPr>
            <w:tcW w:w="1727"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Foster good relations</w:t>
            </w: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 xml:space="preserve">Age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8761C7">
            <w:pPr>
              <w:jc w:val="center"/>
              <w:rPr>
                <w:noProof/>
                <w:lang w:val="en-US"/>
              </w:rPr>
            </w:pPr>
            <w:r>
              <w:rPr>
                <w:i/>
                <w:iCs/>
                <w:sz w:val="40"/>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lastRenderedPageBreak/>
              <w:t>Disabilty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F610F9">
            <w:pPr>
              <w:jc w:val="center"/>
              <w:rPr>
                <w:noProof/>
                <w:lang w:val="en-US"/>
              </w:rPr>
            </w:pPr>
            <w:r>
              <w:rPr>
                <w:i/>
                <w:iCs/>
                <w:sz w:val="40"/>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sz w:val="40"/>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Gender reassignment</w:t>
            </w:r>
            <w:r>
              <w:rPr>
                <w:rFonts w:cs="Arial"/>
                <w:b/>
                <w:bCs/>
                <w:noProof/>
                <w:sz w:val="22"/>
                <w:lang w:val="en-US"/>
              </w:rPr>
              <w:t xml:space="preserv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rPr>
          <w:trHeight w:val="538"/>
        </w:trPr>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Marriage/civil partnership</w:t>
            </w: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Pregnancy/maternity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Race</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ing6"/>
              <w:rPr>
                <w:rFonts w:cs="Arial"/>
              </w:rPr>
            </w:pPr>
            <w:r>
              <w:rPr>
                <w:rFonts w:cs="Arial"/>
              </w:rPr>
              <w:t>Religion/belief</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Sexual orientation</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334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F610F9">
            <w:pPr>
              <w:rPr>
                <w:rFonts w:cs="Arial"/>
                <w:b/>
                <w:bCs/>
                <w:sz w:val="22"/>
              </w:rPr>
            </w:pPr>
            <w:r>
              <w:rPr>
                <w:rFonts w:cs="Arial"/>
                <w:b/>
                <w:bCs/>
                <w:sz w:val="22"/>
              </w:rPr>
              <w:t>L</w:t>
            </w:r>
            <w:r w:rsidR="00BC280A">
              <w:rPr>
                <w:rFonts w:cs="Arial"/>
                <w:b/>
                <w:bCs/>
                <w:sz w:val="22"/>
              </w:rPr>
              <w:t>ow income groups</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F610F9">
            <w:pPr>
              <w:jc w:val="center"/>
              <w:rPr>
                <w:noProof/>
                <w:lang w:val="en-US"/>
              </w:rPr>
            </w:pPr>
            <w:r>
              <w:rPr>
                <w:i/>
                <w:iCs/>
                <w:sz w:val="40"/>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noProof/>
                <w:lang w:val="en-US"/>
              </w:rPr>
            </w:pP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er"/>
              <w:numPr>
                <w:ilvl w:val="0"/>
                <w:numId w:val="9"/>
              </w:numPr>
              <w:tabs>
                <w:tab w:val="clear" w:pos="4153"/>
                <w:tab w:val="clear" w:pos="8306"/>
              </w:tabs>
            </w:pPr>
            <w:r>
              <w:t xml:space="preserve">Summary of the likely impacts </w:t>
            </w:r>
          </w:p>
          <w:p w:rsidR="00BC280A" w:rsidRDefault="00BC280A" w:rsidP="00332FE0">
            <w:pPr>
              <w:pStyle w:val="Header"/>
              <w:numPr>
                <w:ilvl w:val="0"/>
                <w:numId w:val="3"/>
              </w:numPr>
              <w:tabs>
                <w:tab w:val="clear" w:pos="4153"/>
                <w:tab w:val="clear" w:pos="8306"/>
              </w:tabs>
              <w:rPr>
                <w:i/>
                <w:iCs/>
                <w:sz w:val="20"/>
              </w:rPr>
            </w:pPr>
            <w:r>
              <w:rPr>
                <w:i/>
                <w:iCs/>
                <w:sz w:val="20"/>
              </w:rPr>
              <w:t>Who will be affected?</w:t>
            </w:r>
          </w:p>
          <w:p w:rsidR="00BC280A" w:rsidRDefault="00BC280A" w:rsidP="00332FE0">
            <w:pPr>
              <w:pStyle w:val="Header"/>
              <w:numPr>
                <w:ilvl w:val="0"/>
                <w:numId w:val="3"/>
              </w:numPr>
              <w:tabs>
                <w:tab w:val="clear" w:pos="4153"/>
                <w:tab w:val="clear" w:pos="8306"/>
              </w:tabs>
              <w:rPr>
                <w:sz w:val="16"/>
              </w:rPr>
            </w:pPr>
            <w:r>
              <w:rPr>
                <w:i/>
                <w:iCs/>
                <w:sz w:val="20"/>
              </w:rPr>
              <w:t>How will they be affected?</w:t>
            </w:r>
            <w:r>
              <w:rPr>
                <w:sz w:val="20"/>
              </w:rPr>
              <w:t xml:space="preserve"> </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332FE0" w:rsidRDefault="00BE26E7" w:rsidP="00332FE0">
            <w:r>
              <w:t xml:space="preserve">The size criteria only </w:t>
            </w:r>
            <w:r w:rsidR="00A43A3F">
              <w:t xml:space="preserve">effects </w:t>
            </w:r>
            <w:r>
              <w:t>tenants that are of working age</w:t>
            </w:r>
            <w:r w:rsidR="00A43A3F">
              <w:t>,</w:t>
            </w:r>
            <w:r>
              <w:t xml:space="preserve"> so it is not expected that the change in this policy will </w:t>
            </w:r>
            <w:r w:rsidR="008761C7">
              <w:t xml:space="preserve">directly </w:t>
            </w:r>
            <w:r>
              <w:t xml:space="preserve">negatively </w:t>
            </w:r>
            <w:r w:rsidR="008761C7">
              <w:t>impact on older residents.  However it is acknowledged that people of non working age are more likely to require an adaptation to their property.  In these circumstances the council may suggest</w:t>
            </w:r>
            <w:r w:rsidR="00575EC0">
              <w:t xml:space="preserve"> to the tenant </w:t>
            </w:r>
            <w:r w:rsidR="008761C7">
              <w:t>downsizing to a smaller property</w:t>
            </w:r>
            <w:r w:rsidR="00575EC0">
              <w:t>, but we cannot refuse the adaptation if they meet the rest of the eligible criteria.</w:t>
            </w:r>
            <w:r w:rsidR="00332FE0">
              <w:t xml:space="preserve"> </w:t>
            </w:r>
            <w:r w:rsidR="00BC280A">
              <w:t xml:space="preserve">This </w:t>
            </w:r>
            <w:r>
              <w:t>policy may have a negative impact on</w:t>
            </w:r>
            <w:r w:rsidR="008B4A0A">
              <w:t xml:space="preserve"> disabled</w:t>
            </w:r>
            <w:r>
              <w:t xml:space="preserve"> </w:t>
            </w:r>
            <w:r w:rsidR="00BC280A">
              <w:t>council tenants who have a need for substantial adaptations, but are currently under occupying their property</w:t>
            </w:r>
            <w:r>
              <w:t xml:space="preserve"> and are affected by the size criteria</w:t>
            </w:r>
            <w:r w:rsidR="00BC280A">
              <w:t xml:space="preserve">. This may result in households </w:t>
            </w:r>
            <w:r>
              <w:t xml:space="preserve">either </w:t>
            </w:r>
            <w:r w:rsidR="00BC280A">
              <w:t>needing to down size before these are installed at a more appropriate property</w:t>
            </w:r>
            <w:r>
              <w:t xml:space="preserve"> or </w:t>
            </w:r>
            <w:r w:rsidR="00AD4F97">
              <w:t xml:space="preserve">the </w:t>
            </w:r>
            <w:r>
              <w:t>tenants funding the adaptations themselves</w:t>
            </w:r>
            <w:r w:rsidR="00BC280A">
              <w:t>.</w:t>
            </w:r>
            <w:r>
              <w:t xml:space="preserve">  It may also negatively impact on </w:t>
            </w:r>
            <w:r w:rsidRPr="00BE26E7">
              <w:t>Low income groups</w:t>
            </w:r>
            <w:r>
              <w:t xml:space="preserve"> who require major adaptation</w:t>
            </w:r>
            <w:r w:rsidR="00AD4F97">
              <w:t>s and</w:t>
            </w:r>
            <w:r>
              <w:t xml:space="preserve"> are affected by the size criteria and cannot affor</w:t>
            </w:r>
            <w:r w:rsidR="00AD4F97">
              <w:t>d to pay for the adaptation themselves.</w:t>
            </w:r>
            <w:r w:rsidR="00BC280A">
              <w:t xml:space="preserve"> </w:t>
            </w:r>
            <w:r w:rsidR="00A43A3F">
              <w:t>In all cases the Council will use its discretion and judge the situation on its individual merit.</w:t>
            </w:r>
          </w:p>
          <w:p w:rsidR="00BC280A" w:rsidRDefault="00BC280A" w:rsidP="00332FE0">
            <w:r>
              <w:t>Th</w:t>
            </w:r>
            <w:r w:rsidR="00A43A3F">
              <w:t>e policy could foster good relations by</w:t>
            </w:r>
            <w:r>
              <w:t xml:space="preserve"> ensuring tenants are matched to properties that best suit their needs. It also makes best use of the housing stock so that larger properties can be freed up</w:t>
            </w:r>
            <w:r w:rsidR="001042C1">
              <w:t xml:space="preserve"> for those households in need. </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er"/>
              <w:numPr>
                <w:ilvl w:val="0"/>
                <w:numId w:val="9"/>
              </w:numPr>
              <w:tabs>
                <w:tab w:val="clear" w:pos="4153"/>
                <w:tab w:val="clear" w:pos="8306"/>
              </w:tabs>
            </w:pPr>
            <w:r>
              <w:t>What actions can be taken to mitigate likely adverse</w:t>
            </w:r>
            <w:r>
              <w:rPr>
                <w:sz w:val="28"/>
              </w:rPr>
              <w:t xml:space="preserve"> </w:t>
            </w:r>
            <w:r>
              <w:t>impacts, improve equality of opportunity or foster good relations?</w:t>
            </w:r>
          </w:p>
          <w:p w:rsidR="00BC280A" w:rsidRDefault="00BC280A" w:rsidP="00332FE0">
            <w:pPr>
              <w:pStyle w:val="Header"/>
              <w:numPr>
                <w:ilvl w:val="0"/>
                <w:numId w:val="4"/>
              </w:numPr>
              <w:tabs>
                <w:tab w:val="clear" w:pos="4153"/>
                <w:tab w:val="clear" w:pos="8306"/>
              </w:tabs>
              <w:rPr>
                <w:i/>
                <w:iCs/>
                <w:sz w:val="20"/>
              </w:rPr>
            </w:pPr>
            <w:r>
              <w:rPr>
                <w:i/>
                <w:iCs/>
                <w:sz w:val="20"/>
              </w:rPr>
              <w:t>Are there alternative providers?</w:t>
            </w:r>
          </w:p>
          <w:p w:rsidR="00BC280A" w:rsidRDefault="00BC280A" w:rsidP="00332FE0">
            <w:pPr>
              <w:pStyle w:val="Header"/>
              <w:numPr>
                <w:ilvl w:val="0"/>
                <w:numId w:val="4"/>
              </w:numPr>
              <w:tabs>
                <w:tab w:val="clear" w:pos="4153"/>
                <w:tab w:val="clear" w:pos="8306"/>
              </w:tabs>
              <w:rPr>
                <w:i/>
                <w:iCs/>
                <w:sz w:val="20"/>
              </w:rPr>
            </w:pPr>
            <w:r>
              <w:rPr>
                <w:i/>
                <w:iCs/>
                <w:sz w:val="20"/>
              </w:rPr>
              <w:t>What alternative ways can the Council provide the service?</w:t>
            </w:r>
          </w:p>
          <w:p w:rsidR="00BC280A" w:rsidRDefault="00BC280A" w:rsidP="00332FE0">
            <w:pPr>
              <w:pStyle w:val="Header"/>
              <w:numPr>
                <w:ilvl w:val="0"/>
                <w:numId w:val="4"/>
              </w:numPr>
              <w:tabs>
                <w:tab w:val="clear" w:pos="4153"/>
                <w:tab w:val="clear" w:pos="8306"/>
              </w:tabs>
              <w:rPr>
                <w:b/>
                <w:bCs/>
              </w:rPr>
            </w:pPr>
            <w:r>
              <w:rPr>
                <w:i/>
                <w:iCs/>
                <w:sz w:val="20"/>
              </w:rPr>
              <w:t>Can demand for services be managed differently?</w:t>
            </w:r>
          </w:p>
        </w:tc>
      </w:tr>
      <w:tr w:rsidR="00BC280A">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BC280A" w:rsidRDefault="0052523F">
            <w:r>
              <w:lastRenderedPageBreak/>
              <w:t>In order to mitigate the negative impacts of this policy the following actions will be implemented</w:t>
            </w:r>
          </w:p>
          <w:p w:rsidR="0052523F" w:rsidRPr="00906F2B" w:rsidRDefault="0052523F" w:rsidP="00332FE0">
            <w:pPr>
              <w:numPr>
                <w:ilvl w:val="0"/>
                <w:numId w:val="8"/>
              </w:numPr>
              <w:tabs>
                <w:tab w:val="left" w:pos="720"/>
                <w:tab w:val="left" w:pos="851"/>
              </w:tabs>
              <w:jc w:val="both"/>
              <w:rPr>
                <w:rFonts w:cs="Arial"/>
              </w:rPr>
            </w:pPr>
            <w:r>
              <w:rPr>
                <w:rFonts w:cs="Arial"/>
              </w:rPr>
              <w:t xml:space="preserve">If an adaptation is refused </w:t>
            </w:r>
            <w:r w:rsidRPr="00906F2B">
              <w:rPr>
                <w:rFonts w:cs="Arial"/>
              </w:rPr>
              <w:t xml:space="preserve">Medway Council </w:t>
            </w:r>
            <w:r>
              <w:rPr>
                <w:rFonts w:cs="Arial"/>
              </w:rPr>
              <w:t>t</w:t>
            </w:r>
            <w:r w:rsidRPr="00906F2B">
              <w:rPr>
                <w:rFonts w:cs="Arial"/>
              </w:rPr>
              <w:t>enants may be able to organise their own adaptat</w:t>
            </w:r>
            <w:r w:rsidR="00AA2F30">
              <w:rPr>
                <w:rFonts w:cs="Arial"/>
              </w:rPr>
              <w:t>ions at their own expense. The C</w:t>
            </w:r>
            <w:r w:rsidRPr="00906F2B">
              <w:rPr>
                <w:rFonts w:cs="Arial"/>
              </w:rPr>
              <w:t>ouncil will only refuse permission with good reason.</w:t>
            </w:r>
          </w:p>
          <w:p w:rsidR="0052523F" w:rsidRPr="001042C1" w:rsidRDefault="0052523F" w:rsidP="00332FE0">
            <w:pPr>
              <w:numPr>
                <w:ilvl w:val="0"/>
                <w:numId w:val="8"/>
              </w:numPr>
              <w:tabs>
                <w:tab w:val="left" w:pos="720"/>
                <w:tab w:val="left" w:pos="851"/>
              </w:tabs>
              <w:jc w:val="both"/>
              <w:rPr>
                <w:rFonts w:cs="Arial"/>
              </w:rPr>
            </w:pPr>
            <w:r w:rsidRPr="001042C1">
              <w:rPr>
                <w:rFonts w:cs="Arial"/>
              </w:rPr>
              <w:t xml:space="preserve">We will ensure that households whom are under occupying their properties and wanting to transfer are given a high priority in HomeChoice. </w:t>
            </w:r>
          </w:p>
          <w:p w:rsidR="00BC280A" w:rsidRPr="001042C1" w:rsidRDefault="00BC280A" w:rsidP="00332FE0">
            <w:pPr>
              <w:numPr>
                <w:ilvl w:val="0"/>
                <w:numId w:val="8"/>
              </w:numPr>
              <w:tabs>
                <w:tab w:val="left" w:pos="720"/>
                <w:tab w:val="left" w:pos="851"/>
              </w:tabs>
              <w:jc w:val="both"/>
              <w:rPr>
                <w:rFonts w:cs="Arial"/>
              </w:rPr>
            </w:pPr>
            <w:r w:rsidRPr="001042C1">
              <w:rPr>
                <w:rFonts w:cs="Arial"/>
              </w:rPr>
              <w:t xml:space="preserve">Households </w:t>
            </w:r>
            <w:r w:rsidR="0052523F" w:rsidRPr="001042C1">
              <w:rPr>
                <w:rFonts w:cs="Arial"/>
              </w:rPr>
              <w:t xml:space="preserve">that downsize </w:t>
            </w:r>
            <w:r w:rsidRPr="001042C1">
              <w:rPr>
                <w:rFonts w:cs="Arial"/>
              </w:rPr>
              <w:t>may be eligible f</w:t>
            </w:r>
            <w:r w:rsidR="0057247E" w:rsidRPr="001042C1">
              <w:rPr>
                <w:rFonts w:cs="Arial"/>
              </w:rPr>
              <w:t>or the down sizing incentives.</w:t>
            </w:r>
          </w:p>
          <w:p w:rsidR="008B4A0A" w:rsidRPr="001042C1" w:rsidRDefault="008B4A0A" w:rsidP="00332FE0">
            <w:pPr>
              <w:numPr>
                <w:ilvl w:val="0"/>
                <w:numId w:val="8"/>
              </w:numPr>
              <w:tabs>
                <w:tab w:val="left" w:pos="720"/>
                <w:tab w:val="left" w:pos="851"/>
              </w:tabs>
              <w:jc w:val="both"/>
              <w:rPr>
                <w:rFonts w:cs="Arial"/>
              </w:rPr>
            </w:pPr>
            <w:r w:rsidRPr="000C3B21">
              <w:rPr>
                <w:rFonts w:cs="Arial"/>
              </w:rPr>
              <w:t>If the applicant is required to make a financial contribution to the adaptation works but cannot afford it they can apply for discretionary social care funding.  This is a loan (which is subject to its’ own terms and conditions of eligibility) for the works that are agreed to be ‘necessary and appropriate’ and ‘reasonable and practical’ under the legislation</w:t>
            </w:r>
          </w:p>
          <w:p w:rsidR="008B4A0A" w:rsidRPr="001042C1" w:rsidRDefault="008B4A0A" w:rsidP="00332FE0">
            <w:pPr>
              <w:numPr>
                <w:ilvl w:val="0"/>
                <w:numId w:val="8"/>
              </w:numPr>
              <w:tabs>
                <w:tab w:val="left" w:pos="720"/>
                <w:tab w:val="left" w:pos="851"/>
              </w:tabs>
              <w:jc w:val="both"/>
              <w:rPr>
                <w:rFonts w:cs="Arial"/>
              </w:rPr>
            </w:pPr>
            <w:r w:rsidRPr="001042C1">
              <w:rPr>
                <w:rFonts w:cs="Arial"/>
              </w:rPr>
              <w:t>If a tenant’s home is not suitable for adaptations or they are not eligible for assistance, Medway Council will give a</w:t>
            </w:r>
            <w:r w:rsidR="001042C1">
              <w:rPr>
                <w:rFonts w:cs="Arial"/>
              </w:rPr>
              <w:t>dvice on alternative solutions.</w:t>
            </w:r>
          </w:p>
          <w:p w:rsidR="008B4A0A" w:rsidRPr="001042C1" w:rsidRDefault="008B4A0A" w:rsidP="00332FE0">
            <w:pPr>
              <w:numPr>
                <w:ilvl w:val="0"/>
                <w:numId w:val="8"/>
              </w:numPr>
              <w:tabs>
                <w:tab w:val="left" w:pos="720"/>
                <w:tab w:val="left" w:pos="851"/>
              </w:tabs>
              <w:jc w:val="both"/>
              <w:rPr>
                <w:rFonts w:cs="Arial"/>
              </w:rPr>
            </w:pPr>
            <w:r w:rsidRPr="001042C1">
              <w:rPr>
                <w:rFonts w:cs="Arial"/>
              </w:rPr>
              <w:t xml:space="preserve">Applicants have the right to appeal decisions made </w:t>
            </w:r>
            <w:r w:rsidR="001042C1" w:rsidRPr="001042C1">
              <w:rPr>
                <w:rFonts w:cs="Arial"/>
              </w:rPr>
              <w:t xml:space="preserve">on adaptation decisions </w:t>
            </w:r>
            <w:r w:rsidRPr="001042C1">
              <w:rPr>
                <w:rFonts w:cs="Arial"/>
              </w:rPr>
              <w:t>using the Medway Council complaints procedure.</w:t>
            </w:r>
          </w:p>
          <w:p w:rsidR="00BC280A" w:rsidRDefault="008B4A0A" w:rsidP="00332FE0">
            <w:pPr>
              <w:numPr>
                <w:ilvl w:val="0"/>
                <w:numId w:val="8"/>
              </w:numPr>
              <w:tabs>
                <w:tab w:val="left" w:pos="720"/>
                <w:tab w:val="left" w:pos="851"/>
              </w:tabs>
              <w:jc w:val="both"/>
            </w:pPr>
            <w:r w:rsidRPr="001042C1">
              <w:rPr>
                <w:rFonts w:cs="Arial"/>
              </w:rPr>
              <w:t xml:space="preserve">In cases where the Council refuse to carry out works as a result of </w:t>
            </w:r>
            <w:r w:rsidR="001042C1" w:rsidRPr="001042C1">
              <w:rPr>
                <w:rFonts w:cs="Arial"/>
              </w:rPr>
              <w:t>under occupation</w:t>
            </w:r>
            <w:r w:rsidRPr="001042C1">
              <w:rPr>
                <w:rFonts w:cs="Arial"/>
              </w:rPr>
              <w:t>, it will make a reasonable offer of suitable alternative accommodation.  Applicants may also be eligible for a financial incentive for downsizing through the Tenant Incentive Scheme.</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ing2"/>
              <w:numPr>
                <w:ilvl w:val="0"/>
                <w:numId w:val="9"/>
              </w:numPr>
              <w:rPr>
                <w:b w:val="0"/>
                <w:bCs w:val="0"/>
                <w:sz w:val="24"/>
              </w:rPr>
            </w:pPr>
            <w:r>
              <w:rPr>
                <w:b w:val="0"/>
                <w:bCs w:val="0"/>
                <w:sz w:val="24"/>
              </w:rPr>
              <w:t>Action plan</w:t>
            </w:r>
          </w:p>
          <w:p w:rsidR="00BC280A" w:rsidRDefault="00BC280A" w:rsidP="00332FE0">
            <w:pPr>
              <w:numPr>
                <w:ilvl w:val="0"/>
                <w:numId w:val="4"/>
              </w:numPr>
              <w:rPr>
                <w:rFonts w:cs="Arial"/>
                <w:b/>
                <w:bCs/>
                <w:i/>
                <w:iCs/>
                <w:sz w:val="20"/>
              </w:rPr>
            </w:pPr>
            <w:r>
              <w:rPr>
                <w:i/>
                <w:iCs/>
                <w:sz w:val="20"/>
              </w:rPr>
              <w:t>Actions to mitigate adverse impact, improve equality of opportunity or foster good relations and/or obtain new evidence</w:t>
            </w:r>
          </w:p>
        </w:tc>
      </w:tr>
      <w:tr w:rsidR="000C7757" w:rsidTr="00CF0177">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C7757" w:rsidRDefault="000C7757">
            <w:pPr>
              <w:rPr>
                <w:rFonts w:cs="Arial"/>
                <w:bCs/>
              </w:rPr>
            </w:pPr>
            <w:r>
              <w:rPr>
                <w:rFonts w:cs="Arial"/>
                <w:bCs/>
              </w:rPr>
              <w:t>Monitor the number of adaptation applications received</w:t>
            </w:r>
            <w:r w:rsidR="00114592">
              <w:rPr>
                <w:rFonts w:cs="Arial"/>
                <w:bCs/>
              </w:rPr>
              <w:t xml:space="preserve"> and number completed</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0C7757" w:rsidRDefault="00114592">
            <w:pPr>
              <w:jc w:val="center"/>
              <w:rPr>
                <w:rFonts w:cs="Arial"/>
                <w:bCs/>
                <w:sz w:val="20"/>
              </w:rPr>
            </w:pPr>
            <w:r>
              <w:rPr>
                <w:rFonts w:cs="Arial"/>
                <w:bCs/>
                <w:sz w:val="20"/>
              </w:rPr>
              <w:t>Policy and Partnerships Manager</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0C7757" w:rsidRDefault="00114592">
            <w:pPr>
              <w:jc w:val="center"/>
              <w:rPr>
                <w:rFonts w:cs="Arial"/>
                <w:bCs/>
              </w:rPr>
            </w:pPr>
            <w:r>
              <w:rPr>
                <w:rFonts w:cs="Arial"/>
                <w:bCs/>
              </w:rPr>
              <w:t>Ongoing</w:t>
            </w:r>
          </w:p>
        </w:tc>
      </w:tr>
      <w:tr w:rsidR="00BC280A" w:rsidTr="00CF0177">
        <w:tblPrEx>
          <w:tblCellMar>
            <w:top w:w="0" w:type="dxa"/>
            <w:bottom w:w="0" w:type="dxa"/>
          </w:tblCellMar>
        </w:tblPrEx>
        <w:tc>
          <w:tcPr>
            <w:tcW w:w="5857"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rPr>
                <w:rFonts w:cs="Arial"/>
                <w:bCs/>
              </w:rPr>
            </w:pPr>
            <w:r>
              <w:rPr>
                <w:rFonts w:cs="Arial"/>
                <w:bCs/>
              </w:rPr>
              <w:t>Ensure households who are under occupying are identified at the earliest opportunity.</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Default="00D26AAC">
            <w:pPr>
              <w:jc w:val="center"/>
              <w:rPr>
                <w:rFonts w:cs="Arial"/>
                <w:bCs/>
                <w:sz w:val="20"/>
              </w:rPr>
            </w:pPr>
            <w:r>
              <w:rPr>
                <w:rFonts w:cs="Arial"/>
                <w:bCs/>
                <w:sz w:val="20"/>
              </w:rPr>
              <w:t>Housing Manager</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pPr>
              <w:jc w:val="center"/>
              <w:rPr>
                <w:rFonts w:cs="Arial"/>
                <w:bCs/>
              </w:rPr>
            </w:pPr>
            <w:r>
              <w:rPr>
                <w:rFonts w:cs="Arial"/>
                <w:bCs/>
              </w:rPr>
              <w:t>Ongoing</w:t>
            </w:r>
          </w:p>
          <w:p w:rsidR="00BC280A" w:rsidRDefault="00BC280A">
            <w:pPr>
              <w:jc w:val="center"/>
              <w:rPr>
                <w:rFonts w:cs="Arial"/>
                <w:bCs/>
              </w:rPr>
            </w:pPr>
          </w:p>
          <w:p w:rsidR="00BC280A" w:rsidRDefault="00BC280A">
            <w:pPr>
              <w:jc w:val="center"/>
              <w:rPr>
                <w:rFonts w:cs="Arial"/>
                <w:bCs/>
              </w:rPr>
            </w:pP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Pr="00346E19" w:rsidRDefault="00BC280A" w:rsidP="00332FE0">
            <w:pPr>
              <w:pStyle w:val="Heading2"/>
              <w:numPr>
                <w:ilvl w:val="0"/>
                <w:numId w:val="9"/>
              </w:numPr>
              <w:rPr>
                <w:b w:val="0"/>
                <w:sz w:val="24"/>
              </w:rPr>
            </w:pPr>
            <w:r w:rsidRPr="00346E19">
              <w:rPr>
                <w:b w:val="0"/>
                <w:iCs/>
                <w:sz w:val="24"/>
              </w:rPr>
              <w:t>The recommendation by the lead officer should</w:t>
            </w:r>
            <w:r w:rsidR="00137AE9" w:rsidRPr="00346E19">
              <w:rPr>
                <w:b w:val="0"/>
                <w:iCs/>
                <w:sz w:val="24"/>
              </w:rPr>
              <w:t xml:space="preserve"> be stated below. This </w:t>
            </w:r>
            <w:r w:rsidRPr="00346E19">
              <w:rPr>
                <w:b w:val="0"/>
                <w:iCs/>
                <w:sz w:val="24"/>
              </w:rPr>
              <w:t>may be:</w:t>
            </w:r>
          </w:p>
          <w:p w:rsidR="00BC280A" w:rsidRDefault="00BC280A" w:rsidP="00332FE0">
            <w:pPr>
              <w:pStyle w:val="Header"/>
              <w:numPr>
                <w:ilvl w:val="0"/>
                <w:numId w:val="5"/>
              </w:numPr>
              <w:tabs>
                <w:tab w:val="clear" w:pos="4153"/>
                <w:tab w:val="clear" w:pos="8306"/>
              </w:tabs>
              <w:rPr>
                <w:i/>
                <w:iCs/>
                <w:sz w:val="20"/>
              </w:rPr>
            </w:pPr>
            <w:r>
              <w:rPr>
                <w:i/>
                <w:iCs/>
                <w:sz w:val="20"/>
              </w:rPr>
              <w:t>to proceed with the change, implementing action plan if appropriate</w:t>
            </w:r>
          </w:p>
          <w:p w:rsidR="00BC280A" w:rsidRDefault="00BC280A" w:rsidP="00332FE0">
            <w:pPr>
              <w:pStyle w:val="Header"/>
              <w:numPr>
                <w:ilvl w:val="0"/>
                <w:numId w:val="5"/>
              </w:numPr>
              <w:tabs>
                <w:tab w:val="clear" w:pos="4153"/>
                <w:tab w:val="clear" w:pos="8306"/>
              </w:tabs>
              <w:rPr>
                <w:i/>
                <w:iCs/>
                <w:sz w:val="20"/>
              </w:rPr>
            </w:pPr>
            <w:r>
              <w:rPr>
                <w:i/>
                <w:iCs/>
                <w:sz w:val="20"/>
              </w:rPr>
              <w:t>consider alternatives</w:t>
            </w:r>
          </w:p>
          <w:p w:rsidR="00BC280A" w:rsidRDefault="00BC280A" w:rsidP="00332FE0">
            <w:pPr>
              <w:pStyle w:val="Header"/>
              <w:numPr>
                <w:ilvl w:val="0"/>
                <w:numId w:val="5"/>
              </w:numPr>
              <w:tabs>
                <w:tab w:val="clear" w:pos="4153"/>
                <w:tab w:val="clear" w:pos="8306"/>
              </w:tabs>
              <w:rPr>
                <w:i/>
                <w:iCs/>
                <w:sz w:val="20"/>
              </w:rPr>
            </w:pPr>
            <w:r>
              <w:rPr>
                <w:i/>
                <w:iCs/>
                <w:sz w:val="20"/>
              </w:rPr>
              <w:t>gather further evidence</w:t>
            </w:r>
          </w:p>
          <w:p w:rsidR="00BC280A" w:rsidRDefault="00BC280A">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BC280A">
        <w:tblPrEx>
          <w:tblCellMar>
            <w:top w:w="0" w:type="dxa"/>
            <w:bottom w:w="0" w:type="dxa"/>
          </w:tblCellMar>
        </w:tblPrEx>
        <w:trPr>
          <w:cantSplit/>
        </w:trPr>
        <w:tc>
          <w:tcPr>
            <w:tcW w:w="8531"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BC280A" w:rsidRDefault="000C7757">
            <w:r>
              <w:t>To continue to implement the Adaptations Policy</w:t>
            </w:r>
            <w:r w:rsidR="00D26AAC">
              <w:t xml:space="preserve"> </w:t>
            </w:r>
          </w:p>
        </w:tc>
      </w:tr>
      <w:tr w:rsidR="00BC280A">
        <w:tblPrEx>
          <w:tblCellMar>
            <w:top w:w="0" w:type="dxa"/>
            <w:bottom w:w="0" w:type="dxa"/>
          </w:tblCellMar>
        </w:tblPrEx>
        <w:tc>
          <w:tcPr>
            <w:tcW w:w="8531"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332FE0">
            <w:pPr>
              <w:pStyle w:val="Heading2"/>
              <w:numPr>
                <w:ilvl w:val="0"/>
                <w:numId w:val="9"/>
              </w:numPr>
              <w:rPr>
                <w:sz w:val="24"/>
              </w:rPr>
            </w:pPr>
            <w:r>
              <w:rPr>
                <w:sz w:val="24"/>
              </w:rPr>
              <w:t>A</w:t>
            </w:r>
            <w:r>
              <w:rPr>
                <w:b w:val="0"/>
                <w:bCs w:val="0"/>
                <w:sz w:val="24"/>
              </w:rPr>
              <w:t xml:space="preserve">uthorisation </w:t>
            </w:r>
          </w:p>
          <w:p w:rsidR="00BC280A" w:rsidRDefault="00BC280A">
            <w:pPr>
              <w:pStyle w:val="Header"/>
              <w:tabs>
                <w:tab w:val="clear" w:pos="4153"/>
                <w:tab w:val="clear" w:pos="8306"/>
              </w:tabs>
              <w:rPr>
                <w:i/>
                <w:iCs/>
                <w:sz w:val="20"/>
              </w:rPr>
            </w:pPr>
            <w:r>
              <w:rPr>
                <w:i/>
                <w:iCs/>
                <w:sz w:val="20"/>
              </w:rPr>
              <w:t>The authorising officer is consenting that:</w:t>
            </w:r>
          </w:p>
          <w:p w:rsidR="00BC280A" w:rsidRDefault="00BC280A" w:rsidP="00332FE0">
            <w:pPr>
              <w:pStyle w:val="Header"/>
              <w:numPr>
                <w:ilvl w:val="0"/>
                <w:numId w:val="7"/>
              </w:numPr>
              <w:tabs>
                <w:tab w:val="clear" w:pos="4153"/>
                <w:tab w:val="clear" w:pos="8306"/>
              </w:tabs>
              <w:rPr>
                <w:i/>
                <w:iCs/>
                <w:sz w:val="20"/>
              </w:rPr>
            </w:pPr>
            <w:r>
              <w:rPr>
                <w:i/>
                <w:iCs/>
                <w:sz w:val="20"/>
              </w:rPr>
              <w:t>the recommendation can be implemented</w:t>
            </w:r>
          </w:p>
          <w:p w:rsidR="00BC280A" w:rsidRDefault="00BC280A" w:rsidP="00332FE0">
            <w:pPr>
              <w:pStyle w:val="Header"/>
              <w:numPr>
                <w:ilvl w:val="0"/>
                <w:numId w:val="6"/>
              </w:numPr>
              <w:tabs>
                <w:tab w:val="clear" w:pos="4153"/>
                <w:tab w:val="clear" w:pos="8306"/>
              </w:tabs>
              <w:rPr>
                <w:i/>
                <w:iCs/>
                <w:sz w:val="20"/>
              </w:rPr>
            </w:pPr>
            <w:r>
              <w:rPr>
                <w:i/>
                <w:iCs/>
                <w:sz w:val="20"/>
              </w:rPr>
              <w:t>sufficient evidence has been obtained and appropriate mitigation is planned</w:t>
            </w:r>
          </w:p>
          <w:p w:rsidR="00BC280A" w:rsidRDefault="00BC280A" w:rsidP="00332FE0">
            <w:pPr>
              <w:numPr>
                <w:ilvl w:val="0"/>
                <w:numId w:val="6"/>
              </w:numPr>
              <w:rPr>
                <w:rFonts w:cs="Arial"/>
                <w:b/>
                <w:bCs/>
                <w:sz w:val="20"/>
                <w:szCs w:val="20"/>
              </w:rPr>
            </w:pPr>
            <w:r>
              <w:rPr>
                <w:i/>
                <w:iCs/>
                <w:sz w:val="20"/>
              </w:rPr>
              <w:t xml:space="preserve">the Action Plan will be incorporated into service plan and monitored </w:t>
            </w:r>
          </w:p>
        </w:tc>
      </w:tr>
      <w:tr w:rsidR="00BC280A">
        <w:tblPrEx>
          <w:tblCellMar>
            <w:top w:w="0" w:type="dxa"/>
            <w:bottom w:w="0" w:type="dxa"/>
          </w:tblCellMar>
        </w:tblPrEx>
        <w:tc>
          <w:tcPr>
            <w:tcW w:w="262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0C7757" w:rsidP="000C7757">
            <w:pPr>
              <w:rPr>
                <w:rFonts w:cs="Arial"/>
              </w:rPr>
            </w:pPr>
            <w:r>
              <w:rPr>
                <w:rFonts w:cs="Arial"/>
              </w:rPr>
              <w:t>Authorising Officer</w:t>
            </w: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0C7757">
            <w:pPr>
              <w:rPr>
                <w:rFonts w:cs="Arial"/>
                <w:b/>
                <w:bCs/>
              </w:rPr>
            </w:pPr>
            <w:r>
              <w:rPr>
                <w:rFonts w:cs="Arial"/>
                <w:b/>
                <w:bCs/>
              </w:rPr>
              <w:t>Mark Breathwick</w:t>
            </w:r>
          </w:p>
        </w:tc>
      </w:tr>
      <w:tr w:rsidR="00BC280A">
        <w:tblPrEx>
          <w:tblCellMar>
            <w:top w:w="0" w:type="dxa"/>
            <w:bottom w:w="0" w:type="dxa"/>
          </w:tblCellMar>
        </w:tblPrEx>
        <w:tc>
          <w:tcPr>
            <w:tcW w:w="2625"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rPr>
            </w:pPr>
            <w:r>
              <w:rPr>
                <w:rFonts w:cs="Arial"/>
              </w:rPr>
              <w:t xml:space="preserve">Date </w:t>
            </w: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0C7757">
            <w:pPr>
              <w:rPr>
                <w:rFonts w:cs="Arial"/>
                <w:b/>
                <w:bCs/>
              </w:rPr>
            </w:pPr>
            <w:r>
              <w:rPr>
                <w:rFonts w:cs="Arial"/>
                <w:b/>
                <w:bCs/>
              </w:rPr>
              <w:t>June 2020</w:t>
            </w:r>
          </w:p>
        </w:tc>
      </w:tr>
    </w:tbl>
    <w:p w:rsidR="00BC280A" w:rsidRPr="00D26AAC" w:rsidRDefault="00BC280A">
      <w:pPr>
        <w:rPr>
          <w:rFonts w:cs="Arial"/>
          <w:b/>
          <w:bCs/>
          <w:iCs/>
          <w:sz w:val="16"/>
          <w:szCs w:val="16"/>
        </w:rPr>
      </w:pPr>
    </w:p>
    <w:sectPr w:rsidR="00BC280A" w:rsidRPr="00D26AAC" w:rsidSect="00AA2F30">
      <w:headerReference w:type="default" r:id="rId8"/>
      <w:footerReference w:type="default" r:id="rId9"/>
      <w:type w:val="continuous"/>
      <w:pgSz w:w="11906" w:h="16838"/>
      <w:pgMar w:top="1985" w:right="1797" w:bottom="899" w:left="179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71" w:rsidRDefault="002E4971">
      <w:r>
        <w:separator/>
      </w:r>
    </w:p>
  </w:endnote>
  <w:endnote w:type="continuationSeparator" w:id="0">
    <w:p w:rsidR="002E4971" w:rsidRDefault="002E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32FE0">
      <w:rPr>
        <w:rStyle w:val="PageNumber"/>
        <w:noProof/>
      </w:rPr>
      <w:t>1</w:t>
    </w:r>
    <w:r>
      <w:rPr>
        <w:rStyle w:val="PageNumber"/>
      </w:rPr>
      <w:fldChar w:fldCharType="end"/>
    </w:r>
  </w:p>
  <w:p w:rsidR="00BC280A" w:rsidRDefault="00BC28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71" w:rsidRDefault="002E4971">
      <w:r>
        <w:separator/>
      </w:r>
    </w:p>
  </w:footnote>
  <w:footnote w:type="continuationSeparator" w:id="0">
    <w:p w:rsidR="002E4971" w:rsidRDefault="002E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218515" r:id="rId2"/>
      </w:object>
    </w:r>
    <w:r>
      <w:rPr>
        <w:b/>
        <w:bCs/>
        <w:sz w:val="44"/>
      </w:rPr>
      <w:t>Diversity</w:t>
    </w:r>
  </w:p>
  <w:p w:rsidR="00BC280A" w:rsidRDefault="00BC280A">
    <w:pPr>
      <w:pStyle w:val="Header"/>
      <w:jc w:val="center"/>
      <w:rPr>
        <w:b/>
        <w:bCs/>
        <w:sz w:val="36"/>
      </w:rPr>
    </w:pPr>
    <w:r>
      <w:rPr>
        <w:b/>
        <w:bCs/>
        <w:sz w:val="44"/>
      </w:rPr>
      <w:t xml:space="preserve"> impact assessment </w:t>
    </w:r>
  </w:p>
  <w:p w:rsidR="00BC280A" w:rsidRDefault="00BC280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A0273"/>
    <w:multiLevelType w:val="hybridMultilevel"/>
    <w:tmpl w:val="CBA07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8CF2B8B"/>
    <w:multiLevelType w:val="hybridMultilevel"/>
    <w:tmpl w:val="7104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8"/>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noPunctuationKerning/>
  <w:characterSpacingControl w:val="doNotCompress"/>
  <w:hdrShapeDefaults>
    <o:shapedefaults v:ext="edit" spidmax="3074">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A"/>
    <w:rsid w:val="000045BB"/>
    <w:rsid w:val="00041BC0"/>
    <w:rsid w:val="00051AAE"/>
    <w:rsid w:val="00082EFF"/>
    <w:rsid w:val="000C7757"/>
    <w:rsid w:val="001042C1"/>
    <w:rsid w:val="00114592"/>
    <w:rsid w:val="00137AE9"/>
    <w:rsid w:val="0027614E"/>
    <w:rsid w:val="00277ED9"/>
    <w:rsid w:val="002E4971"/>
    <w:rsid w:val="00332FE0"/>
    <w:rsid w:val="00334CFD"/>
    <w:rsid w:val="00346E19"/>
    <w:rsid w:val="003562C0"/>
    <w:rsid w:val="00430EBC"/>
    <w:rsid w:val="00485529"/>
    <w:rsid w:val="005075D5"/>
    <w:rsid w:val="0052523F"/>
    <w:rsid w:val="0052605A"/>
    <w:rsid w:val="0057247E"/>
    <w:rsid w:val="00575EC0"/>
    <w:rsid w:val="00762434"/>
    <w:rsid w:val="00793416"/>
    <w:rsid w:val="00864856"/>
    <w:rsid w:val="008761C7"/>
    <w:rsid w:val="008B4A0A"/>
    <w:rsid w:val="009040B7"/>
    <w:rsid w:val="00917659"/>
    <w:rsid w:val="009543CB"/>
    <w:rsid w:val="00963C4F"/>
    <w:rsid w:val="00A43A3F"/>
    <w:rsid w:val="00AA2F30"/>
    <w:rsid w:val="00AD4F97"/>
    <w:rsid w:val="00B56973"/>
    <w:rsid w:val="00BC280A"/>
    <w:rsid w:val="00BE26E7"/>
    <w:rsid w:val="00C92517"/>
    <w:rsid w:val="00CF0177"/>
    <w:rsid w:val="00D20608"/>
    <w:rsid w:val="00D26AAC"/>
    <w:rsid w:val="00D71C3A"/>
    <w:rsid w:val="00DD682D"/>
    <w:rsid w:val="00E5774D"/>
    <w:rsid w:val="00F14E9E"/>
    <w:rsid w:val="00F610F9"/>
    <w:rsid w:val="00F92ADC"/>
    <w:rsid w:val="00FD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9cef3"/>
    </o:shapedefaults>
    <o:shapelayout v:ext="edit">
      <o:idmap v:ext="edit" data="1"/>
    </o:shapelayout>
  </w:shapeDefaults>
  <w:decimalSymbol w:val="."/>
  <w:listSeparator w:val=","/>
  <w14:docId w14:val="26967DA1"/>
  <w15:chartTrackingRefBased/>
  <w15:docId w15:val="{011BEC92-EA9F-4953-B13D-EA1275F0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90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040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7E71-913D-49D9-97A3-0588AB78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6085</CharactersWithSpaces>
  <SharedDoc>false</SharedDoc>
  <HLinks>
    <vt:vector size="30" baseType="variant">
      <vt:variant>
        <vt:i4>4980795</vt:i4>
      </vt:variant>
      <vt:variant>
        <vt:i4>18</vt:i4>
      </vt:variant>
      <vt:variant>
        <vt:i4>0</vt:i4>
      </vt:variant>
      <vt:variant>
        <vt:i4>5</vt:i4>
      </vt:variant>
      <vt:variant>
        <vt:lpwstr>mailto:corppi@medway.gov.uk</vt:lpwstr>
      </vt:variant>
      <vt:variant>
        <vt:lpwstr/>
      </vt:variant>
      <vt:variant>
        <vt:i4>6815825</vt:i4>
      </vt:variant>
      <vt:variant>
        <vt:i4>15</vt:i4>
      </vt:variant>
      <vt:variant>
        <vt:i4>0</vt:i4>
      </vt:variant>
      <vt:variant>
        <vt:i4>5</vt:i4>
      </vt:variant>
      <vt:variant>
        <vt:lpwstr>mailto:david.whiting@medway.gov.uk</vt:lpwstr>
      </vt:variant>
      <vt:variant>
        <vt:lpwstr/>
      </vt:variant>
      <vt:variant>
        <vt:i4>4980795</vt:i4>
      </vt:variant>
      <vt:variant>
        <vt:i4>12</vt:i4>
      </vt:variant>
      <vt:variant>
        <vt:i4>0</vt:i4>
      </vt:variant>
      <vt:variant>
        <vt:i4>5</vt:i4>
      </vt:variant>
      <vt:variant>
        <vt:lpwstr>mailto:corppi@medway.gov.uk</vt:lpwstr>
      </vt:variant>
      <vt:variant>
        <vt:lpwstr/>
      </vt:variant>
      <vt:variant>
        <vt:i4>2555906</vt:i4>
      </vt:variant>
      <vt:variant>
        <vt:i4>9</vt:i4>
      </vt:variant>
      <vt:variant>
        <vt:i4>0</vt:i4>
      </vt:variant>
      <vt:variant>
        <vt:i4>5</vt:i4>
      </vt:variant>
      <vt:variant>
        <vt:lpwstr>mailto:paddy.cahill@medway.gov.uk</vt:lpwstr>
      </vt:variant>
      <vt:variant>
        <vt:lpwstr/>
      </vt:variant>
      <vt:variant>
        <vt:i4>4522108</vt:i4>
      </vt:variant>
      <vt:variant>
        <vt:i4>6</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sims, aisling</cp:lastModifiedBy>
  <cp:revision>2</cp:revision>
  <cp:lastPrinted>2014-04-04T10:41:00Z</cp:lastPrinted>
  <dcterms:created xsi:type="dcterms:W3CDTF">2020-07-14T06:55:00Z</dcterms:created>
  <dcterms:modified xsi:type="dcterms:W3CDTF">2020-07-14T06:55:00Z</dcterms:modified>
</cp:coreProperties>
</file>