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724B4" w14:textId="53DAC6BA" w:rsidR="006C36B5" w:rsidRPr="006C36B5" w:rsidRDefault="006C36B5" w:rsidP="0052148C">
      <w:pPr>
        <w:pStyle w:val="Title"/>
        <w:rPr>
          <w:rFonts w:eastAsia="Times New Roman"/>
          <w:lang w:eastAsia="en-GB"/>
        </w:rPr>
      </w:pPr>
      <w:r w:rsidRPr="006C36B5">
        <w:rPr>
          <w:rFonts w:eastAsia="Times New Roman"/>
          <w:lang w:eastAsia="en-GB"/>
        </w:rPr>
        <w:t xml:space="preserve">Transparency Code Information - Fraud </w:t>
      </w:r>
      <w:r>
        <w:rPr>
          <w:rFonts w:eastAsia="Times New Roman"/>
          <w:lang w:eastAsia="en-GB"/>
        </w:rPr>
        <w:t>20</w:t>
      </w:r>
      <w:r w:rsidRPr="006C36B5">
        <w:rPr>
          <w:rFonts w:eastAsia="Times New Roman"/>
          <w:lang w:eastAsia="en-GB"/>
        </w:rPr>
        <w:t>1</w:t>
      </w:r>
      <w:r w:rsidR="00607E2F">
        <w:rPr>
          <w:rFonts w:eastAsia="Times New Roman"/>
          <w:lang w:eastAsia="en-GB"/>
        </w:rPr>
        <w:t>8</w:t>
      </w:r>
      <w:r>
        <w:rPr>
          <w:rFonts w:eastAsia="Times New Roman"/>
          <w:lang w:eastAsia="en-GB"/>
        </w:rPr>
        <w:t xml:space="preserve"> to 20</w:t>
      </w:r>
      <w:r w:rsidR="00607E2F">
        <w:rPr>
          <w:rFonts w:eastAsia="Times New Roman"/>
          <w:lang w:eastAsia="en-GB"/>
        </w:rPr>
        <w:t>19</w:t>
      </w:r>
    </w:p>
    <w:p w14:paraId="3E6B5D77" w14:textId="313EB408" w:rsidR="006A2A01" w:rsidRDefault="006C36B5">
      <w:r w:rsidRPr="006C36B5">
        <w:t>Transparency Code 2015</w:t>
      </w:r>
    </w:p>
    <w:p w14:paraId="4D8D51A6" w14:textId="0FEA1297" w:rsidR="006C36B5" w:rsidRDefault="006C36B5" w:rsidP="006C36B5">
      <w:pPr>
        <w:pStyle w:val="Heading2"/>
      </w:pPr>
      <w:r>
        <w:t>Mandatory</w:t>
      </w:r>
    </w:p>
    <w:tbl>
      <w:tblPr>
        <w:tblStyle w:val="TableGrid"/>
        <w:tblW w:w="0" w:type="auto"/>
        <w:tblLook w:val="06A0" w:firstRow="1" w:lastRow="0" w:firstColumn="1" w:lastColumn="0" w:noHBand="1" w:noVBand="1"/>
        <w:tblCaption w:val="Mandatory"/>
      </w:tblPr>
      <w:tblGrid>
        <w:gridCol w:w="4508"/>
        <w:gridCol w:w="4508"/>
      </w:tblGrid>
      <w:tr w:rsidR="006C36B5" w14:paraId="5A690787" w14:textId="77777777" w:rsidTr="006C36B5">
        <w:tc>
          <w:tcPr>
            <w:tcW w:w="4508" w:type="dxa"/>
          </w:tcPr>
          <w:p w14:paraId="5DFCD11C" w14:textId="1DE39D40" w:rsidR="006C36B5" w:rsidRPr="006C36B5" w:rsidRDefault="006C36B5" w:rsidP="006C36B5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C36B5">
              <w:rPr>
                <w:rFonts w:ascii="Calibri" w:hAnsi="Calibri" w:cs="Calibri"/>
                <w:b/>
                <w:bCs/>
                <w:color w:val="000000"/>
                <w:sz w:val="22"/>
              </w:rPr>
              <w:t>Information to be published</w:t>
            </w:r>
          </w:p>
        </w:tc>
        <w:tc>
          <w:tcPr>
            <w:tcW w:w="4508" w:type="dxa"/>
          </w:tcPr>
          <w:p w14:paraId="46EF0393" w14:textId="2C07C0D9" w:rsidR="006C36B5" w:rsidRPr="006C36B5" w:rsidRDefault="006C36B5" w:rsidP="006C36B5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C36B5">
              <w:rPr>
                <w:rFonts w:ascii="Calibri" w:hAnsi="Calibri" w:cs="Calibri"/>
                <w:b/>
                <w:bCs/>
                <w:color w:val="000000"/>
                <w:sz w:val="22"/>
              </w:rPr>
              <w:t>Results</w:t>
            </w:r>
          </w:p>
        </w:tc>
      </w:tr>
      <w:tr w:rsidR="006C36B5" w14:paraId="75874D31" w14:textId="77777777" w:rsidTr="006C36B5">
        <w:tc>
          <w:tcPr>
            <w:tcW w:w="4508" w:type="dxa"/>
          </w:tcPr>
          <w:p w14:paraId="5BFF6ED3" w14:textId="281E56BF" w:rsidR="006C36B5" w:rsidRDefault="006C36B5" w:rsidP="006C36B5">
            <w:r>
              <w:rPr>
                <w:rFonts w:ascii="Calibri" w:hAnsi="Calibri" w:cs="Calibri"/>
                <w:color w:val="000000"/>
                <w:sz w:val="22"/>
              </w:rPr>
              <w:t xml:space="preserve">Number of occasions they use powers under the Prevention of Social Housing Fraud (Power to Require Information) (England) Regulations 2014, or similar powers </w:t>
            </w:r>
          </w:p>
        </w:tc>
        <w:tc>
          <w:tcPr>
            <w:tcW w:w="4508" w:type="dxa"/>
          </w:tcPr>
          <w:p w14:paraId="714B6C51" w14:textId="2EF2A2EC" w:rsidR="006C36B5" w:rsidRDefault="006C36B5" w:rsidP="006C36B5"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</w:tr>
      <w:tr w:rsidR="006C36B5" w14:paraId="052F19A1" w14:textId="77777777" w:rsidTr="006C36B5">
        <w:tc>
          <w:tcPr>
            <w:tcW w:w="4508" w:type="dxa"/>
          </w:tcPr>
          <w:p w14:paraId="62A9550C" w14:textId="2D6100CA" w:rsidR="006C36B5" w:rsidRDefault="006C36B5" w:rsidP="006C36B5">
            <w:r>
              <w:rPr>
                <w:rFonts w:ascii="Calibri" w:hAnsi="Calibri" w:cs="Calibri"/>
                <w:color w:val="000000"/>
                <w:sz w:val="22"/>
              </w:rPr>
              <w:t>Total number (absolute and full time equivalent) of employees undertaking investigations and prosecutions of fraud</w:t>
            </w:r>
          </w:p>
        </w:tc>
        <w:tc>
          <w:tcPr>
            <w:tcW w:w="4508" w:type="dxa"/>
          </w:tcPr>
          <w:p w14:paraId="15309E21" w14:textId="77B9594D" w:rsidR="006C36B5" w:rsidRDefault="00DB7533" w:rsidP="006C36B5">
            <w:r w:rsidRPr="00DB7533">
              <w:rPr>
                <w:rFonts w:ascii="Calibri" w:hAnsi="Calibri" w:cs="Calibri"/>
                <w:color w:val="000000"/>
                <w:sz w:val="22"/>
              </w:rPr>
              <w:t>14 employees across shared service (13.5 FTE). Split of resources = 3 FTE for counter fraud activity at Medway Council</w:t>
            </w:r>
            <w:r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</w:tr>
      <w:tr w:rsidR="006C36B5" w14:paraId="2779A366" w14:textId="77777777" w:rsidTr="006C36B5">
        <w:tc>
          <w:tcPr>
            <w:tcW w:w="4508" w:type="dxa"/>
          </w:tcPr>
          <w:p w14:paraId="7AF6ED75" w14:textId="1F1538C9" w:rsidR="006C36B5" w:rsidRDefault="006C36B5" w:rsidP="006C36B5">
            <w:r>
              <w:rPr>
                <w:rFonts w:ascii="Calibri" w:hAnsi="Calibri" w:cs="Calibri"/>
                <w:color w:val="000000"/>
                <w:sz w:val="22"/>
              </w:rPr>
              <w:t xml:space="preserve">Total number (absolute and full time equivalent) of professionally accredited counter fraud specialists </w:t>
            </w:r>
          </w:p>
        </w:tc>
        <w:tc>
          <w:tcPr>
            <w:tcW w:w="4508" w:type="dxa"/>
          </w:tcPr>
          <w:p w14:paraId="6E0095A4" w14:textId="72DD6748" w:rsidR="006C36B5" w:rsidRDefault="00DB7533" w:rsidP="006C36B5">
            <w:r w:rsidRPr="00DB7533">
              <w:rPr>
                <w:rFonts w:ascii="Calibri" w:hAnsi="Calibri" w:cs="Calibri"/>
                <w:color w:val="000000"/>
                <w:sz w:val="22"/>
              </w:rPr>
              <w:t>14 (13.5 FTE) employees across shared service. 8 (7.44 FTE) professionally accredited counter fraud specialists</w:t>
            </w:r>
            <w:r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</w:tr>
      <w:tr w:rsidR="006C36B5" w14:paraId="02BFBE5C" w14:textId="77777777" w:rsidTr="006C36B5">
        <w:tc>
          <w:tcPr>
            <w:tcW w:w="4508" w:type="dxa"/>
          </w:tcPr>
          <w:p w14:paraId="007E4C69" w14:textId="31CC39ED" w:rsidR="006C36B5" w:rsidRDefault="006C36B5" w:rsidP="006C36B5">
            <w:r>
              <w:rPr>
                <w:rFonts w:ascii="Calibri" w:hAnsi="Calibri" w:cs="Calibri"/>
                <w:color w:val="000000"/>
                <w:sz w:val="22"/>
              </w:rPr>
              <w:t xml:space="preserve">Total amount spent by the authority on the investigation and prosecution of fraud </w:t>
            </w:r>
          </w:p>
        </w:tc>
        <w:tc>
          <w:tcPr>
            <w:tcW w:w="4508" w:type="dxa"/>
          </w:tcPr>
          <w:p w14:paraId="08460F25" w14:textId="288BC0D4" w:rsidR="006C36B5" w:rsidRDefault="006C36B5" w:rsidP="006C36B5">
            <w:r>
              <w:rPr>
                <w:rFonts w:ascii="Calibri" w:hAnsi="Calibri" w:cs="Calibri"/>
                <w:color w:val="000000"/>
                <w:sz w:val="22"/>
              </w:rPr>
              <w:t>£1</w:t>
            </w:r>
            <w:r w:rsidR="00DB7533">
              <w:rPr>
                <w:rFonts w:ascii="Calibri" w:hAnsi="Calibri" w:cs="Calibri"/>
                <w:color w:val="000000"/>
                <w:sz w:val="22"/>
              </w:rPr>
              <w:t>20,240</w:t>
            </w:r>
          </w:p>
        </w:tc>
      </w:tr>
      <w:tr w:rsidR="006C36B5" w14:paraId="1250E412" w14:textId="77777777" w:rsidTr="006C36B5">
        <w:tc>
          <w:tcPr>
            <w:tcW w:w="4508" w:type="dxa"/>
          </w:tcPr>
          <w:p w14:paraId="10F68C14" w14:textId="0F185D35" w:rsidR="006C36B5" w:rsidRDefault="006C36B5" w:rsidP="006C36B5">
            <w:r>
              <w:rPr>
                <w:rFonts w:ascii="Calibri" w:hAnsi="Calibri" w:cs="Calibri"/>
                <w:color w:val="000000"/>
                <w:sz w:val="22"/>
              </w:rPr>
              <w:t xml:space="preserve">Total number of fraud cases investigated </w:t>
            </w:r>
          </w:p>
        </w:tc>
        <w:tc>
          <w:tcPr>
            <w:tcW w:w="4508" w:type="dxa"/>
          </w:tcPr>
          <w:p w14:paraId="5D68A363" w14:textId="1EC49C09" w:rsidR="006C36B5" w:rsidRDefault="00DB7533" w:rsidP="006C36B5">
            <w:r>
              <w:rPr>
                <w:rFonts w:ascii="Calibri" w:hAnsi="Calibri" w:cs="Calibri"/>
                <w:color w:val="000000"/>
                <w:sz w:val="22"/>
              </w:rPr>
              <w:t>141</w:t>
            </w:r>
          </w:p>
        </w:tc>
      </w:tr>
    </w:tbl>
    <w:p w14:paraId="6FD66B94" w14:textId="6B351F31" w:rsidR="006C36B5" w:rsidRDefault="006C36B5"/>
    <w:p w14:paraId="6FFA8D4A" w14:textId="5E591725" w:rsidR="006C36B5" w:rsidRDefault="006C36B5" w:rsidP="006C36B5">
      <w:pPr>
        <w:pStyle w:val="Heading2"/>
      </w:pPr>
      <w:r w:rsidRPr="006C36B5">
        <w:t>Recommended</w:t>
      </w:r>
    </w:p>
    <w:tbl>
      <w:tblPr>
        <w:tblStyle w:val="TableGrid"/>
        <w:tblW w:w="9067" w:type="dxa"/>
        <w:tblLook w:val="06A0" w:firstRow="1" w:lastRow="0" w:firstColumn="1" w:lastColumn="0" w:noHBand="1" w:noVBand="1"/>
        <w:tblCaption w:val="Recommended"/>
      </w:tblPr>
      <w:tblGrid>
        <w:gridCol w:w="4531"/>
        <w:gridCol w:w="4536"/>
      </w:tblGrid>
      <w:tr w:rsidR="006C36B5" w:rsidRPr="006C36B5" w14:paraId="52BB5EC3" w14:textId="77777777" w:rsidTr="006C36B5">
        <w:trPr>
          <w:trHeight w:val="435"/>
        </w:trPr>
        <w:tc>
          <w:tcPr>
            <w:tcW w:w="4531" w:type="dxa"/>
          </w:tcPr>
          <w:p w14:paraId="0195C06D" w14:textId="742AFDD1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hAnsi="Calibri" w:cs="Calibri"/>
                <w:b/>
                <w:bCs/>
                <w:color w:val="000000"/>
                <w:sz w:val="22"/>
              </w:rPr>
              <w:t>Information to be published</w:t>
            </w:r>
          </w:p>
        </w:tc>
        <w:tc>
          <w:tcPr>
            <w:tcW w:w="4536" w:type="dxa"/>
            <w:noWrap/>
          </w:tcPr>
          <w:p w14:paraId="6903D2D0" w14:textId="30583403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hAnsi="Calibri" w:cs="Calibri"/>
                <w:b/>
                <w:bCs/>
                <w:color w:val="000000"/>
                <w:sz w:val="22"/>
              </w:rPr>
              <w:t>Results</w:t>
            </w:r>
          </w:p>
        </w:tc>
      </w:tr>
      <w:tr w:rsidR="006C36B5" w:rsidRPr="006C36B5" w14:paraId="5134F9FE" w14:textId="77777777" w:rsidTr="006C36B5">
        <w:trPr>
          <w:trHeight w:val="435"/>
        </w:trPr>
        <w:tc>
          <w:tcPr>
            <w:tcW w:w="4531" w:type="dxa"/>
            <w:hideMark/>
          </w:tcPr>
          <w:p w14:paraId="55366DE1" w14:textId="77777777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Total number of irregularity cases investigated </w:t>
            </w:r>
          </w:p>
        </w:tc>
        <w:tc>
          <w:tcPr>
            <w:tcW w:w="4536" w:type="dxa"/>
            <w:noWrap/>
            <w:hideMark/>
          </w:tcPr>
          <w:p w14:paraId="2422416F" w14:textId="77777777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Included within total number of fraud cases</w:t>
            </w:r>
          </w:p>
        </w:tc>
      </w:tr>
      <w:tr w:rsidR="006C36B5" w:rsidRPr="006C36B5" w14:paraId="417B3525" w14:textId="77777777" w:rsidTr="006C36B5">
        <w:trPr>
          <w:trHeight w:val="300"/>
        </w:trPr>
        <w:tc>
          <w:tcPr>
            <w:tcW w:w="4531" w:type="dxa"/>
            <w:hideMark/>
          </w:tcPr>
          <w:p w14:paraId="786767BA" w14:textId="77777777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Total Monetary value of fraud detected</w:t>
            </w:r>
          </w:p>
        </w:tc>
        <w:tc>
          <w:tcPr>
            <w:tcW w:w="4536" w:type="dxa"/>
            <w:noWrap/>
            <w:hideMark/>
          </w:tcPr>
          <w:p w14:paraId="32033E56" w14:textId="4F5F08D5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  <w:r w:rsidR="00DB7533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128,209</w:t>
            </w:r>
          </w:p>
        </w:tc>
      </w:tr>
      <w:tr w:rsidR="006C36B5" w:rsidRPr="006C36B5" w14:paraId="4ADAAD4C" w14:textId="77777777" w:rsidTr="006C36B5">
        <w:trPr>
          <w:trHeight w:val="300"/>
        </w:trPr>
        <w:tc>
          <w:tcPr>
            <w:tcW w:w="4531" w:type="dxa"/>
            <w:hideMark/>
          </w:tcPr>
          <w:p w14:paraId="2EB2A65B" w14:textId="77777777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Total Monetary value of irregularity detected</w:t>
            </w:r>
          </w:p>
        </w:tc>
        <w:tc>
          <w:tcPr>
            <w:tcW w:w="4536" w:type="dxa"/>
            <w:noWrap/>
            <w:hideMark/>
          </w:tcPr>
          <w:p w14:paraId="16A4C9B4" w14:textId="77777777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Included within total value of fraud detected</w:t>
            </w:r>
          </w:p>
        </w:tc>
      </w:tr>
    </w:tbl>
    <w:p w14:paraId="74820C8F" w14:textId="77777777" w:rsidR="006C36B5" w:rsidRDefault="006C36B5"/>
    <w:sectPr w:rsidR="006C3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B5"/>
    <w:rsid w:val="00096543"/>
    <w:rsid w:val="00136902"/>
    <w:rsid w:val="001A0B3B"/>
    <w:rsid w:val="003F487D"/>
    <w:rsid w:val="0052148C"/>
    <w:rsid w:val="00607E2F"/>
    <w:rsid w:val="00665E84"/>
    <w:rsid w:val="006A2A01"/>
    <w:rsid w:val="006C36B5"/>
    <w:rsid w:val="007649DD"/>
    <w:rsid w:val="0078785E"/>
    <w:rsid w:val="00787F10"/>
    <w:rsid w:val="0085290E"/>
    <w:rsid w:val="008A1752"/>
    <w:rsid w:val="00A53F96"/>
    <w:rsid w:val="00A9681C"/>
    <w:rsid w:val="00DB7533"/>
    <w:rsid w:val="00F4477B"/>
    <w:rsid w:val="00F7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40BA9"/>
  <w15:chartTrackingRefBased/>
  <w15:docId w15:val="{D576DEC8-D0E0-4F89-998B-49AE329A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F96"/>
    <w:pPr>
      <w:spacing w:after="200"/>
    </w:pPr>
    <w:rPr>
      <w:rFonts w:ascii="Arial" w:hAnsi="Arial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17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F96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965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3F96"/>
    <w:rPr>
      <w:rFonts w:asciiTheme="majorHAnsi" w:eastAsiaTheme="majorEastAsia" w:hAnsiTheme="majorHAnsi" w:cstheme="majorBidi"/>
      <w:b/>
      <w:color w:val="1F3864" w:themeColor="accent1" w:themeShade="80"/>
      <w:sz w:val="3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A17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96543"/>
    <w:rPr>
      <w:rFonts w:asciiTheme="majorHAnsi" w:eastAsiaTheme="majorEastAsia" w:hAnsiTheme="majorHAnsi" w:cstheme="majorBidi"/>
      <w:color w:val="1F3763" w:themeColor="accent1" w:themeShade="7F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87F10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erfirst">
    <w:name w:val="header first"/>
    <w:basedOn w:val="Normal"/>
    <w:autoRedefine/>
    <w:qFormat/>
    <w:rsid w:val="00096543"/>
    <w:pPr>
      <w:spacing w:before="60" w:after="240" w:line="280" w:lineRule="exact"/>
      <w:ind w:left="142" w:right="142"/>
      <w:jc w:val="right"/>
    </w:pPr>
    <w:rPr>
      <w:rFonts w:eastAsia="Times New Roman" w:cs="Times New Roman"/>
      <w:b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6C3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daviswilliams, sue</dc:creator>
  <cp:keywords/>
  <dc:description/>
  <cp:lastModifiedBy>daviswilliams, sue</cp:lastModifiedBy>
  <cp:revision>2</cp:revision>
  <dcterms:created xsi:type="dcterms:W3CDTF">2020-10-08T15:41:00Z</dcterms:created>
  <dcterms:modified xsi:type="dcterms:W3CDTF">2020-10-08T15:41:00Z</dcterms:modified>
</cp:coreProperties>
</file>