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46" w:rsidRDefault="004B0811">
      <w:pPr>
        <w:spacing w:after="273" w:line="259" w:lineRule="auto"/>
        <w:ind w:left="0" w:firstLine="0"/>
      </w:pPr>
      <w:r>
        <w:rPr>
          <w:rFonts w:ascii="Times New Roman" w:eastAsia="Times New Roman" w:hAnsi="Times New Roman" w:cs="Times New Roman"/>
        </w:rPr>
        <w:t xml:space="preserve"> </w:t>
      </w:r>
    </w:p>
    <w:p w:rsidR="00A90846" w:rsidRDefault="004B0811">
      <w:pPr>
        <w:pStyle w:val="Heading1"/>
        <w:ind w:right="89"/>
      </w:pPr>
      <w:r>
        <w:t xml:space="preserve">Regeneration, Culture and Environment Overview and Scrutiny Committee </w:t>
      </w:r>
    </w:p>
    <w:p w:rsidR="00A90846" w:rsidRDefault="004B0811">
      <w:pPr>
        <w:pStyle w:val="Heading2"/>
      </w:pPr>
      <w:r>
        <w:t xml:space="preserve">BRIEFING NOTE </w:t>
      </w:r>
      <w:r>
        <w:t>–</w:t>
      </w:r>
      <w:r>
        <w:t xml:space="preserve"> No.08/20 </w:t>
      </w:r>
    </w:p>
    <w:p w:rsidR="00A90846" w:rsidRDefault="004B0811">
      <w:pPr>
        <w:spacing w:after="0" w:line="259" w:lineRule="auto"/>
        <w:ind w:left="0" w:firstLine="0"/>
        <w:jc w:val="right"/>
      </w:pPr>
      <w:r>
        <w:rPr>
          <w:color w:val="000080"/>
          <w:sz w:val="36"/>
        </w:rPr>
        <w:t xml:space="preserve"> </w:t>
      </w:r>
    </w:p>
    <w:p w:rsidR="00A90846" w:rsidRDefault="004B0811">
      <w:pPr>
        <w:tabs>
          <w:tab w:val="center" w:pos="2881"/>
        </w:tabs>
        <w:ind w:left="-15" w:firstLine="0"/>
      </w:pPr>
      <w:r>
        <w:t xml:space="preserve">Date: 27 August 2020 </w:t>
      </w:r>
      <w:r>
        <w:tab/>
        <w:t xml:space="preserve"> </w:t>
      </w:r>
    </w:p>
    <w:p w:rsidR="00A90846" w:rsidRDefault="004B0811">
      <w:pPr>
        <w:spacing w:after="0" w:line="259" w:lineRule="auto"/>
        <w:ind w:left="0" w:firstLine="0"/>
      </w:pPr>
      <w:r>
        <w:t xml:space="preserve"> </w:t>
      </w:r>
    </w:p>
    <w:p w:rsidR="00A90846" w:rsidRDefault="004B0811">
      <w:pPr>
        <w:ind w:left="2146" w:right="79" w:hanging="2161"/>
      </w:pPr>
      <w:r>
        <w:t xml:space="preserve">Briefing paper to: </w:t>
      </w:r>
      <w:r>
        <w:tab/>
        <w:t xml:space="preserve">All Members of the Regeneration, Culture and Environment Overview &amp; Scrutiny Committee </w:t>
      </w:r>
    </w:p>
    <w:p w:rsidR="00A90846" w:rsidRDefault="004B0811">
      <w:pPr>
        <w:spacing w:after="0" w:line="259" w:lineRule="auto"/>
        <w:ind w:left="0" w:firstLine="0"/>
      </w:pPr>
      <w:r>
        <w:t xml:space="preserve"> </w:t>
      </w:r>
    </w:p>
    <w:p w:rsidR="00A90846" w:rsidRDefault="004B0811">
      <w:pPr>
        <w:ind w:left="2146" w:right="79" w:hanging="2161"/>
      </w:pPr>
      <w:r>
        <w:t xml:space="preserve">Purpose: </w:t>
      </w:r>
      <w:r>
        <w:tab/>
        <w:t xml:space="preserve">To </w:t>
      </w:r>
      <w:r>
        <w:t xml:space="preserve">appraise Members of the take up of the </w:t>
      </w:r>
      <w:r>
        <w:t>‘</w:t>
      </w:r>
      <w:r>
        <w:t>Tell Us Once</w:t>
      </w:r>
      <w:r>
        <w:t>’</w:t>
      </w:r>
      <w:r>
        <w:t xml:space="preserve"> Service  </w:t>
      </w:r>
      <w:r>
        <w:tab/>
        <w:t xml:space="preserve"> </w:t>
      </w:r>
    </w:p>
    <w:p w:rsidR="00A90846" w:rsidRDefault="004B0811">
      <w:pPr>
        <w:spacing w:after="0" w:line="259" w:lineRule="auto"/>
        <w:ind w:left="0" w:firstLine="0"/>
      </w:pPr>
      <w:r>
        <w:t xml:space="preserve"> </w:t>
      </w:r>
    </w:p>
    <w:p w:rsidR="00A90846" w:rsidRDefault="004B0811">
      <w:pPr>
        <w:ind w:left="-5" w:right="79"/>
      </w:pPr>
      <w:r>
        <w:t xml:space="preserve">________________________________________________________________  </w:t>
      </w:r>
    </w:p>
    <w:p w:rsidR="00A90846" w:rsidRDefault="004B0811">
      <w:pPr>
        <w:spacing w:after="0" w:line="259" w:lineRule="auto"/>
        <w:ind w:left="0" w:firstLine="0"/>
      </w:pPr>
      <w:r>
        <w:t xml:space="preserve"> </w:t>
      </w:r>
    </w:p>
    <w:p w:rsidR="00A90846" w:rsidRDefault="004B0811">
      <w:pPr>
        <w:ind w:left="-5" w:right="79"/>
      </w:pPr>
      <w:r>
        <w:t>The Regeneration, Culture and Environment Overview and Scrutiny Committee at its meeting on 13 August 2020 requested in</w:t>
      </w:r>
      <w:r>
        <w:t xml:space="preserve">formation as to the take up of the </w:t>
      </w:r>
      <w:r>
        <w:t>‘</w:t>
      </w:r>
      <w:r>
        <w:t>Tell Us Once</w:t>
      </w:r>
      <w:r>
        <w:t>’</w:t>
      </w:r>
      <w:r>
        <w:t xml:space="preserve"> Service. </w:t>
      </w:r>
    </w:p>
    <w:p w:rsidR="00A90846" w:rsidRDefault="004B0811">
      <w:pPr>
        <w:spacing w:after="0" w:line="259" w:lineRule="auto"/>
        <w:ind w:left="0" w:firstLine="0"/>
      </w:pPr>
      <w:r>
        <w:t xml:space="preserve"> </w:t>
      </w:r>
    </w:p>
    <w:p w:rsidR="00A90846" w:rsidRDefault="004B0811">
      <w:pPr>
        <w:pStyle w:val="Heading2"/>
        <w:spacing w:after="0"/>
        <w:ind w:right="0"/>
        <w:jc w:val="left"/>
      </w:pPr>
      <w:r>
        <w:rPr>
          <w:b/>
          <w:color w:val="000000"/>
          <w:sz w:val="26"/>
        </w:rPr>
        <w:t xml:space="preserve">Background </w:t>
      </w:r>
    </w:p>
    <w:p w:rsidR="00A90846" w:rsidRDefault="004B0811">
      <w:pPr>
        <w:spacing w:after="0" w:line="259" w:lineRule="auto"/>
        <w:ind w:left="0" w:firstLine="0"/>
      </w:pPr>
      <w:r>
        <w:t xml:space="preserve"> </w:t>
      </w:r>
    </w:p>
    <w:p w:rsidR="00A90846" w:rsidRDefault="004B0811">
      <w:pPr>
        <w:ind w:left="-5" w:right="79"/>
      </w:pPr>
      <w:r>
        <w:t>Tell Us Once (TUO) is a service is offered by local authorities on behalf of the Department for Work and Pensions (DWP). The service allows an individual to inform central and loca</w:t>
      </w:r>
      <w:r>
        <w:t xml:space="preserve">l government services of the death at one time rather than having to write, telephone or even attend each service individually. The Tell Us Once service is free to use and can save the service user a great deal of time and effort. </w:t>
      </w:r>
    </w:p>
    <w:p w:rsidR="00A90846" w:rsidRDefault="004B0811">
      <w:pPr>
        <w:spacing w:after="0" w:line="259" w:lineRule="auto"/>
        <w:ind w:left="0" w:firstLine="0"/>
      </w:pPr>
      <w:r>
        <w:t xml:space="preserve"> </w:t>
      </w:r>
    </w:p>
    <w:p w:rsidR="00A90846" w:rsidRDefault="004B0811">
      <w:pPr>
        <w:ind w:left="-5" w:right="79"/>
      </w:pPr>
      <w:r>
        <w:t xml:space="preserve">The service is required after each registration and is provided over the phone once the registration is completed. </w:t>
      </w:r>
      <w:r>
        <w:t xml:space="preserve">The registrar’s involvement in the process is </w:t>
      </w:r>
      <w:r>
        <w:t xml:space="preserve">limited to taking initial details and entering them into the TUO system (known as </w:t>
      </w:r>
      <w:r>
        <w:t>“</w:t>
      </w:r>
      <w:r>
        <w:t>CAPTURE</w:t>
      </w:r>
      <w:r>
        <w:t>”)</w:t>
      </w:r>
      <w:r>
        <w:t xml:space="preserve"> in</w:t>
      </w:r>
      <w:r>
        <w:t xml:space="preserve"> order to receive a unique reference number for the service user. The registrar then gives the necessary contact details and the unique reference number to the service user who can then use it to either log into the online government system or quote over a</w:t>
      </w:r>
      <w:r>
        <w:t xml:space="preserve"> dedicated phone number where the full details are registered by a member of the central TUO team. </w:t>
      </w:r>
    </w:p>
    <w:p w:rsidR="00A90846" w:rsidRDefault="004B0811">
      <w:pPr>
        <w:spacing w:after="0" w:line="259" w:lineRule="auto"/>
        <w:ind w:left="0" w:firstLine="0"/>
      </w:pPr>
      <w:r>
        <w:t xml:space="preserve"> </w:t>
      </w:r>
    </w:p>
    <w:p w:rsidR="00A90846" w:rsidRDefault="004B0811">
      <w:pPr>
        <w:ind w:left="-5" w:right="79"/>
      </w:pPr>
      <w:r>
        <w:t xml:space="preserve">It is essential to note that the service user must have registered the death and </w:t>
      </w:r>
      <w:proofErr w:type="gramStart"/>
      <w:r>
        <w:t>been</w:t>
      </w:r>
      <w:proofErr w:type="gramEnd"/>
      <w:r>
        <w:t xml:space="preserve"> given the unique Tell Us Once reference number before they can use t</w:t>
      </w:r>
      <w:r>
        <w:t xml:space="preserve">he telephone or online service. </w:t>
      </w:r>
    </w:p>
    <w:p w:rsidR="00A90846" w:rsidRDefault="004B0811">
      <w:pPr>
        <w:spacing w:after="0" w:line="259" w:lineRule="auto"/>
        <w:ind w:left="0" w:firstLine="0"/>
      </w:pPr>
      <w:r>
        <w:t xml:space="preserve"> </w:t>
      </w:r>
    </w:p>
    <w:p w:rsidR="00A90846" w:rsidRDefault="004B0811">
      <w:pPr>
        <w:ind w:left="-5" w:right="79"/>
      </w:pPr>
      <w:r>
        <w:t xml:space="preserve">Once the service user has completed the process at home (known as </w:t>
      </w:r>
      <w:r>
        <w:t>“</w:t>
      </w:r>
      <w:r>
        <w:t>ENRICHMENT</w:t>
      </w:r>
      <w:r>
        <w:t>”</w:t>
      </w:r>
      <w:r>
        <w:t xml:space="preserve">) the TUO service make all relevant departments aware the information is available </w:t>
      </w:r>
    </w:p>
    <w:p w:rsidR="00A90846" w:rsidRDefault="004B0811">
      <w:pPr>
        <w:spacing w:after="102" w:line="259" w:lineRule="auto"/>
        <w:ind w:left="0" w:firstLine="0"/>
      </w:pPr>
      <w:r>
        <w:t xml:space="preserve"> </w:t>
      </w:r>
    </w:p>
    <w:p w:rsidR="00A90846" w:rsidRDefault="004B0811">
      <w:pPr>
        <w:spacing w:after="0" w:line="259" w:lineRule="auto"/>
        <w:ind w:left="0" w:right="40" w:firstLine="0"/>
        <w:jc w:val="right"/>
      </w:pPr>
      <w:r>
        <w:rPr>
          <w:noProof/>
        </w:rPr>
        <w:lastRenderedPageBreak/>
        <w:drawing>
          <wp:inline distT="0" distB="0" distL="0" distR="0">
            <wp:extent cx="1039495" cy="7131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039495" cy="713105"/>
                    </a:xfrm>
                    <a:prstGeom prst="rect">
                      <a:avLst/>
                    </a:prstGeom>
                  </pic:spPr>
                </pic:pic>
              </a:graphicData>
            </a:graphic>
          </wp:inline>
        </w:drawing>
      </w:r>
      <w:r>
        <w:rPr>
          <w:rFonts w:ascii="Times New Roman" w:eastAsia="Times New Roman" w:hAnsi="Times New Roman" w:cs="Times New Roman"/>
        </w:rPr>
        <w:t xml:space="preserve"> </w:t>
      </w:r>
    </w:p>
    <w:p w:rsidR="00A90846" w:rsidRDefault="004B0811">
      <w:pPr>
        <w:spacing w:after="122" w:line="259" w:lineRule="auto"/>
        <w:ind w:left="0" w:firstLine="0"/>
      </w:pPr>
      <w:r>
        <w:rPr>
          <w:rFonts w:ascii="Times New Roman" w:eastAsia="Times New Roman" w:hAnsi="Times New Roman" w:cs="Times New Roman"/>
        </w:rPr>
        <w:t xml:space="preserve"> </w:t>
      </w:r>
    </w:p>
    <w:p w:rsidR="00A90846" w:rsidRDefault="004B0811">
      <w:pPr>
        <w:spacing w:after="161" w:line="259" w:lineRule="auto"/>
        <w:ind w:left="0" w:firstLine="0"/>
      </w:pPr>
      <w:r>
        <w:t xml:space="preserve"> </w:t>
      </w:r>
    </w:p>
    <w:p w:rsidR="00A90846" w:rsidRDefault="004B0811">
      <w:pPr>
        <w:spacing w:after="170"/>
        <w:ind w:left="-5" w:right="79"/>
      </w:pPr>
      <w:r>
        <w:t>Once the various agencies informed by Tell Us Once</w:t>
      </w:r>
      <w:r>
        <w:t xml:space="preserve"> have received notification (Known as </w:t>
      </w:r>
      <w:r>
        <w:t>“</w:t>
      </w:r>
      <w:r>
        <w:t>NOTIFICATION</w:t>
      </w:r>
      <w:r>
        <w:t>”)</w:t>
      </w:r>
      <w:r>
        <w:t xml:space="preserve"> of the death, they will make any further contact necessary with the bereaved family. </w:t>
      </w:r>
    </w:p>
    <w:p w:rsidR="00A90846" w:rsidRDefault="004B0811">
      <w:pPr>
        <w:spacing w:after="170"/>
        <w:ind w:left="-5" w:right="79"/>
      </w:pPr>
      <w:r>
        <w:t xml:space="preserve">It is worth noting </w:t>
      </w:r>
      <w:r>
        <w:t xml:space="preserve">that Tell Us Once does not notify any commercial organisations of the death and cannot arrange for redirection of post or suppression of direct mail. </w:t>
      </w:r>
    </w:p>
    <w:p w:rsidR="00A90846" w:rsidRDefault="004B0811">
      <w:pPr>
        <w:spacing w:after="170"/>
        <w:ind w:left="-5" w:right="79"/>
      </w:pPr>
      <w:r>
        <w:t xml:space="preserve">Tell Us Once is completely voluntary but most people find it a very helpful service.  </w:t>
      </w:r>
    </w:p>
    <w:p w:rsidR="00A90846" w:rsidRDefault="004B0811">
      <w:pPr>
        <w:pStyle w:val="Heading3"/>
        <w:ind w:left="-5"/>
      </w:pPr>
      <w:r>
        <w:t>Medway performance</w:t>
      </w:r>
      <w:r>
        <w:t xml:space="preserve"> </w:t>
      </w:r>
    </w:p>
    <w:p w:rsidR="00A90846" w:rsidRDefault="004B0811">
      <w:pPr>
        <w:spacing w:after="0" w:line="259" w:lineRule="auto"/>
        <w:ind w:left="0" w:firstLine="0"/>
      </w:pPr>
      <w:r>
        <w:t>(</w:t>
      </w:r>
      <w:proofErr w:type="gramStart"/>
      <w:r>
        <w:t>data</w:t>
      </w:r>
      <w:proofErr w:type="gramEnd"/>
      <w:r>
        <w:t xml:space="preserve"> provided by </w:t>
      </w:r>
      <w:r>
        <w:rPr>
          <w:color w:val="0D0D0D"/>
          <w:u w:val="single" w:color="0D0D0D"/>
        </w:rPr>
        <w:t>TUO.MANAGEMENTINFORMATION@DWP.GOV.UK</w:t>
      </w:r>
      <w:r>
        <w:t xml:space="preserve"> </w:t>
      </w:r>
    </w:p>
    <w:p w:rsidR="00A90846" w:rsidRDefault="004B0811">
      <w:pPr>
        <w:spacing w:after="477"/>
        <w:ind w:left="-5" w:right="79"/>
      </w:pPr>
      <w:r>
        <w:t xml:space="preserve">27/07/2020) </w:t>
      </w:r>
    </w:p>
    <w:p w:rsidR="00A90846" w:rsidRDefault="004B0811">
      <w:pPr>
        <w:pStyle w:val="Heading3"/>
        <w:tabs>
          <w:tab w:val="center" w:pos="4753"/>
        </w:tabs>
        <w:ind w:left="-15" w:firstLine="0"/>
      </w:pPr>
      <w:r>
        <w:t xml:space="preserve">Captures Report </w:t>
      </w:r>
      <w:r>
        <w:tab/>
      </w:r>
      <w:r>
        <w:rPr>
          <w:rFonts w:ascii="Times New Roman" w:eastAsia="Times New Roman" w:hAnsi="Times New Roman" w:cs="Times New Roman"/>
          <w:b w:val="0"/>
          <w:sz w:val="31"/>
          <w:vertAlign w:val="superscript"/>
        </w:rPr>
        <w:t xml:space="preserve"> </w:t>
      </w:r>
    </w:p>
    <w:p w:rsidR="00A90846" w:rsidRDefault="004B0811">
      <w:pPr>
        <w:spacing w:after="0" w:line="259" w:lineRule="auto"/>
        <w:ind w:left="3315" w:firstLine="0"/>
      </w:pPr>
      <w:r>
        <w:rPr>
          <w:b/>
        </w:rPr>
        <w:t xml:space="preserve"> </w:t>
      </w:r>
      <w:r>
        <w:rPr>
          <w:b/>
        </w:rPr>
        <w:tab/>
      </w:r>
      <w:r>
        <w:rPr>
          <w:rFonts w:ascii="Times New Roman" w:eastAsia="Times New Roman" w:hAnsi="Times New Roman" w:cs="Times New Roman"/>
          <w:sz w:val="20"/>
        </w:rPr>
        <w:t xml:space="preserve"> </w:t>
      </w:r>
    </w:p>
    <w:tbl>
      <w:tblPr>
        <w:tblStyle w:val="TableGrid"/>
        <w:tblW w:w="7763" w:type="dxa"/>
        <w:tblInd w:w="-107" w:type="dxa"/>
        <w:tblCellMar>
          <w:top w:w="54" w:type="dxa"/>
          <w:left w:w="107" w:type="dxa"/>
          <w:bottom w:w="0" w:type="dxa"/>
          <w:right w:w="40" w:type="dxa"/>
        </w:tblCellMar>
        <w:tblLook w:val="04A0" w:firstRow="1" w:lastRow="0" w:firstColumn="1" w:lastColumn="0" w:noHBand="0" w:noVBand="1"/>
      </w:tblPr>
      <w:tblGrid>
        <w:gridCol w:w="3314"/>
        <w:gridCol w:w="1436"/>
        <w:gridCol w:w="1476"/>
        <w:gridCol w:w="1537"/>
      </w:tblGrid>
      <w:tr w:rsidR="00A90846">
        <w:trPr>
          <w:trHeight w:val="562"/>
        </w:trPr>
        <w:tc>
          <w:tcPr>
            <w:tcW w:w="3315"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A90846" w:rsidRDefault="004B0811">
            <w:pPr>
              <w:spacing w:after="0" w:line="259" w:lineRule="auto"/>
              <w:ind w:left="0" w:right="67" w:firstLine="0"/>
              <w:jc w:val="center"/>
            </w:pPr>
            <w:r>
              <w:rPr>
                <w:b/>
              </w:rPr>
              <w:t xml:space="preserve">Organisation </w:t>
            </w:r>
          </w:p>
        </w:tc>
        <w:tc>
          <w:tcPr>
            <w:tcW w:w="1436"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A90846" w:rsidRDefault="004B0811">
            <w:pPr>
              <w:spacing w:after="0" w:line="259" w:lineRule="auto"/>
              <w:ind w:left="0" w:right="66" w:firstLine="0"/>
              <w:jc w:val="center"/>
            </w:pPr>
            <w:r>
              <w:rPr>
                <w:b/>
              </w:rPr>
              <w:t xml:space="preserve">Event </w:t>
            </w:r>
          </w:p>
        </w:tc>
        <w:tc>
          <w:tcPr>
            <w:tcW w:w="1476" w:type="dxa"/>
            <w:tcBorders>
              <w:top w:val="single" w:sz="4" w:space="0" w:color="000000"/>
              <w:left w:val="single" w:sz="4" w:space="0" w:color="000000"/>
              <w:bottom w:val="single" w:sz="4" w:space="0" w:color="000000"/>
              <w:right w:val="single" w:sz="4" w:space="0" w:color="000000"/>
            </w:tcBorders>
            <w:shd w:val="clear" w:color="auto" w:fill="AEAAAA"/>
          </w:tcPr>
          <w:p w:rsidR="00A90846" w:rsidRDefault="004B0811">
            <w:pPr>
              <w:spacing w:after="0" w:line="259" w:lineRule="auto"/>
              <w:ind w:left="0" w:firstLine="0"/>
              <w:jc w:val="center"/>
            </w:pPr>
            <w:r>
              <w:rPr>
                <w:b/>
              </w:rPr>
              <w:t xml:space="preserve">Year to date </w:t>
            </w:r>
          </w:p>
        </w:tc>
        <w:tc>
          <w:tcPr>
            <w:tcW w:w="1537"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A90846" w:rsidRDefault="004B0811">
            <w:pPr>
              <w:spacing w:after="0" w:line="259" w:lineRule="auto"/>
              <w:ind w:left="14" w:firstLine="0"/>
              <w:jc w:val="both"/>
            </w:pPr>
            <w:r>
              <w:rPr>
                <w:b/>
              </w:rPr>
              <w:t xml:space="preserve">% captured </w:t>
            </w:r>
          </w:p>
        </w:tc>
      </w:tr>
      <w:tr w:rsidR="00A90846">
        <w:trPr>
          <w:trHeight w:val="324"/>
        </w:trPr>
        <w:tc>
          <w:tcPr>
            <w:tcW w:w="3315" w:type="dxa"/>
            <w:tcBorders>
              <w:top w:val="single" w:sz="4" w:space="0" w:color="000000"/>
              <w:left w:val="single" w:sz="4" w:space="0" w:color="000000"/>
              <w:bottom w:val="single" w:sz="4" w:space="0" w:color="000000"/>
              <w:right w:val="single" w:sz="4" w:space="0" w:color="000000"/>
            </w:tcBorders>
            <w:shd w:val="clear" w:color="auto" w:fill="AEAAAA"/>
          </w:tcPr>
          <w:p w:rsidR="00A90846" w:rsidRDefault="004B0811">
            <w:pPr>
              <w:spacing w:after="0" w:line="259" w:lineRule="auto"/>
              <w:ind w:left="0" w:firstLine="0"/>
            </w:pPr>
            <w:r>
              <w:t xml:space="preserve">Medway </w:t>
            </w:r>
          </w:p>
        </w:tc>
        <w:tc>
          <w:tcPr>
            <w:tcW w:w="1436" w:type="dxa"/>
            <w:tcBorders>
              <w:top w:val="single" w:sz="4" w:space="0" w:color="000000"/>
              <w:left w:val="single" w:sz="4" w:space="0" w:color="000000"/>
              <w:bottom w:val="single" w:sz="4" w:space="0" w:color="000000"/>
              <w:right w:val="single" w:sz="4" w:space="0" w:color="000000"/>
            </w:tcBorders>
            <w:shd w:val="clear" w:color="auto" w:fill="AEAAAA"/>
          </w:tcPr>
          <w:p w:rsidR="00A90846" w:rsidRDefault="004B0811">
            <w:pPr>
              <w:spacing w:after="0" w:line="259" w:lineRule="auto"/>
              <w:ind w:left="0" w:firstLine="0"/>
            </w:pPr>
            <w:r>
              <w:t xml:space="preserve">Death </w:t>
            </w:r>
          </w:p>
        </w:tc>
        <w:tc>
          <w:tcPr>
            <w:tcW w:w="1476" w:type="dxa"/>
            <w:tcBorders>
              <w:top w:val="single" w:sz="4" w:space="0" w:color="000000"/>
              <w:left w:val="single" w:sz="4" w:space="0" w:color="000000"/>
              <w:bottom w:val="single" w:sz="4" w:space="0" w:color="000000"/>
              <w:right w:val="single" w:sz="4" w:space="0" w:color="000000"/>
            </w:tcBorders>
          </w:tcPr>
          <w:p w:rsidR="00A90846" w:rsidRDefault="004B0811">
            <w:pPr>
              <w:spacing w:after="0" w:line="259" w:lineRule="auto"/>
              <w:ind w:left="0" w:right="65" w:firstLine="0"/>
              <w:jc w:val="right"/>
            </w:pPr>
            <w:r>
              <w:t xml:space="preserve">927 </w:t>
            </w:r>
          </w:p>
        </w:tc>
        <w:tc>
          <w:tcPr>
            <w:tcW w:w="1537" w:type="dxa"/>
            <w:tcBorders>
              <w:top w:val="single" w:sz="4" w:space="0" w:color="000000"/>
              <w:left w:val="single" w:sz="4" w:space="0" w:color="000000"/>
              <w:bottom w:val="single" w:sz="4" w:space="0" w:color="000000"/>
              <w:right w:val="single" w:sz="4" w:space="0" w:color="000000"/>
            </w:tcBorders>
          </w:tcPr>
          <w:p w:rsidR="00A90846" w:rsidRDefault="004B0811">
            <w:pPr>
              <w:spacing w:after="0" w:line="259" w:lineRule="auto"/>
              <w:ind w:left="0" w:right="66" w:firstLine="0"/>
              <w:jc w:val="right"/>
            </w:pPr>
            <w:r>
              <w:t xml:space="preserve">100 </w:t>
            </w:r>
          </w:p>
        </w:tc>
      </w:tr>
    </w:tbl>
    <w:p w:rsidR="00A90846" w:rsidRDefault="004B0811">
      <w:pPr>
        <w:spacing w:after="175" w:line="259" w:lineRule="auto"/>
        <w:ind w:left="0" w:firstLine="0"/>
      </w:pPr>
      <w:r>
        <w:rPr>
          <w:rFonts w:ascii="Calibri" w:eastAsia="Calibri" w:hAnsi="Calibri" w:cs="Calibri"/>
          <w:sz w:val="22"/>
        </w:rPr>
        <w:t xml:space="preserve"> </w:t>
      </w:r>
    </w:p>
    <w:p w:rsidR="00A90846" w:rsidRDefault="004B0811">
      <w:pPr>
        <w:spacing w:after="0" w:line="259" w:lineRule="auto"/>
        <w:ind w:left="0" w:right="1310" w:firstLine="0"/>
        <w:jc w:val="right"/>
      </w:pPr>
      <w:r>
        <w:rPr>
          <w:b/>
        </w:rPr>
        <w:t xml:space="preserve"> </w:t>
      </w:r>
    </w:p>
    <w:p w:rsidR="00A90846" w:rsidRDefault="004B0811">
      <w:pPr>
        <w:pStyle w:val="Heading3"/>
        <w:ind w:left="-5"/>
      </w:pPr>
      <w:r>
        <w:t xml:space="preserve">Enrichments by Residency Report </w:t>
      </w:r>
    </w:p>
    <w:p w:rsidR="00A90846" w:rsidRDefault="004B0811">
      <w:pPr>
        <w:spacing w:after="0" w:line="259" w:lineRule="auto"/>
        <w:ind w:left="3543" w:firstLine="0"/>
      </w:pPr>
      <w:r>
        <w:rPr>
          <w:b/>
        </w:rPr>
        <w:t xml:space="preserve"> </w:t>
      </w:r>
    </w:p>
    <w:tbl>
      <w:tblPr>
        <w:tblStyle w:val="TableGrid"/>
        <w:tblW w:w="9026" w:type="dxa"/>
        <w:tblInd w:w="-107" w:type="dxa"/>
        <w:tblCellMar>
          <w:top w:w="71" w:type="dxa"/>
          <w:left w:w="107" w:type="dxa"/>
          <w:bottom w:w="0" w:type="dxa"/>
          <w:right w:w="105" w:type="dxa"/>
        </w:tblCellMar>
        <w:tblLook w:val="04A0" w:firstRow="1" w:lastRow="0" w:firstColumn="1" w:lastColumn="0" w:noHBand="0" w:noVBand="1"/>
      </w:tblPr>
      <w:tblGrid>
        <w:gridCol w:w="2551"/>
        <w:gridCol w:w="992"/>
        <w:gridCol w:w="3828"/>
        <w:gridCol w:w="1655"/>
      </w:tblGrid>
      <w:tr w:rsidR="00A90846">
        <w:trPr>
          <w:trHeight w:val="324"/>
        </w:trPr>
        <w:tc>
          <w:tcPr>
            <w:tcW w:w="2550" w:type="dxa"/>
            <w:tcBorders>
              <w:top w:val="single" w:sz="4" w:space="0" w:color="000000"/>
              <w:left w:val="single" w:sz="4" w:space="0" w:color="000000"/>
              <w:bottom w:val="single" w:sz="4" w:space="0" w:color="000000"/>
              <w:right w:val="single" w:sz="4" w:space="0" w:color="000000"/>
            </w:tcBorders>
            <w:shd w:val="clear" w:color="auto" w:fill="8EA9DB"/>
          </w:tcPr>
          <w:p w:rsidR="00A90846" w:rsidRDefault="004B0811">
            <w:pPr>
              <w:spacing w:after="0" w:line="259" w:lineRule="auto"/>
              <w:ind w:left="79" w:firstLine="0"/>
            </w:pPr>
            <w:r>
              <w:rPr>
                <w:b/>
              </w:rPr>
              <w:t xml:space="preserve">Organisation name </w:t>
            </w:r>
          </w:p>
        </w:tc>
        <w:tc>
          <w:tcPr>
            <w:tcW w:w="992" w:type="dxa"/>
            <w:tcBorders>
              <w:top w:val="single" w:sz="4" w:space="0" w:color="000000"/>
              <w:left w:val="single" w:sz="4" w:space="0" w:color="000000"/>
              <w:bottom w:val="single" w:sz="4" w:space="0" w:color="000000"/>
              <w:right w:val="single" w:sz="4" w:space="0" w:color="000000"/>
            </w:tcBorders>
            <w:shd w:val="clear" w:color="auto" w:fill="8EA9DB"/>
          </w:tcPr>
          <w:p w:rsidR="00A90846" w:rsidRDefault="004B0811">
            <w:pPr>
              <w:spacing w:after="0" w:line="259" w:lineRule="auto"/>
              <w:ind w:left="61" w:firstLine="0"/>
            </w:pPr>
            <w:r>
              <w:rPr>
                <w:b/>
              </w:rPr>
              <w:t xml:space="preserve">Event </w:t>
            </w:r>
          </w:p>
        </w:tc>
        <w:tc>
          <w:tcPr>
            <w:tcW w:w="3828" w:type="dxa"/>
            <w:tcBorders>
              <w:top w:val="single" w:sz="4" w:space="0" w:color="000000"/>
              <w:left w:val="single" w:sz="4" w:space="0" w:color="000000"/>
              <w:bottom w:val="single" w:sz="4" w:space="0" w:color="000000"/>
              <w:right w:val="single" w:sz="4" w:space="0" w:color="000000"/>
            </w:tcBorders>
            <w:shd w:val="clear" w:color="auto" w:fill="8EA9DB"/>
          </w:tcPr>
          <w:p w:rsidR="00A90846" w:rsidRDefault="004B0811">
            <w:pPr>
              <w:spacing w:after="0" w:line="259" w:lineRule="auto"/>
              <w:ind w:left="0" w:right="5" w:firstLine="0"/>
              <w:jc w:val="center"/>
            </w:pPr>
            <w:r>
              <w:rPr>
                <w:b/>
              </w:rPr>
              <w:t xml:space="preserve">Channel </w:t>
            </w:r>
          </w:p>
        </w:tc>
        <w:tc>
          <w:tcPr>
            <w:tcW w:w="1655" w:type="dxa"/>
            <w:tcBorders>
              <w:top w:val="single" w:sz="4" w:space="0" w:color="000000"/>
              <w:left w:val="single" w:sz="4" w:space="0" w:color="000000"/>
              <w:bottom w:val="single" w:sz="4" w:space="0" w:color="000000"/>
              <w:right w:val="single" w:sz="4" w:space="0" w:color="000000"/>
            </w:tcBorders>
            <w:shd w:val="clear" w:color="auto" w:fill="8EA9DB"/>
          </w:tcPr>
          <w:p w:rsidR="00A90846" w:rsidRDefault="004B0811">
            <w:pPr>
              <w:spacing w:after="0" w:line="259" w:lineRule="auto"/>
              <w:ind w:left="90" w:firstLine="0"/>
            </w:pPr>
            <w:r>
              <w:rPr>
                <w:b/>
                <w:sz w:val="22"/>
              </w:rPr>
              <w:t>Year to date</w:t>
            </w:r>
            <w:r>
              <w:rPr>
                <w:b/>
              </w:rPr>
              <w:t xml:space="preserve"> </w:t>
            </w:r>
          </w:p>
        </w:tc>
      </w:tr>
      <w:tr w:rsidR="00A90846">
        <w:trPr>
          <w:trHeight w:val="264"/>
        </w:trPr>
        <w:tc>
          <w:tcPr>
            <w:tcW w:w="2550"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sz w:val="20"/>
              </w:rPr>
              <w:t xml:space="preserve">Medway </w:t>
            </w:r>
          </w:p>
        </w:tc>
        <w:tc>
          <w:tcPr>
            <w:tcW w:w="992"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1" w:firstLine="0"/>
            </w:pPr>
            <w:r>
              <w:rPr>
                <w:sz w:val="20"/>
              </w:rPr>
              <w:t xml:space="preserve">Death </w:t>
            </w:r>
          </w:p>
        </w:tc>
        <w:tc>
          <w:tcPr>
            <w:tcW w:w="3828"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sz w:val="20"/>
              </w:rPr>
              <w:t xml:space="preserve">Number of enrichments by phone </w:t>
            </w:r>
          </w:p>
        </w:tc>
        <w:tc>
          <w:tcPr>
            <w:tcW w:w="1655" w:type="dxa"/>
            <w:tcBorders>
              <w:top w:val="single" w:sz="4" w:space="0" w:color="000000"/>
              <w:left w:val="single" w:sz="4" w:space="0" w:color="000000"/>
              <w:bottom w:val="single" w:sz="4" w:space="0" w:color="000000"/>
              <w:right w:val="single" w:sz="4" w:space="0" w:color="000000"/>
            </w:tcBorders>
          </w:tcPr>
          <w:p w:rsidR="00A90846" w:rsidRDefault="004B0811">
            <w:pPr>
              <w:spacing w:after="0" w:line="259" w:lineRule="auto"/>
              <w:ind w:left="1" w:firstLine="0"/>
            </w:pPr>
            <w:r>
              <w:rPr>
                <w:sz w:val="20"/>
              </w:rPr>
              <w:t xml:space="preserve">79 </w:t>
            </w:r>
          </w:p>
        </w:tc>
      </w:tr>
      <w:tr w:rsidR="00A90846">
        <w:trPr>
          <w:trHeight w:val="266"/>
        </w:trPr>
        <w:tc>
          <w:tcPr>
            <w:tcW w:w="2550"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sz w:val="20"/>
              </w:rPr>
              <w:t xml:space="preserve">Medway </w:t>
            </w:r>
          </w:p>
        </w:tc>
        <w:tc>
          <w:tcPr>
            <w:tcW w:w="992"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1" w:firstLine="0"/>
            </w:pPr>
            <w:r>
              <w:rPr>
                <w:sz w:val="20"/>
              </w:rPr>
              <w:t xml:space="preserve">Death </w:t>
            </w:r>
          </w:p>
        </w:tc>
        <w:tc>
          <w:tcPr>
            <w:tcW w:w="3828"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sz w:val="20"/>
              </w:rPr>
              <w:t xml:space="preserve">Number of enrichments by internet </w:t>
            </w:r>
          </w:p>
        </w:tc>
        <w:tc>
          <w:tcPr>
            <w:tcW w:w="1655" w:type="dxa"/>
            <w:tcBorders>
              <w:top w:val="single" w:sz="4" w:space="0" w:color="000000"/>
              <w:left w:val="single" w:sz="4" w:space="0" w:color="000000"/>
              <w:bottom w:val="single" w:sz="4" w:space="0" w:color="000000"/>
              <w:right w:val="single" w:sz="4" w:space="0" w:color="000000"/>
            </w:tcBorders>
          </w:tcPr>
          <w:p w:rsidR="00A90846" w:rsidRDefault="004B0811">
            <w:pPr>
              <w:spacing w:after="0" w:line="259" w:lineRule="auto"/>
              <w:ind w:left="1" w:firstLine="0"/>
            </w:pPr>
            <w:r>
              <w:rPr>
                <w:sz w:val="20"/>
              </w:rPr>
              <w:t xml:space="preserve">392 </w:t>
            </w:r>
          </w:p>
        </w:tc>
      </w:tr>
      <w:tr w:rsidR="00A90846">
        <w:trPr>
          <w:trHeight w:val="264"/>
        </w:trPr>
        <w:tc>
          <w:tcPr>
            <w:tcW w:w="2550"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b/>
                <w:sz w:val="20"/>
              </w:rPr>
              <w:t xml:space="preserve">Medway </w:t>
            </w:r>
          </w:p>
        </w:tc>
        <w:tc>
          <w:tcPr>
            <w:tcW w:w="992"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1" w:firstLine="0"/>
            </w:pPr>
            <w:r>
              <w:rPr>
                <w:b/>
                <w:sz w:val="20"/>
              </w:rPr>
              <w:t xml:space="preserve">Death </w:t>
            </w:r>
          </w:p>
        </w:tc>
        <w:tc>
          <w:tcPr>
            <w:tcW w:w="3828"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b/>
                <w:sz w:val="20"/>
              </w:rPr>
              <w:t xml:space="preserve">Total </w:t>
            </w:r>
          </w:p>
        </w:tc>
        <w:tc>
          <w:tcPr>
            <w:tcW w:w="1655" w:type="dxa"/>
            <w:tcBorders>
              <w:top w:val="single" w:sz="4" w:space="0" w:color="000000"/>
              <w:left w:val="single" w:sz="4" w:space="0" w:color="000000"/>
              <w:bottom w:val="single" w:sz="4" w:space="0" w:color="000000"/>
              <w:right w:val="single" w:sz="4" w:space="0" w:color="000000"/>
            </w:tcBorders>
          </w:tcPr>
          <w:p w:rsidR="00A90846" w:rsidRDefault="004B0811">
            <w:pPr>
              <w:spacing w:after="0" w:line="259" w:lineRule="auto"/>
              <w:ind w:left="1" w:firstLine="0"/>
            </w:pPr>
            <w:r>
              <w:rPr>
                <w:b/>
                <w:sz w:val="20"/>
              </w:rPr>
              <w:t xml:space="preserve">471 </w:t>
            </w:r>
          </w:p>
        </w:tc>
      </w:tr>
      <w:tr w:rsidR="00A90846">
        <w:trPr>
          <w:trHeight w:val="265"/>
        </w:trPr>
        <w:tc>
          <w:tcPr>
            <w:tcW w:w="2550"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sz w:val="20"/>
              </w:rPr>
              <w:t xml:space="preserve">Medway </w:t>
            </w:r>
          </w:p>
        </w:tc>
        <w:tc>
          <w:tcPr>
            <w:tcW w:w="992"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1" w:firstLine="0"/>
            </w:pPr>
            <w:r>
              <w:rPr>
                <w:sz w:val="20"/>
              </w:rPr>
              <w:t xml:space="preserve">Death </w:t>
            </w:r>
          </w:p>
        </w:tc>
        <w:tc>
          <w:tcPr>
            <w:tcW w:w="3828"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sz w:val="20"/>
              </w:rPr>
              <w:t xml:space="preserve">Percentage of enrichments by phone </w:t>
            </w:r>
          </w:p>
        </w:tc>
        <w:tc>
          <w:tcPr>
            <w:tcW w:w="1655" w:type="dxa"/>
            <w:tcBorders>
              <w:top w:val="single" w:sz="4" w:space="0" w:color="000000"/>
              <w:left w:val="single" w:sz="4" w:space="0" w:color="000000"/>
              <w:bottom w:val="single" w:sz="4" w:space="0" w:color="000000"/>
              <w:right w:val="single" w:sz="4" w:space="0" w:color="000000"/>
            </w:tcBorders>
          </w:tcPr>
          <w:p w:rsidR="00A90846" w:rsidRDefault="004B0811">
            <w:pPr>
              <w:spacing w:after="0" w:line="259" w:lineRule="auto"/>
              <w:ind w:left="1" w:firstLine="0"/>
            </w:pPr>
            <w:r>
              <w:rPr>
                <w:sz w:val="20"/>
              </w:rPr>
              <w:t xml:space="preserve">16.77 </w:t>
            </w:r>
          </w:p>
        </w:tc>
      </w:tr>
      <w:tr w:rsidR="00A90846">
        <w:trPr>
          <w:trHeight w:val="264"/>
        </w:trPr>
        <w:tc>
          <w:tcPr>
            <w:tcW w:w="2550"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sz w:val="20"/>
              </w:rPr>
              <w:t xml:space="preserve">Medway </w:t>
            </w:r>
          </w:p>
        </w:tc>
        <w:tc>
          <w:tcPr>
            <w:tcW w:w="992"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1" w:firstLine="0"/>
            </w:pPr>
            <w:r>
              <w:rPr>
                <w:sz w:val="20"/>
              </w:rPr>
              <w:t xml:space="preserve">Death </w:t>
            </w:r>
          </w:p>
        </w:tc>
        <w:tc>
          <w:tcPr>
            <w:tcW w:w="3828" w:type="dxa"/>
            <w:tcBorders>
              <w:top w:val="single" w:sz="4" w:space="0" w:color="000000"/>
              <w:left w:val="single" w:sz="4" w:space="0" w:color="000000"/>
              <w:bottom w:val="single" w:sz="4" w:space="0" w:color="000000"/>
              <w:right w:val="single" w:sz="4" w:space="0" w:color="000000"/>
            </w:tcBorders>
            <w:shd w:val="clear" w:color="auto" w:fill="DBDBDB"/>
          </w:tcPr>
          <w:p w:rsidR="00A90846" w:rsidRDefault="004B0811">
            <w:pPr>
              <w:spacing w:after="0" w:line="259" w:lineRule="auto"/>
              <w:ind w:left="0" w:firstLine="0"/>
            </w:pPr>
            <w:r>
              <w:rPr>
                <w:sz w:val="20"/>
              </w:rPr>
              <w:t xml:space="preserve">Percentage of enrichments by internet </w:t>
            </w:r>
          </w:p>
        </w:tc>
        <w:tc>
          <w:tcPr>
            <w:tcW w:w="1655" w:type="dxa"/>
            <w:tcBorders>
              <w:top w:val="single" w:sz="4" w:space="0" w:color="000000"/>
              <w:left w:val="single" w:sz="4" w:space="0" w:color="000000"/>
              <w:bottom w:val="single" w:sz="4" w:space="0" w:color="000000"/>
              <w:right w:val="single" w:sz="4" w:space="0" w:color="000000"/>
            </w:tcBorders>
          </w:tcPr>
          <w:p w:rsidR="00A90846" w:rsidRDefault="004B0811">
            <w:pPr>
              <w:spacing w:after="0" w:line="259" w:lineRule="auto"/>
              <w:ind w:left="1" w:firstLine="0"/>
            </w:pPr>
            <w:r>
              <w:rPr>
                <w:sz w:val="20"/>
              </w:rPr>
              <w:t xml:space="preserve">83.23 </w:t>
            </w:r>
          </w:p>
        </w:tc>
      </w:tr>
    </w:tbl>
    <w:p w:rsidR="00A90846" w:rsidRDefault="004B0811">
      <w:pPr>
        <w:spacing w:after="0" w:line="259" w:lineRule="auto"/>
        <w:ind w:left="0" w:firstLine="0"/>
      </w:pPr>
      <w:r>
        <w:rPr>
          <w:b/>
        </w:rPr>
        <w:t xml:space="preserve"> </w:t>
      </w:r>
    </w:p>
    <w:p w:rsidR="00A90846" w:rsidRDefault="004B0811">
      <w:pPr>
        <w:spacing w:after="0" w:line="259" w:lineRule="auto"/>
        <w:ind w:left="0" w:firstLine="0"/>
      </w:pPr>
      <w:r>
        <w:rPr>
          <w:b/>
        </w:rPr>
        <w:t xml:space="preserve"> </w:t>
      </w:r>
    </w:p>
    <w:p w:rsidR="00A90846" w:rsidRDefault="004B0811">
      <w:pPr>
        <w:spacing w:after="0" w:line="259" w:lineRule="auto"/>
        <w:ind w:left="0" w:firstLine="0"/>
      </w:pPr>
      <w:r>
        <w:rPr>
          <w:b/>
        </w:rPr>
        <w:t xml:space="preserve"> </w:t>
      </w:r>
    </w:p>
    <w:p w:rsidR="00A90846" w:rsidRDefault="004B0811">
      <w:pPr>
        <w:spacing w:after="2" w:line="259" w:lineRule="auto"/>
        <w:ind w:left="-5"/>
      </w:pPr>
      <w:r>
        <w:rPr>
          <w:b/>
        </w:rPr>
        <w:t xml:space="preserve">Lead officer: </w:t>
      </w:r>
    </w:p>
    <w:p w:rsidR="004B0811" w:rsidRDefault="004B0811">
      <w:pPr>
        <w:spacing w:after="0" w:line="259" w:lineRule="auto"/>
        <w:ind w:left="0" w:firstLine="0"/>
      </w:pPr>
    </w:p>
    <w:p w:rsidR="00A90846" w:rsidRDefault="004B0811">
      <w:pPr>
        <w:spacing w:after="0" w:line="259" w:lineRule="auto"/>
        <w:ind w:left="0" w:firstLine="0"/>
      </w:pPr>
      <w:r>
        <w:t xml:space="preserve"> </w:t>
      </w:r>
    </w:p>
    <w:p w:rsidR="00A90846" w:rsidRDefault="004B0811">
      <w:pPr>
        <w:ind w:left="-5" w:right="79"/>
      </w:pPr>
      <w:r>
        <w:t xml:space="preserve">James K Brown (Head of Regulatory Services) </w:t>
      </w:r>
    </w:p>
    <w:p w:rsidR="00A90846" w:rsidRDefault="004B0811" w:rsidP="004B0811">
      <w:pPr>
        <w:spacing w:after="1806"/>
        <w:ind w:left="-5" w:right="79"/>
      </w:pPr>
      <w:r>
        <w:t>Tel. No: 01634 338901     Email: james.brown@medway.gov.uk</w:t>
      </w:r>
      <w:bookmarkStart w:id="0" w:name="_GoBack"/>
      <w:bookmarkEnd w:id="0"/>
    </w:p>
    <w:sectPr w:rsidR="00A90846">
      <w:pgSz w:w="12240" w:h="15840"/>
      <w:pgMar w:top="777" w:right="1693" w:bottom="666"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46"/>
    <w:rsid w:val="004B0811"/>
    <w:rsid w:val="00A9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3BD9"/>
  <w15:docId w15:val="{B18C010A-5C87-4021-8CD6-43624222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101" w:hanging="10"/>
      <w:jc w:val="right"/>
      <w:outlineLvl w:val="0"/>
    </w:pPr>
    <w:rPr>
      <w:rFonts w:ascii="Arial" w:eastAsia="Arial" w:hAnsi="Arial" w:cs="Arial"/>
      <w:color w:val="000080"/>
      <w:sz w:val="40"/>
    </w:rPr>
  </w:style>
  <w:style w:type="paragraph" w:styleId="Heading2">
    <w:name w:val="heading 2"/>
    <w:next w:val="Normal"/>
    <w:link w:val="Heading2Char"/>
    <w:uiPriority w:val="9"/>
    <w:unhideWhenUsed/>
    <w:qFormat/>
    <w:pPr>
      <w:keepNext/>
      <w:keepLines/>
      <w:spacing w:after="88"/>
      <w:ind w:right="99"/>
      <w:jc w:val="right"/>
      <w:outlineLvl w:val="1"/>
    </w:pPr>
    <w:rPr>
      <w:rFonts w:ascii="Arial" w:eastAsia="Arial" w:hAnsi="Arial" w:cs="Arial"/>
      <w:color w:val="000080"/>
      <w:sz w:val="24"/>
    </w:rPr>
  </w:style>
  <w:style w:type="paragraph" w:styleId="Heading3">
    <w:name w:val="heading 3"/>
    <w:next w:val="Normal"/>
    <w:link w:val="Heading3Char"/>
    <w:uiPriority w:val="9"/>
    <w:unhideWhenUsed/>
    <w:qFormat/>
    <w:pPr>
      <w:keepNext/>
      <w:keepLines/>
      <w:spacing w:after="2"/>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color w:val="000080"/>
      <w:sz w:val="24"/>
    </w:rPr>
  </w:style>
  <w:style w:type="character" w:customStyle="1" w:styleId="Heading1Char">
    <w:name w:val="Heading 1 Char"/>
    <w:link w:val="Heading1"/>
    <w:rPr>
      <w:rFonts w:ascii="Arial" w:eastAsia="Arial" w:hAnsi="Arial" w:cs="Arial"/>
      <w:color w:val="00008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Health and Community Services Overview and Scrutiny Committee</vt:lpstr>
    </vt:vector>
  </TitlesOfParts>
  <Company>Medway Council</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Community Services Overview and Scrutiny Committee</dc:title>
  <dc:subject/>
  <dc:creator>Authorised User</dc:creator>
  <cp:keywords/>
  <cp:lastModifiedBy>offord, robyn</cp:lastModifiedBy>
  <cp:revision>2</cp:revision>
  <dcterms:created xsi:type="dcterms:W3CDTF">2020-09-02T13:38:00Z</dcterms:created>
  <dcterms:modified xsi:type="dcterms:W3CDTF">2020-09-02T13:38:00Z</dcterms:modified>
</cp:coreProperties>
</file>