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4481" w14:textId="77777777" w:rsidR="00877F2A" w:rsidRDefault="00877F2A" w:rsidP="00877F2A">
      <w:pPr>
        <w:pStyle w:val="BodyText"/>
        <w:ind w:left="127"/>
        <w:jc w:val="center"/>
        <w:rPr>
          <w:rFonts w:ascii="Times New Roman"/>
          <w:sz w:val="20"/>
        </w:rPr>
      </w:pPr>
      <w:r w:rsidRPr="00B45E4F">
        <w:rPr>
          <w:rFonts w:ascii="Times New Roman"/>
          <w:noProof/>
          <w:sz w:val="20"/>
          <w:lang w:bidi="ar-SA"/>
        </w:rPr>
        <w:drawing>
          <wp:inline distT="0" distB="0" distL="0" distR="0" wp14:anchorId="63EC44DB" wp14:editId="63EC44DC">
            <wp:extent cx="6391275" cy="4993783"/>
            <wp:effectExtent l="0" t="0" r="0" b="0"/>
            <wp:docPr id="2" name="Picture 2" descr="Medway healthy workplaces cogs image" title="Medway Healthy Workplaces Cog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5970" cy="4997451"/>
                    </a:xfrm>
                    <a:prstGeom prst="rect">
                      <a:avLst/>
                    </a:prstGeom>
                    <a:noFill/>
                    <a:ln>
                      <a:noFill/>
                    </a:ln>
                  </pic:spPr>
                </pic:pic>
              </a:graphicData>
            </a:graphic>
          </wp:inline>
        </w:drawing>
      </w:r>
    </w:p>
    <w:p w14:paraId="63EC4482" w14:textId="77777777" w:rsidR="00877F2A" w:rsidRDefault="00877F2A" w:rsidP="00877F2A">
      <w:pPr>
        <w:pStyle w:val="BodyText"/>
        <w:spacing w:before="3"/>
        <w:rPr>
          <w:rFonts w:ascii="Times New Roman"/>
          <w:sz w:val="12"/>
        </w:rPr>
      </w:pPr>
    </w:p>
    <w:p w14:paraId="63EC4483" w14:textId="77777777" w:rsidR="00877F2A" w:rsidRDefault="00877F2A" w:rsidP="00877F2A">
      <w:pPr>
        <w:spacing w:before="136"/>
        <w:ind w:left="2235"/>
        <w:rPr>
          <w:rFonts w:ascii="Gill Sans MT"/>
          <w:b/>
          <w:sz w:val="52"/>
        </w:rPr>
      </w:pPr>
      <w:r>
        <w:rPr>
          <w:rFonts w:ascii="Gill Sans MT"/>
          <w:b/>
          <w:color w:val="9B4C9A"/>
          <w:sz w:val="52"/>
        </w:rPr>
        <w:t>Move in a healthy</w:t>
      </w:r>
      <w:r>
        <w:rPr>
          <w:rFonts w:ascii="Gill Sans MT"/>
          <w:b/>
          <w:color w:val="9B4C9A"/>
          <w:spacing w:val="50"/>
          <w:sz w:val="52"/>
        </w:rPr>
        <w:t xml:space="preserve"> </w:t>
      </w:r>
      <w:r>
        <w:rPr>
          <w:rFonts w:ascii="Gill Sans MT"/>
          <w:b/>
          <w:color w:val="9B4C9A"/>
          <w:sz w:val="52"/>
        </w:rPr>
        <w:t>direction</w:t>
      </w:r>
    </w:p>
    <w:p w14:paraId="63EC4484" w14:textId="77777777" w:rsidR="00877F2A" w:rsidRPr="00414274" w:rsidRDefault="00877F2A" w:rsidP="00877F2A">
      <w:pPr>
        <w:spacing w:before="86"/>
        <w:ind w:left="2162" w:right="2352"/>
        <w:jc w:val="center"/>
        <w:rPr>
          <w:rFonts w:ascii="AdLib"/>
          <w:sz w:val="52"/>
        </w:rPr>
      </w:pPr>
      <w:r>
        <w:rPr>
          <w:rFonts w:ascii="AdLib"/>
          <w:color w:val="169492"/>
          <w:spacing w:val="-21"/>
          <w:sz w:val="52"/>
        </w:rPr>
        <w:t xml:space="preserve">Alcohol, </w:t>
      </w:r>
      <w:r w:rsidR="004358B5">
        <w:rPr>
          <w:rFonts w:ascii="AdLib"/>
          <w:color w:val="169492"/>
          <w:spacing w:val="-21"/>
          <w:sz w:val="52"/>
        </w:rPr>
        <w:t>and Substance Misuse</w:t>
      </w:r>
      <w:r w:rsidRPr="00414274">
        <w:rPr>
          <w:rFonts w:ascii="AdLib"/>
          <w:color w:val="169492"/>
          <w:spacing w:val="-21"/>
          <w:sz w:val="52"/>
        </w:rPr>
        <w:t xml:space="preserve">: An </w:t>
      </w:r>
      <w:r w:rsidRPr="00414274">
        <w:rPr>
          <w:rFonts w:ascii="AdLib"/>
          <w:color w:val="169492"/>
          <w:spacing w:val="-38"/>
          <w:sz w:val="52"/>
        </w:rPr>
        <w:t xml:space="preserve">Employer's </w:t>
      </w:r>
      <w:r w:rsidRPr="00414274">
        <w:rPr>
          <w:rFonts w:ascii="AdLib"/>
          <w:color w:val="169492"/>
          <w:spacing w:val="-145"/>
          <w:sz w:val="52"/>
        </w:rPr>
        <w:t xml:space="preserve">  </w:t>
      </w:r>
      <w:r w:rsidRPr="00414274">
        <w:rPr>
          <w:rFonts w:ascii="AdLib"/>
          <w:color w:val="169492"/>
          <w:spacing w:val="-42"/>
          <w:sz w:val="52"/>
        </w:rPr>
        <w:t>Guide</w:t>
      </w:r>
    </w:p>
    <w:p w14:paraId="28EFB9D5" w14:textId="77777777" w:rsidR="00877F2A" w:rsidRDefault="00877F2A" w:rsidP="00877F2A">
      <w:pPr>
        <w:jc w:val="center"/>
        <w:rPr>
          <w:noProof/>
          <w:color w:val="159392"/>
          <w:sz w:val="32"/>
          <w:lang w:eastAsia="en-GB"/>
        </w:rPr>
      </w:pPr>
    </w:p>
    <w:p w14:paraId="63EC4485" w14:textId="3124834D" w:rsidR="00234B47" w:rsidRDefault="00234B47" w:rsidP="00877F2A">
      <w:pPr>
        <w:jc w:val="center"/>
        <w:rPr>
          <w:rFonts w:ascii="Bookman Old Style"/>
          <w:sz w:val="31"/>
        </w:rPr>
        <w:sectPr w:rsidR="00234B47" w:rsidSect="00DD22DB">
          <w:pgSz w:w="11910" w:h="16840"/>
          <w:pgMar w:top="720" w:right="720" w:bottom="720" w:left="720" w:header="720" w:footer="720" w:gutter="0"/>
          <w:cols w:space="720"/>
          <w:docGrid w:linePitch="299"/>
        </w:sectPr>
      </w:pPr>
      <w:r>
        <w:rPr>
          <w:noProof/>
          <w:sz w:val="32"/>
          <w:szCs w:val="32"/>
        </w:rPr>
        <w:drawing>
          <wp:inline distT="0" distB="0" distL="0" distR="0" wp14:anchorId="69F27FD8" wp14:editId="171F7D7A">
            <wp:extent cx="2068154" cy="977900"/>
            <wp:effectExtent l="0" t="0" r="8890" b="0"/>
            <wp:docPr id="1" name="Picture 1" descr="Logo, Medway Healthy Workplac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Medway Healthy Workplaces&#10;&#10;"/>
                    <pic:cNvPicPr/>
                  </pic:nvPicPr>
                  <pic:blipFill>
                    <a:blip r:embed="rId11">
                      <a:extLst>
                        <a:ext uri="{28A0092B-C50C-407E-A947-70E740481C1C}">
                          <a14:useLocalDpi xmlns:a14="http://schemas.microsoft.com/office/drawing/2010/main" val="0"/>
                        </a:ext>
                      </a:extLst>
                    </a:blip>
                    <a:stretch>
                      <a:fillRect/>
                    </a:stretch>
                  </pic:blipFill>
                  <pic:spPr>
                    <a:xfrm>
                      <a:off x="0" y="0"/>
                      <a:ext cx="2074252" cy="980783"/>
                    </a:xfrm>
                    <a:prstGeom prst="rect">
                      <a:avLst/>
                    </a:prstGeom>
                  </pic:spPr>
                </pic:pic>
              </a:graphicData>
            </a:graphic>
          </wp:inline>
        </w:drawing>
      </w:r>
      <w:r>
        <w:rPr>
          <w:rFonts w:ascii="Bookman Old Style"/>
          <w:sz w:val="31"/>
        </w:rPr>
        <w:t xml:space="preserve">                                     </w:t>
      </w:r>
      <w:r w:rsidRPr="00925C98">
        <w:rPr>
          <w:noProof/>
          <w:color w:val="159392"/>
          <w:sz w:val="32"/>
        </w:rPr>
        <w:drawing>
          <wp:inline distT="0" distB="0" distL="0" distR="0" wp14:anchorId="439192A4" wp14:editId="42B37BC3">
            <wp:extent cx="1616600" cy="1146175"/>
            <wp:effectExtent l="0" t="0" r="3175" b="0"/>
            <wp:docPr id="6" name="Picture 6" descr="image box showing three logos.  1) kent and medway healthy workplace programme, 2) Kent county council logo and 3) Medway Council" title="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75675"/>
                    <a:stretch/>
                  </pic:blipFill>
                  <pic:spPr bwMode="auto">
                    <a:xfrm>
                      <a:off x="0" y="0"/>
                      <a:ext cx="1617245" cy="1146632"/>
                    </a:xfrm>
                    <a:prstGeom prst="rect">
                      <a:avLst/>
                    </a:prstGeom>
                    <a:noFill/>
                    <a:ln>
                      <a:noFill/>
                    </a:ln>
                    <a:extLst>
                      <a:ext uri="{53640926-AAD7-44D8-BBD7-CCE9431645EC}">
                        <a14:shadowObscured xmlns:a14="http://schemas.microsoft.com/office/drawing/2010/main"/>
                      </a:ext>
                    </a:extLst>
                  </pic:spPr>
                </pic:pic>
              </a:graphicData>
            </a:graphic>
          </wp:inline>
        </w:drawing>
      </w:r>
    </w:p>
    <w:p w14:paraId="63EC4486" w14:textId="77777777" w:rsidR="00877F2A" w:rsidRDefault="00877F2A" w:rsidP="00877F2A">
      <w:pPr>
        <w:pStyle w:val="BodyText"/>
        <w:rPr>
          <w:rFonts w:ascii="Bookman Old Style"/>
          <w:sz w:val="19"/>
        </w:rPr>
      </w:pPr>
    </w:p>
    <w:p w14:paraId="63EC4487" w14:textId="77777777" w:rsidR="00877F2A" w:rsidRPr="00E20CD2" w:rsidRDefault="00877F2A" w:rsidP="008F2EB3">
      <w:pPr>
        <w:spacing w:after="160" w:line="259" w:lineRule="auto"/>
        <w:rPr>
          <w:rFonts w:ascii="Arial" w:hAnsi="Arial" w:cs="Arial"/>
          <w:sz w:val="56"/>
        </w:rPr>
      </w:pPr>
      <w:r>
        <w:rPr>
          <w:rFonts w:ascii="Arial" w:hAnsi="Arial" w:cs="Arial"/>
          <w:color w:val="231F20"/>
          <w:sz w:val="56"/>
        </w:rPr>
        <w:t>Alcohol</w:t>
      </w:r>
      <w:r w:rsidR="003F7C5A">
        <w:rPr>
          <w:rFonts w:ascii="Arial" w:hAnsi="Arial" w:cs="Arial"/>
          <w:color w:val="231F20"/>
          <w:sz w:val="56"/>
        </w:rPr>
        <w:t xml:space="preserve"> and Substance Misuse</w:t>
      </w:r>
      <w:r w:rsidRPr="00E20CD2">
        <w:rPr>
          <w:rFonts w:ascii="Arial" w:hAnsi="Arial" w:cs="Arial"/>
          <w:color w:val="231F20"/>
          <w:sz w:val="56"/>
        </w:rPr>
        <w:t>: An Employer's Guide</w:t>
      </w:r>
    </w:p>
    <w:p w14:paraId="63EC4488" w14:textId="77777777" w:rsidR="00877F2A" w:rsidRDefault="00877F2A" w:rsidP="00877F2A">
      <w:pPr>
        <w:pStyle w:val="BodyText"/>
        <w:rPr>
          <w:sz w:val="20"/>
        </w:rPr>
      </w:pPr>
    </w:p>
    <w:p w14:paraId="63EC4489" w14:textId="77777777" w:rsidR="00877F2A" w:rsidRDefault="00877F2A" w:rsidP="00877F2A">
      <w:pPr>
        <w:pStyle w:val="BodyText"/>
        <w:spacing w:before="7"/>
        <w:rPr>
          <w:sz w:val="15"/>
        </w:rPr>
      </w:pPr>
    </w:p>
    <w:p w14:paraId="63EC448A" w14:textId="77777777" w:rsidR="00877F2A" w:rsidRPr="00414274" w:rsidRDefault="00877F2A" w:rsidP="00877F2A">
      <w:pPr>
        <w:pStyle w:val="Heading3"/>
        <w:spacing w:before="98"/>
        <w:ind w:left="567"/>
        <w:rPr>
          <w:b/>
          <w:color w:val="169492"/>
          <w:sz w:val="32"/>
          <w:szCs w:val="32"/>
        </w:rPr>
      </w:pPr>
      <w:r w:rsidRPr="00414274">
        <w:rPr>
          <w:b/>
          <w:color w:val="169492"/>
          <w:sz w:val="32"/>
          <w:szCs w:val="32"/>
        </w:rPr>
        <w:t>Introduction</w:t>
      </w:r>
    </w:p>
    <w:p w14:paraId="63EC448B" w14:textId="77777777" w:rsidR="00D872E8" w:rsidRDefault="0055687C" w:rsidP="00D872E8">
      <w:pPr>
        <w:pStyle w:val="Heading3"/>
        <w:spacing w:before="98"/>
        <w:ind w:left="567"/>
        <w:rPr>
          <w:rFonts w:ascii="Arial" w:eastAsia="Arial" w:hAnsi="Arial" w:cs="Arial"/>
          <w:color w:val="auto"/>
          <w:lang w:eastAsia="en-GB" w:bidi="en-GB"/>
        </w:rPr>
      </w:pPr>
      <w:r>
        <w:rPr>
          <w:rFonts w:ascii="Arial" w:eastAsia="Arial" w:hAnsi="Arial" w:cs="Arial"/>
          <w:color w:val="auto"/>
          <w:lang w:eastAsia="en-GB" w:bidi="en-GB"/>
        </w:rPr>
        <w:t>As we all know, employers have a duty of care under the Health and Safety at Work Act 1974 to ensure, as</w:t>
      </w:r>
      <w:r w:rsidRPr="00D872E8">
        <w:rPr>
          <w:rFonts w:ascii="Arial" w:eastAsia="Arial" w:hAnsi="Arial" w:cs="Arial"/>
          <w:color w:val="auto"/>
          <w:lang w:eastAsia="en-GB" w:bidi="en-GB"/>
        </w:rPr>
        <w:t xml:space="preserve"> far as is reasonably practicable, the health, </w:t>
      </w:r>
      <w:proofErr w:type="gramStart"/>
      <w:r w:rsidRPr="00D872E8">
        <w:rPr>
          <w:rFonts w:ascii="Arial" w:eastAsia="Arial" w:hAnsi="Arial" w:cs="Arial"/>
          <w:color w:val="auto"/>
          <w:lang w:eastAsia="en-GB" w:bidi="en-GB"/>
        </w:rPr>
        <w:t>safety</w:t>
      </w:r>
      <w:proofErr w:type="gramEnd"/>
      <w:r w:rsidRPr="00D872E8">
        <w:rPr>
          <w:rFonts w:ascii="Arial" w:eastAsia="Arial" w:hAnsi="Arial" w:cs="Arial"/>
          <w:color w:val="auto"/>
          <w:lang w:eastAsia="en-GB" w:bidi="en-GB"/>
        </w:rPr>
        <w:t xml:space="preserve"> and we</w:t>
      </w:r>
      <w:r>
        <w:rPr>
          <w:rFonts w:ascii="Arial" w:eastAsia="Arial" w:hAnsi="Arial" w:cs="Arial"/>
          <w:color w:val="auto"/>
          <w:lang w:eastAsia="en-GB" w:bidi="en-GB"/>
        </w:rPr>
        <w:t xml:space="preserve">lfare at work of their employees.  </w:t>
      </w:r>
      <w:proofErr w:type="gramStart"/>
      <w:r>
        <w:rPr>
          <w:rFonts w:ascii="Arial" w:eastAsia="Arial" w:hAnsi="Arial" w:cs="Arial"/>
          <w:color w:val="auto"/>
          <w:lang w:eastAsia="en-GB" w:bidi="en-GB"/>
        </w:rPr>
        <w:t>However</w:t>
      </w:r>
      <w:proofErr w:type="gramEnd"/>
      <w:r>
        <w:rPr>
          <w:rFonts w:ascii="Arial" w:eastAsia="Arial" w:hAnsi="Arial" w:cs="Arial"/>
          <w:color w:val="auto"/>
          <w:lang w:eastAsia="en-GB" w:bidi="en-GB"/>
        </w:rPr>
        <w:t xml:space="preserve"> the effects of alcohol and substance misuse go beyond health and safety</w:t>
      </w:r>
      <w:r w:rsidRPr="00D872E8">
        <w:rPr>
          <w:rFonts w:ascii="Arial" w:eastAsia="Arial" w:hAnsi="Arial" w:cs="Arial"/>
          <w:color w:val="auto"/>
          <w:lang w:eastAsia="en-GB" w:bidi="en-GB"/>
        </w:rPr>
        <w:t>. It can impair performance at work through poor decision making and impaired reaction times causing lost productivity, inferio</w:t>
      </w:r>
      <w:r>
        <w:rPr>
          <w:rFonts w:ascii="Arial" w:eastAsia="Arial" w:hAnsi="Arial" w:cs="Arial"/>
          <w:color w:val="auto"/>
          <w:lang w:eastAsia="en-GB" w:bidi="en-GB"/>
        </w:rPr>
        <w:t xml:space="preserve">r goods or services, </w:t>
      </w:r>
      <w:proofErr w:type="gramStart"/>
      <w:r>
        <w:rPr>
          <w:rFonts w:ascii="Arial" w:eastAsia="Arial" w:hAnsi="Arial" w:cs="Arial"/>
          <w:color w:val="auto"/>
          <w:lang w:eastAsia="en-GB" w:bidi="en-GB"/>
        </w:rPr>
        <w:t>errors</w:t>
      </w:r>
      <w:proofErr w:type="gramEnd"/>
      <w:r>
        <w:rPr>
          <w:rFonts w:ascii="Arial" w:eastAsia="Arial" w:hAnsi="Arial" w:cs="Arial"/>
          <w:color w:val="auto"/>
          <w:lang w:eastAsia="en-GB" w:bidi="en-GB"/>
        </w:rPr>
        <w:t xml:space="preserve"> and a</w:t>
      </w:r>
      <w:r w:rsidRPr="00D872E8">
        <w:rPr>
          <w:rFonts w:ascii="Arial" w:eastAsia="Arial" w:hAnsi="Arial" w:cs="Arial"/>
          <w:color w:val="auto"/>
          <w:lang w:eastAsia="en-GB" w:bidi="en-GB"/>
        </w:rPr>
        <w:t>ccidents.</w:t>
      </w:r>
      <w:r>
        <w:rPr>
          <w:rFonts w:ascii="Arial" w:eastAsia="Arial" w:hAnsi="Arial" w:cs="Arial"/>
          <w:color w:val="auto"/>
          <w:lang w:eastAsia="en-GB" w:bidi="en-GB"/>
        </w:rPr>
        <w:t xml:space="preserve">  </w:t>
      </w:r>
      <w:r w:rsidR="00D872E8" w:rsidRPr="00D872E8">
        <w:rPr>
          <w:rFonts w:ascii="Arial" w:eastAsia="Arial" w:hAnsi="Arial" w:cs="Arial"/>
          <w:color w:val="auto"/>
          <w:lang w:eastAsia="en-GB" w:bidi="en-GB"/>
        </w:rPr>
        <w:t>Alcohol and drug use</w:t>
      </w:r>
      <w:r>
        <w:rPr>
          <w:rFonts w:ascii="Arial" w:eastAsia="Arial" w:hAnsi="Arial" w:cs="Arial"/>
          <w:color w:val="auto"/>
          <w:lang w:eastAsia="en-GB" w:bidi="en-GB"/>
        </w:rPr>
        <w:t xml:space="preserve"> have also been seen to</w:t>
      </w:r>
      <w:r w:rsidR="00D872E8" w:rsidRPr="00D872E8">
        <w:rPr>
          <w:rFonts w:ascii="Arial" w:eastAsia="Arial" w:hAnsi="Arial" w:cs="Arial"/>
          <w:color w:val="auto"/>
          <w:lang w:eastAsia="en-GB" w:bidi="en-GB"/>
        </w:rPr>
        <w:t xml:space="preserve"> increase the risk of absenteeism, presenteeism, low productivity and inappropriate behaviour. </w:t>
      </w:r>
    </w:p>
    <w:p w14:paraId="63EC448C" w14:textId="77777777" w:rsidR="00D872E8" w:rsidRPr="00D872E8" w:rsidRDefault="00D872E8" w:rsidP="00D872E8">
      <w:pPr>
        <w:rPr>
          <w:lang w:eastAsia="en-GB" w:bidi="en-GB"/>
        </w:rPr>
      </w:pPr>
    </w:p>
    <w:p w14:paraId="63EC448D" w14:textId="77777777" w:rsidR="00877F2A" w:rsidRPr="00414274" w:rsidRDefault="00877F2A" w:rsidP="00877F2A">
      <w:pPr>
        <w:pStyle w:val="Heading3"/>
        <w:spacing w:before="98"/>
        <w:ind w:left="567"/>
        <w:rPr>
          <w:b/>
          <w:color w:val="169492"/>
          <w:sz w:val="32"/>
          <w:szCs w:val="32"/>
        </w:rPr>
      </w:pPr>
      <w:r w:rsidRPr="00414274">
        <w:rPr>
          <w:b/>
          <w:color w:val="169492"/>
          <w:sz w:val="32"/>
          <w:szCs w:val="32"/>
        </w:rPr>
        <w:t xml:space="preserve">Why should employers worry about </w:t>
      </w:r>
      <w:r>
        <w:rPr>
          <w:b/>
          <w:color w:val="169492"/>
          <w:sz w:val="32"/>
          <w:szCs w:val="32"/>
        </w:rPr>
        <w:t>Alcohol, Drugs and Tobacco</w:t>
      </w:r>
      <w:r w:rsidRPr="00414274">
        <w:rPr>
          <w:b/>
          <w:color w:val="169492"/>
          <w:sz w:val="32"/>
          <w:szCs w:val="32"/>
        </w:rPr>
        <w:t>?</w:t>
      </w:r>
    </w:p>
    <w:p w14:paraId="63EC448E" w14:textId="77777777" w:rsidR="000E3C46" w:rsidRDefault="003224EC" w:rsidP="003224EC">
      <w:pPr>
        <w:pStyle w:val="BodyText"/>
        <w:spacing w:line="249" w:lineRule="auto"/>
        <w:ind w:left="567" w:right="698"/>
        <w:rPr>
          <w:sz w:val="24"/>
          <w:szCs w:val="24"/>
        </w:rPr>
      </w:pPr>
      <w:r>
        <w:rPr>
          <w:sz w:val="24"/>
          <w:szCs w:val="24"/>
        </w:rPr>
        <w:t xml:space="preserve">Alcohol is thought to be a contributing factor in 20% of workplace accidents. Alcohol misuse costs the UK economy between 1.3-2.7% of GDP. </w:t>
      </w:r>
      <w:r w:rsidR="000E3C46">
        <w:rPr>
          <w:sz w:val="24"/>
          <w:szCs w:val="24"/>
        </w:rPr>
        <w:t xml:space="preserve"> Whilst the number of drug and alcohol dependent people in the workplace is low, some surveys estimate that 3 in 10 workers have tried drugs in the past year and 30% have reported their productivity at work has been impacted by alcohol consumption from the night before.</w:t>
      </w:r>
      <w:r w:rsidR="009540BC">
        <w:rPr>
          <w:sz w:val="24"/>
          <w:szCs w:val="24"/>
        </w:rPr>
        <w:t xml:space="preserve">  Over 10 million people in the UK are drinking at levels above the Chief Medical Officer’s lower risk guidelines.</w:t>
      </w:r>
    </w:p>
    <w:p w14:paraId="63EC448F" w14:textId="77777777" w:rsidR="000E3C46" w:rsidRDefault="000E3C46" w:rsidP="003224EC">
      <w:pPr>
        <w:pStyle w:val="BodyText"/>
        <w:spacing w:line="249" w:lineRule="auto"/>
        <w:ind w:left="567" w:right="698"/>
        <w:rPr>
          <w:sz w:val="24"/>
          <w:szCs w:val="24"/>
        </w:rPr>
      </w:pPr>
    </w:p>
    <w:p w14:paraId="63EC4490" w14:textId="77777777" w:rsidR="000E3C46" w:rsidRDefault="000E3C46" w:rsidP="003224EC">
      <w:pPr>
        <w:pStyle w:val="BodyText"/>
        <w:spacing w:line="249" w:lineRule="auto"/>
        <w:ind w:left="567" w:right="698"/>
        <w:rPr>
          <w:sz w:val="24"/>
          <w:szCs w:val="24"/>
        </w:rPr>
      </w:pPr>
      <w:r>
        <w:rPr>
          <w:sz w:val="24"/>
          <w:szCs w:val="24"/>
        </w:rPr>
        <w:t xml:space="preserve">It is also estimated that there are 1.5 million adults in the UK addicted to prescription or over the counter medications including sleeping pills, weight loss, </w:t>
      </w:r>
      <w:proofErr w:type="gramStart"/>
      <w:r>
        <w:rPr>
          <w:sz w:val="24"/>
          <w:szCs w:val="24"/>
        </w:rPr>
        <w:t>antidepressants</w:t>
      </w:r>
      <w:proofErr w:type="gramEnd"/>
      <w:r>
        <w:rPr>
          <w:sz w:val="24"/>
          <w:szCs w:val="24"/>
        </w:rPr>
        <w:t xml:space="preserve"> and anti-anxiety medication.  Many of these medications can have an impact on an individual’s ability to drive or operate machinery safely.</w:t>
      </w:r>
    </w:p>
    <w:p w14:paraId="63EC4491" w14:textId="77777777" w:rsidR="000E3C46" w:rsidRDefault="000E3C46" w:rsidP="003224EC">
      <w:pPr>
        <w:pStyle w:val="BodyText"/>
        <w:spacing w:line="249" w:lineRule="auto"/>
        <w:ind w:left="567" w:right="698"/>
        <w:rPr>
          <w:sz w:val="24"/>
          <w:szCs w:val="24"/>
        </w:rPr>
      </w:pPr>
    </w:p>
    <w:p w14:paraId="63EC4492" w14:textId="77777777" w:rsidR="00877F2A" w:rsidRDefault="000E3C46" w:rsidP="000E3C46">
      <w:pPr>
        <w:pStyle w:val="BodyText"/>
        <w:spacing w:line="249" w:lineRule="auto"/>
        <w:ind w:left="567" w:right="698"/>
        <w:rPr>
          <w:sz w:val="24"/>
          <w:szCs w:val="24"/>
        </w:rPr>
      </w:pPr>
      <w:r>
        <w:rPr>
          <w:sz w:val="24"/>
          <w:szCs w:val="24"/>
        </w:rPr>
        <w:t xml:space="preserve">Small and Medium sized businesses (those with less than 250 staff) are disproportionately affected by the loss of key staff for any period, including loss caused by alcohol and drug use or by the </w:t>
      </w:r>
      <w:proofErr w:type="gramStart"/>
      <w:r>
        <w:rPr>
          <w:sz w:val="24"/>
          <w:szCs w:val="24"/>
        </w:rPr>
        <w:t>long term</w:t>
      </w:r>
      <w:proofErr w:type="gramEnd"/>
      <w:r>
        <w:rPr>
          <w:sz w:val="24"/>
          <w:szCs w:val="24"/>
        </w:rPr>
        <w:t xml:space="preserve"> impact of smoking.  If businesses can support their staff to be healthier, their business will benefit in the long term.</w:t>
      </w:r>
      <w:r w:rsidR="003F7C5A">
        <w:rPr>
          <w:sz w:val="24"/>
          <w:szCs w:val="24"/>
        </w:rPr>
        <w:t xml:space="preserve">  This guide relates to alcohol and drug use. For advice on smoking and tobacco, please refer to our Smoking Tobacco: An Employer’s Guide.</w:t>
      </w:r>
    </w:p>
    <w:p w14:paraId="63EC4493" w14:textId="77777777" w:rsidR="000E3C46" w:rsidRDefault="000E3C46" w:rsidP="000E3C46">
      <w:pPr>
        <w:pStyle w:val="BodyText"/>
        <w:spacing w:line="249" w:lineRule="auto"/>
        <w:ind w:left="567" w:right="698"/>
        <w:rPr>
          <w:color w:val="169492"/>
          <w:sz w:val="28"/>
        </w:rPr>
      </w:pPr>
    </w:p>
    <w:p w14:paraId="63EC4494" w14:textId="77777777" w:rsidR="00877F2A" w:rsidRDefault="00877F2A" w:rsidP="00877F2A">
      <w:pPr>
        <w:pStyle w:val="Heading3"/>
        <w:spacing w:before="98"/>
        <w:ind w:left="567"/>
        <w:rPr>
          <w:b/>
          <w:color w:val="169492"/>
          <w:sz w:val="32"/>
          <w:szCs w:val="32"/>
        </w:rPr>
      </w:pPr>
      <w:r>
        <w:rPr>
          <w:b/>
          <w:color w:val="169492"/>
          <w:sz w:val="32"/>
          <w:szCs w:val="32"/>
        </w:rPr>
        <w:t>Alcohol</w:t>
      </w:r>
      <w:r w:rsidR="003F7C5A">
        <w:rPr>
          <w:b/>
          <w:color w:val="169492"/>
          <w:sz w:val="32"/>
          <w:szCs w:val="32"/>
        </w:rPr>
        <w:t xml:space="preserve"> and Drug use</w:t>
      </w:r>
      <w:r>
        <w:rPr>
          <w:b/>
          <w:color w:val="169492"/>
          <w:sz w:val="32"/>
          <w:szCs w:val="32"/>
        </w:rPr>
        <w:t xml:space="preserve"> and </w:t>
      </w:r>
      <w:r w:rsidR="009540BC">
        <w:rPr>
          <w:b/>
          <w:color w:val="169492"/>
          <w:sz w:val="32"/>
          <w:szCs w:val="32"/>
        </w:rPr>
        <w:t>its wider effects on health</w:t>
      </w:r>
    </w:p>
    <w:p w14:paraId="63EC4495" w14:textId="77777777" w:rsidR="00877F2A" w:rsidRDefault="000E3C46" w:rsidP="000E3C46">
      <w:pPr>
        <w:pStyle w:val="BodyText"/>
        <w:spacing w:before="6"/>
        <w:ind w:left="567"/>
        <w:rPr>
          <w:sz w:val="24"/>
          <w:szCs w:val="24"/>
        </w:rPr>
      </w:pPr>
      <w:r w:rsidRPr="000E3C46">
        <w:rPr>
          <w:sz w:val="24"/>
          <w:szCs w:val="24"/>
        </w:rPr>
        <w:t xml:space="preserve">It’s </w:t>
      </w:r>
      <w:r>
        <w:rPr>
          <w:sz w:val="24"/>
          <w:szCs w:val="24"/>
        </w:rPr>
        <w:t xml:space="preserve">common for people living with mental health concerns to increase their consumption of alcohol, or smoke more.  Evidence suggests that about half of people who are dependent on drugs also have a mental health condition.  </w:t>
      </w:r>
      <w:r w:rsidR="009540BC">
        <w:rPr>
          <w:sz w:val="24"/>
          <w:szCs w:val="24"/>
        </w:rPr>
        <w:t xml:space="preserve">The relationship between poor mental health and the use of drugs, alcohol or tobacco is complex.  The two issues can </w:t>
      </w:r>
      <w:proofErr w:type="gramStart"/>
      <w:r w:rsidR="009540BC">
        <w:rPr>
          <w:sz w:val="24"/>
          <w:szCs w:val="24"/>
        </w:rPr>
        <w:t>effect</w:t>
      </w:r>
      <w:proofErr w:type="gramEnd"/>
      <w:r w:rsidR="009540BC">
        <w:rPr>
          <w:sz w:val="24"/>
          <w:szCs w:val="24"/>
        </w:rPr>
        <w:t xml:space="preserve"> each other or co-exist independently.   It is important to consider mental health when planning to address alcohol, drugs and smoking in the workplace.  You can refer to our Guide; A mentally healthy workplace: An Employers’ Guide for further information.</w:t>
      </w:r>
    </w:p>
    <w:p w14:paraId="63EC4496" w14:textId="77777777" w:rsidR="009540BC" w:rsidRDefault="009540BC" w:rsidP="000E3C46">
      <w:pPr>
        <w:pStyle w:val="BodyText"/>
        <w:spacing w:before="6"/>
        <w:ind w:left="567"/>
        <w:rPr>
          <w:sz w:val="24"/>
          <w:szCs w:val="24"/>
        </w:rPr>
      </w:pPr>
    </w:p>
    <w:p w14:paraId="63EC4497" w14:textId="77777777" w:rsidR="00935FB3" w:rsidRDefault="00935FB3">
      <w:pPr>
        <w:spacing w:after="160" w:line="259" w:lineRule="auto"/>
        <w:rPr>
          <w:rFonts w:asciiTheme="majorHAnsi" w:eastAsiaTheme="majorEastAsia" w:hAnsiTheme="majorHAnsi" w:cstheme="majorBidi"/>
          <w:b/>
          <w:color w:val="169492"/>
          <w:sz w:val="32"/>
          <w:szCs w:val="32"/>
        </w:rPr>
      </w:pPr>
      <w:r>
        <w:rPr>
          <w:b/>
          <w:color w:val="169492"/>
          <w:sz w:val="32"/>
          <w:szCs w:val="32"/>
        </w:rPr>
        <w:br w:type="page"/>
      </w:r>
    </w:p>
    <w:p w14:paraId="63EC4498" w14:textId="77777777" w:rsidR="00877F2A" w:rsidRPr="0036622B" w:rsidRDefault="0055687C" w:rsidP="008F2EB3">
      <w:pPr>
        <w:pStyle w:val="Heading3"/>
        <w:spacing w:before="98"/>
        <w:ind w:left="567"/>
        <w:rPr>
          <w:b/>
          <w:color w:val="169492"/>
          <w:sz w:val="32"/>
          <w:szCs w:val="32"/>
        </w:rPr>
      </w:pPr>
      <w:r>
        <w:rPr>
          <w:b/>
          <w:color w:val="169492"/>
          <w:sz w:val="32"/>
          <w:szCs w:val="32"/>
        </w:rPr>
        <w:lastRenderedPageBreak/>
        <w:t xml:space="preserve">Alcohol, Drugs </w:t>
      </w:r>
      <w:r w:rsidR="00877F2A">
        <w:rPr>
          <w:b/>
          <w:color w:val="169492"/>
          <w:sz w:val="32"/>
          <w:szCs w:val="32"/>
        </w:rPr>
        <w:t xml:space="preserve">and </w:t>
      </w:r>
      <w:r w:rsidR="00877F2A" w:rsidRPr="0036622B">
        <w:rPr>
          <w:b/>
          <w:color w:val="169492"/>
          <w:sz w:val="32"/>
          <w:szCs w:val="32"/>
        </w:rPr>
        <w:t>Workplace Health and Safety</w:t>
      </w:r>
    </w:p>
    <w:p w14:paraId="63EC4499" w14:textId="77777777" w:rsidR="00C76B97" w:rsidRPr="00290274" w:rsidRDefault="00935FB3" w:rsidP="008F2EB3">
      <w:pPr>
        <w:shd w:val="clear" w:color="auto" w:fill="FFFFFF"/>
        <w:spacing w:before="100" w:beforeAutospacing="1" w:after="168" w:line="240" w:lineRule="auto"/>
        <w:ind w:left="567"/>
        <w:rPr>
          <w:rFonts w:ascii="Arial" w:eastAsia="Arial" w:hAnsi="Arial" w:cs="Arial"/>
          <w:sz w:val="24"/>
          <w:szCs w:val="24"/>
          <w:lang w:eastAsia="en-GB" w:bidi="en-GB"/>
        </w:rPr>
      </w:pPr>
      <w:r w:rsidRPr="00290274">
        <w:rPr>
          <w:rFonts w:ascii="Arial" w:eastAsia="Arial" w:hAnsi="Arial" w:cs="Arial"/>
          <w:sz w:val="24"/>
          <w:szCs w:val="24"/>
          <w:lang w:eastAsia="en-GB" w:bidi="en-GB"/>
        </w:rPr>
        <w:t xml:space="preserve">As mentioned at the start of this guide, employers have a duty of care under the Health and Safety at Work Act 1974 to ensure, as far as is reasonably practicable, the health, </w:t>
      </w:r>
      <w:proofErr w:type="gramStart"/>
      <w:r w:rsidRPr="00290274">
        <w:rPr>
          <w:rFonts w:ascii="Arial" w:eastAsia="Arial" w:hAnsi="Arial" w:cs="Arial"/>
          <w:sz w:val="24"/>
          <w:szCs w:val="24"/>
          <w:lang w:eastAsia="en-GB" w:bidi="en-GB"/>
        </w:rPr>
        <w:t>safety</w:t>
      </w:r>
      <w:proofErr w:type="gramEnd"/>
      <w:r w:rsidRPr="00290274">
        <w:rPr>
          <w:rFonts w:ascii="Arial" w:eastAsia="Arial" w:hAnsi="Arial" w:cs="Arial"/>
          <w:sz w:val="24"/>
          <w:szCs w:val="24"/>
          <w:lang w:eastAsia="en-GB" w:bidi="en-GB"/>
        </w:rPr>
        <w:t xml:space="preserve"> and welf</w:t>
      </w:r>
      <w:r w:rsidR="00C76B97" w:rsidRPr="00290274">
        <w:rPr>
          <w:rFonts w:ascii="Arial" w:eastAsia="Arial" w:hAnsi="Arial" w:cs="Arial"/>
          <w:sz w:val="24"/>
          <w:szCs w:val="24"/>
          <w:lang w:eastAsia="en-GB" w:bidi="en-GB"/>
        </w:rPr>
        <w:t>are at work of their employees. Other legislation to be aware of includes Management of Health and Safety at Work Regulations 1999</w:t>
      </w:r>
      <w:r w:rsidR="00290274" w:rsidRPr="00290274">
        <w:rPr>
          <w:rFonts w:ascii="Arial" w:eastAsia="Arial" w:hAnsi="Arial" w:cs="Arial"/>
          <w:sz w:val="24"/>
          <w:szCs w:val="24"/>
          <w:lang w:eastAsia="en-GB" w:bidi="en-GB"/>
        </w:rPr>
        <w:t xml:space="preserve"> which places a duty of care on the employer to assess risks to the health and safety of employees.  In addition employers should be aware of the Misuse of Drugs Act 1971, which makes it an offence for someone to knowingly permit the production, supply of use of controlled drugs on their premises, unless there are specific circumstances (such as medication supplied by a doctor). </w:t>
      </w:r>
    </w:p>
    <w:p w14:paraId="63EC449A" w14:textId="77777777" w:rsidR="00C76B97" w:rsidRPr="00C76B97" w:rsidRDefault="00290274" w:rsidP="008F2EB3">
      <w:pPr>
        <w:shd w:val="clear" w:color="auto" w:fill="FFFFFF"/>
        <w:spacing w:before="100" w:beforeAutospacing="1" w:after="168" w:line="240" w:lineRule="auto"/>
        <w:ind w:left="567"/>
        <w:rPr>
          <w:rFonts w:ascii="Arial" w:eastAsia="Arial" w:hAnsi="Arial" w:cs="Arial"/>
          <w:sz w:val="24"/>
          <w:szCs w:val="24"/>
          <w:lang w:eastAsia="en-GB" w:bidi="en-GB"/>
        </w:rPr>
      </w:pPr>
      <w:r w:rsidRPr="00290274">
        <w:rPr>
          <w:rFonts w:ascii="Arial" w:eastAsia="Arial" w:hAnsi="Arial" w:cs="Arial"/>
          <w:sz w:val="24"/>
          <w:szCs w:val="24"/>
          <w:lang w:eastAsia="en-GB" w:bidi="en-GB"/>
        </w:rPr>
        <w:t xml:space="preserve">In addition the following law applies to some workplaces, the </w:t>
      </w:r>
      <w:r w:rsidR="00C76B97" w:rsidRPr="00290274">
        <w:rPr>
          <w:rFonts w:ascii="Arial" w:eastAsia="Arial" w:hAnsi="Arial" w:cs="Arial"/>
          <w:sz w:val="24"/>
          <w:szCs w:val="24"/>
          <w:lang w:eastAsia="en-GB" w:bidi="en-GB"/>
        </w:rPr>
        <w:t>Road Traffic Act 1988</w:t>
      </w:r>
      <w:r w:rsidR="00C76B97" w:rsidRPr="00C76B97">
        <w:rPr>
          <w:rFonts w:ascii="Arial" w:eastAsia="Arial" w:hAnsi="Arial" w:cs="Arial"/>
          <w:sz w:val="24"/>
          <w:szCs w:val="24"/>
          <w:lang w:eastAsia="en-GB" w:bidi="en-GB"/>
        </w:rPr>
        <w:t> - states that any person who, when driving or attempting to drive a motor vehicle on a road or other public place, is unfit to drive through drink or drug</w:t>
      </w:r>
      <w:r w:rsidRPr="00290274">
        <w:rPr>
          <w:rFonts w:ascii="Arial" w:eastAsia="Arial" w:hAnsi="Arial" w:cs="Arial"/>
          <w:sz w:val="24"/>
          <w:szCs w:val="24"/>
          <w:lang w:eastAsia="en-GB" w:bidi="en-GB"/>
        </w:rPr>
        <w:t xml:space="preserve">s shall be guilty of an offence and the </w:t>
      </w:r>
      <w:r w:rsidR="00C76B97" w:rsidRPr="00290274">
        <w:rPr>
          <w:rFonts w:ascii="Arial" w:eastAsia="Arial" w:hAnsi="Arial" w:cs="Arial"/>
          <w:sz w:val="24"/>
          <w:szCs w:val="24"/>
          <w:lang w:eastAsia="en-GB" w:bidi="en-GB"/>
        </w:rPr>
        <w:t>Transport and Works Act 1992</w:t>
      </w:r>
      <w:r w:rsidR="00C76B97" w:rsidRPr="00C76B97">
        <w:rPr>
          <w:rFonts w:ascii="Arial" w:eastAsia="Arial" w:hAnsi="Arial" w:cs="Arial"/>
          <w:sz w:val="24"/>
          <w:szCs w:val="24"/>
          <w:lang w:eastAsia="en-GB" w:bidi="en-GB"/>
        </w:rPr>
        <w:t> - makes it a criminal offence for certain workers to</w:t>
      </w:r>
      <w:r w:rsidRPr="00290274">
        <w:rPr>
          <w:rFonts w:ascii="Arial" w:eastAsia="Arial" w:hAnsi="Arial" w:cs="Arial"/>
          <w:sz w:val="24"/>
          <w:szCs w:val="24"/>
          <w:lang w:eastAsia="en-GB" w:bidi="en-GB"/>
        </w:rPr>
        <w:t xml:space="preserve"> be unfit through drugs and/or alcohol consumption. </w:t>
      </w:r>
    </w:p>
    <w:p w14:paraId="63EC449B" w14:textId="77777777" w:rsidR="00877F2A" w:rsidRDefault="00935FB3" w:rsidP="008F2EB3">
      <w:pPr>
        <w:pStyle w:val="BodyText"/>
        <w:spacing w:before="6"/>
        <w:ind w:left="567"/>
        <w:rPr>
          <w:sz w:val="24"/>
          <w:szCs w:val="24"/>
        </w:rPr>
      </w:pPr>
      <w:r>
        <w:rPr>
          <w:sz w:val="24"/>
          <w:szCs w:val="24"/>
        </w:rPr>
        <w:t xml:space="preserve">A clear alcohol and drugs policy will assist in ensuring relevant health and safety laws are adhered to and that any problems are dealt with effectively and in a consistent manner.  </w:t>
      </w:r>
      <w:r w:rsidR="00C76B97">
        <w:rPr>
          <w:sz w:val="24"/>
          <w:szCs w:val="24"/>
        </w:rPr>
        <w:t>The policy should support staff to seek help in these areas should they need it.</w:t>
      </w:r>
    </w:p>
    <w:p w14:paraId="63EC449C" w14:textId="77777777" w:rsidR="00935FB3" w:rsidRDefault="00935FB3" w:rsidP="008F2EB3">
      <w:pPr>
        <w:pStyle w:val="BodyText"/>
        <w:spacing w:before="6"/>
        <w:ind w:left="774"/>
        <w:rPr>
          <w:sz w:val="24"/>
          <w:szCs w:val="24"/>
        </w:rPr>
      </w:pPr>
    </w:p>
    <w:p w14:paraId="63EC449D" w14:textId="77777777" w:rsidR="00935FB3" w:rsidRDefault="00935FB3" w:rsidP="008F2EB3">
      <w:pPr>
        <w:pStyle w:val="BodyText"/>
        <w:spacing w:before="6"/>
        <w:ind w:left="567"/>
        <w:rPr>
          <w:sz w:val="24"/>
          <w:szCs w:val="24"/>
        </w:rPr>
      </w:pPr>
      <w:r>
        <w:rPr>
          <w:sz w:val="24"/>
          <w:szCs w:val="24"/>
        </w:rPr>
        <w:t xml:space="preserve">Please visit the </w:t>
      </w:r>
      <w:hyperlink r:id="rId13" w:history="1">
        <w:r w:rsidRPr="00935FB3">
          <w:rPr>
            <w:rStyle w:val="Hyperlink"/>
            <w:sz w:val="24"/>
            <w:szCs w:val="24"/>
          </w:rPr>
          <w:t>Health and Safety Executive website</w:t>
        </w:r>
      </w:hyperlink>
      <w:r>
        <w:rPr>
          <w:sz w:val="24"/>
          <w:szCs w:val="24"/>
        </w:rPr>
        <w:t xml:space="preserve"> for more information on Alcohol, Drugs and Health and Safety law.  If you need a template policy please contact us or visit </w:t>
      </w:r>
      <w:hyperlink r:id="rId14" w:history="1">
        <w:r w:rsidR="00C76B97" w:rsidRPr="00C76B97">
          <w:rPr>
            <w:rStyle w:val="Hyperlink"/>
            <w:sz w:val="24"/>
            <w:szCs w:val="24"/>
          </w:rPr>
          <w:t>ACAS.</w:t>
        </w:r>
      </w:hyperlink>
    </w:p>
    <w:p w14:paraId="63EC449E" w14:textId="77777777" w:rsidR="00877F2A" w:rsidRDefault="00877F2A" w:rsidP="008F2EB3">
      <w:pPr>
        <w:pStyle w:val="BodyText"/>
        <w:spacing w:before="1" w:line="249" w:lineRule="auto"/>
        <w:ind w:left="491" w:right="551"/>
        <w:rPr>
          <w:sz w:val="24"/>
          <w:szCs w:val="24"/>
        </w:rPr>
      </w:pPr>
    </w:p>
    <w:p w14:paraId="63EC449F" w14:textId="77777777" w:rsidR="00290274" w:rsidRDefault="00290274" w:rsidP="008F2EB3">
      <w:pPr>
        <w:pStyle w:val="BodyText"/>
        <w:spacing w:before="1" w:line="249" w:lineRule="auto"/>
        <w:ind w:left="491" w:right="551"/>
        <w:rPr>
          <w:rFonts w:asciiTheme="majorHAnsi" w:eastAsiaTheme="majorEastAsia" w:hAnsiTheme="majorHAnsi" w:cstheme="majorBidi"/>
          <w:b/>
          <w:color w:val="169492"/>
          <w:sz w:val="32"/>
          <w:szCs w:val="32"/>
          <w:lang w:eastAsia="en-US" w:bidi="ar-SA"/>
        </w:rPr>
      </w:pPr>
      <w:r w:rsidRPr="00290274">
        <w:rPr>
          <w:rFonts w:asciiTheme="majorHAnsi" w:eastAsiaTheme="majorEastAsia" w:hAnsiTheme="majorHAnsi" w:cstheme="majorBidi"/>
          <w:b/>
          <w:color w:val="169492"/>
          <w:sz w:val="32"/>
          <w:szCs w:val="32"/>
          <w:lang w:eastAsia="en-US" w:bidi="ar-SA"/>
        </w:rPr>
        <w:t>Alcohol Units and Lower Risk Guidelines</w:t>
      </w:r>
    </w:p>
    <w:p w14:paraId="63EC44A0" w14:textId="77777777" w:rsidR="00290274" w:rsidRDefault="00290274" w:rsidP="008F2EB3">
      <w:pPr>
        <w:pStyle w:val="BodyText"/>
        <w:spacing w:before="1" w:line="249" w:lineRule="auto"/>
        <w:ind w:left="491" w:right="551"/>
        <w:rPr>
          <w:sz w:val="24"/>
          <w:szCs w:val="24"/>
        </w:rPr>
      </w:pPr>
      <w:r w:rsidRPr="00290274">
        <w:rPr>
          <w:sz w:val="24"/>
          <w:szCs w:val="24"/>
        </w:rPr>
        <w:t xml:space="preserve">Over </w:t>
      </w:r>
      <w:r>
        <w:rPr>
          <w:sz w:val="24"/>
          <w:szCs w:val="24"/>
        </w:rPr>
        <w:t xml:space="preserve">10 million people in England are drinking alcohol above the Chief Medical Officer’s lower risk guidelines. </w:t>
      </w:r>
      <w:r w:rsidR="009E154A">
        <w:rPr>
          <w:sz w:val="24"/>
          <w:szCs w:val="24"/>
        </w:rPr>
        <w:t xml:space="preserve">To keep health risks from alcohol low it is recommended not to drink more than 14 units of alcohol a week on a regular basis.  You should also aim to have two </w:t>
      </w:r>
      <w:proofErr w:type="spellStart"/>
      <w:r w:rsidR="009E154A">
        <w:rPr>
          <w:sz w:val="24"/>
          <w:szCs w:val="24"/>
        </w:rPr>
        <w:t>alocohol</w:t>
      </w:r>
      <w:proofErr w:type="spellEnd"/>
      <w:r w:rsidR="009E154A">
        <w:rPr>
          <w:sz w:val="24"/>
          <w:szCs w:val="24"/>
        </w:rPr>
        <w:t xml:space="preserve"> free days each week.</w:t>
      </w:r>
    </w:p>
    <w:p w14:paraId="63EC44A1" w14:textId="77777777" w:rsidR="009E154A" w:rsidRDefault="009E154A" w:rsidP="008F2EB3">
      <w:pPr>
        <w:pStyle w:val="BodyText"/>
        <w:spacing w:before="1" w:line="249" w:lineRule="auto"/>
        <w:ind w:left="491" w:right="551"/>
        <w:rPr>
          <w:sz w:val="24"/>
          <w:szCs w:val="24"/>
        </w:rPr>
      </w:pPr>
    </w:p>
    <w:p w14:paraId="63EC44A2" w14:textId="77777777" w:rsidR="009E154A" w:rsidRDefault="009E154A" w:rsidP="008F2EB3">
      <w:pPr>
        <w:pStyle w:val="BodyText"/>
        <w:spacing w:before="1" w:line="249" w:lineRule="auto"/>
        <w:ind w:left="491" w:right="551"/>
        <w:rPr>
          <w:sz w:val="24"/>
          <w:szCs w:val="24"/>
        </w:rPr>
      </w:pPr>
      <w:r>
        <w:rPr>
          <w:sz w:val="24"/>
          <w:szCs w:val="24"/>
        </w:rPr>
        <w:t>A unit of alcohol is 10ml of pure alcohol by volume.  This might seem complicated to work out for a measure of drink, that is for example 20% alcohol by volume.  One unit of alcohol is equivalent to 1 small glass of wine, a single measure of spirits or half a pint of beer, lager or cider which is 3.5%ABV.  To calculate the units in a drink, use the following formula:</w:t>
      </w:r>
    </w:p>
    <w:p w14:paraId="63EC44A3" w14:textId="77777777" w:rsidR="009E154A" w:rsidRDefault="009E154A" w:rsidP="008F2EB3">
      <w:pPr>
        <w:pStyle w:val="BodyText"/>
        <w:spacing w:before="1" w:line="249" w:lineRule="auto"/>
        <w:ind w:left="491" w:right="551"/>
        <w:rPr>
          <w:sz w:val="24"/>
          <w:szCs w:val="24"/>
        </w:rPr>
      </w:pPr>
    </w:p>
    <w:p w14:paraId="63EC44A4" w14:textId="77777777" w:rsidR="009E154A" w:rsidRDefault="009E154A" w:rsidP="008F2EB3">
      <w:pPr>
        <w:pStyle w:val="BodyText"/>
        <w:spacing w:before="1" w:line="249" w:lineRule="auto"/>
        <w:ind w:left="491" w:right="551"/>
        <w:rPr>
          <w:sz w:val="24"/>
          <w:szCs w:val="24"/>
        </w:rPr>
      </w:pPr>
      <w:r>
        <w:rPr>
          <w:sz w:val="24"/>
          <w:szCs w:val="24"/>
        </w:rPr>
        <w:t>Strength (ABV%) x Volume (ml) ÷ 1000 units.</w:t>
      </w:r>
    </w:p>
    <w:p w14:paraId="63EC44A5" w14:textId="77777777" w:rsidR="009E154A" w:rsidRDefault="009E154A" w:rsidP="008F2EB3">
      <w:pPr>
        <w:pStyle w:val="BodyText"/>
        <w:spacing w:before="1" w:line="249" w:lineRule="auto"/>
        <w:ind w:left="491" w:right="551"/>
        <w:rPr>
          <w:sz w:val="24"/>
          <w:szCs w:val="24"/>
        </w:rPr>
      </w:pPr>
    </w:p>
    <w:p w14:paraId="63EC44A6" w14:textId="77777777" w:rsidR="009E154A" w:rsidRDefault="009E154A" w:rsidP="008F2EB3">
      <w:pPr>
        <w:pStyle w:val="BodyText"/>
        <w:spacing w:before="1" w:line="249" w:lineRule="auto"/>
        <w:ind w:left="491" w:right="551"/>
        <w:rPr>
          <w:sz w:val="24"/>
          <w:szCs w:val="24"/>
        </w:rPr>
      </w:pPr>
      <w:r>
        <w:rPr>
          <w:sz w:val="24"/>
          <w:szCs w:val="24"/>
        </w:rPr>
        <w:t>For example, a pint of beer, which is 4.9% would be 4.9 x 568 ÷ 1000 = 2.8 units</w:t>
      </w:r>
    </w:p>
    <w:p w14:paraId="63EC44A7" w14:textId="77777777" w:rsidR="009E154A" w:rsidRDefault="009E154A" w:rsidP="008F2EB3">
      <w:pPr>
        <w:pStyle w:val="BodyText"/>
        <w:spacing w:before="1" w:line="249" w:lineRule="auto"/>
        <w:ind w:left="491" w:right="551"/>
        <w:rPr>
          <w:rFonts w:asciiTheme="majorHAnsi" w:eastAsiaTheme="majorEastAsia" w:hAnsiTheme="majorHAnsi" w:cstheme="majorBidi"/>
          <w:b/>
          <w:color w:val="169492"/>
          <w:sz w:val="32"/>
          <w:szCs w:val="32"/>
          <w:lang w:eastAsia="en-US" w:bidi="ar-SA"/>
        </w:rPr>
      </w:pPr>
      <w:r>
        <w:rPr>
          <w:sz w:val="24"/>
          <w:szCs w:val="24"/>
        </w:rPr>
        <w:br/>
      </w:r>
    </w:p>
    <w:p w14:paraId="63EC44A8" w14:textId="77777777" w:rsidR="009E154A" w:rsidRDefault="009E154A">
      <w:pPr>
        <w:spacing w:after="160" w:line="259" w:lineRule="auto"/>
        <w:rPr>
          <w:rFonts w:asciiTheme="majorHAnsi" w:eastAsiaTheme="majorEastAsia" w:hAnsiTheme="majorHAnsi" w:cstheme="majorBidi"/>
          <w:b/>
          <w:color w:val="169492"/>
          <w:sz w:val="32"/>
          <w:szCs w:val="32"/>
        </w:rPr>
      </w:pPr>
      <w:r>
        <w:rPr>
          <w:rFonts w:asciiTheme="majorHAnsi" w:eastAsiaTheme="majorEastAsia" w:hAnsiTheme="majorHAnsi" w:cstheme="majorBidi"/>
          <w:b/>
          <w:color w:val="169492"/>
          <w:sz w:val="32"/>
          <w:szCs w:val="32"/>
        </w:rPr>
        <w:br w:type="page"/>
      </w:r>
    </w:p>
    <w:p w14:paraId="63EC44A9" w14:textId="77777777" w:rsidR="00877F2A" w:rsidRPr="0036622B" w:rsidRDefault="00877F2A" w:rsidP="008F2EB3">
      <w:pPr>
        <w:pStyle w:val="BodyText"/>
        <w:spacing w:before="1" w:line="249" w:lineRule="auto"/>
        <w:ind w:left="491" w:right="551"/>
        <w:rPr>
          <w:b/>
          <w:color w:val="169492"/>
          <w:sz w:val="32"/>
          <w:szCs w:val="32"/>
        </w:rPr>
      </w:pPr>
      <w:r w:rsidRPr="009E154A">
        <w:rPr>
          <w:rFonts w:asciiTheme="majorHAnsi" w:eastAsiaTheme="majorEastAsia" w:hAnsiTheme="majorHAnsi" w:cstheme="majorBidi"/>
          <w:b/>
          <w:color w:val="169492"/>
          <w:sz w:val="32"/>
          <w:szCs w:val="32"/>
          <w:lang w:eastAsia="en-US" w:bidi="ar-SA"/>
        </w:rPr>
        <w:lastRenderedPageBreak/>
        <w:t>What employers can do to help</w:t>
      </w:r>
    </w:p>
    <w:p w14:paraId="63EC44AA" w14:textId="77777777" w:rsidR="00877F2A" w:rsidRDefault="00877F2A" w:rsidP="00877F2A">
      <w:pPr>
        <w:pStyle w:val="BodyText"/>
        <w:spacing w:before="7"/>
        <w:ind w:left="284"/>
        <w:rPr>
          <w:rFonts w:ascii="AdLib"/>
          <w:sz w:val="12"/>
        </w:rPr>
      </w:pPr>
    </w:p>
    <w:p w14:paraId="63EC44AB" w14:textId="77777777" w:rsidR="00877F2A" w:rsidRDefault="00877F2A" w:rsidP="008F2EB3">
      <w:pPr>
        <w:pStyle w:val="BodyText"/>
        <w:spacing w:before="6"/>
        <w:ind w:left="491"/>
        <w:rPr>
          <w:sz w:val="24"/>
          <w:szCs w:val="24"/>
        </w:rPr>
      </w:pPr>
      <w:r w:rsidRPr="00377EAB">
        <w:rPr>
          <w:sz w:val="24"/>
          <w:szCs w:val="24"/>
        </w:rPr>
        <w:t xml:space="preserve">There are several things that employers can do to support their staff. Here are some suggestions based on latest Health and Wellbeing research and best practice. This guide has focused particularly on </w:t>
      </w:r>
      <w:r w:rsidR="008F2EB3">
        <w:rPr>
          <w:sz w:val="24"/>
          <w:szCs w:val="24"/>
        </w:rPr>
        <w:t xml:space="preserve">alcohol and substance misuse, </w:t>
      </w:r>
      <w:r w:rsidRPr="00377EAB">
        <w:rPr>
          <w:sz w:val="24"/>
          <w:szCs w:val="24"/>
        </w:rPr>
        <w:t>although many of these initiatives will support and promote better health and wellbeing in general.</w:t>
      </w:r>
    </w:p>
    <w:p w14:paraId="63EC44AC" w14:textId="77777777" w:rsidR="006200F7" w:rsidRPr="00377EAB" w:rsidRDefault="006200F7" w:rsidP="009E154A">
      <w:pPr>
        <w:pStyle w:val="BodyText"/>
        <w:spacing w:before="6"/>
        <w:ind w:left="284"/>
        <w:rPr>
          <w:sz w:val="24"/>
          <w:szCs w:val="24"/>
        </w:rPr>
      </w:pPr>
    </w:p>
    <w:p w14:paraId="63EC44AD" w14:textId="77777777" w:rsidR="00C76B97" w:rsidRDefault="00877F2A" w:rsidP="00C76B97">
      <w:pPr>
        <w:pStyle w:val="BodyText"/>
        <w:numPr>
          <w:ilvl w:val="0"/>
          <w:numId w:val="1"/>
        </w:numPr>
        <w:spacing w:before="94" w:line="324" w:lineRule="auto"/>
        <w:ind w:right="677"/>
        <w:jc w:val="both"/>
        <w:rPr>
          <w:color w:val="008080"/>
          <w:sz w:val="24"/>
        </w:rPr>
      </w:pPr>
      <w:r w:rsidRPr="00377EAB">
        <w:rPr>
          <w:color w:val="008080"/>
          <w:sz w:val="24"/>
        </w:rPr>
        <w:t>Open communication with staff will encourage them to come forward and report concerns regarding their own health and wellbeing, as well as health and safety within the organisation. Consult with staff when changes are being made in the workplace, and if you have a workplace union involve them in discussions</w:t>
      </w:r>
      <w:r w:rsidRPr="00377EAB">
        <w:rPr>
          <w:color w:val="008080"/>
          <w:spacing w:val="-18"/>
          <w:sz w:val="24"/>
        </w:rPr>
        <w:t xml:space="preserve"> </w:t>
      </w:r>
      <w:r w:rsidRPr="00377EAB">
        <w:rPr>
          <w:color w:val="008080"/>
          <w:sz w:val="24"/>
        </w:rPr>
        <w:t>too.</w:t>
      </w:r>
    </w:p>
    <w:p w14:paraId="63EC44AE" w14:textId="77777777" w:rsidR="00C76B97" w:rsidRDefault="00877F2A" w:rsidP="00C76B97">
      <w:pPr>
        <w:pStyle w:val="BodyText"/>
        <w:numPr>
          <w:ilvl w:val="0"/>
          <w:numId w:val="1"/>
        </w:numPr>
        <w:spacing w:before="94" w:line="324" w:lineRule="auto"/>
        <w:ind w:right="677"/>
        <w:jc w:val="both"/>
        <w:rPr>
          <w:color w:val="008080"/>
          <w:sz w:val="24"/>
        </w:rPr>
      </w:pPr>
      <w:r w:rsidRPr="00C76B97">
        <w:rPr>
          <w:color w:val="008080"/>
          <w:sz w:val="24"/>
        </w:rPr>
        <w:t>Ensure senior management are on board with health and wellbeing initiatives. Having senior managers speak out about their own experience can encourage staff to speak</w:t>
      </w:r>
      <w:r w:rsidRPr="00C76B97">
        <w:rPr>
          <w:color w:val="008080"/>
          <w:spacing w:val="-5"/>
          <w:sz w:val="24"/>
        </w:rPr>
        <w:t xml:space="preserve"> </w:t>
      </w:r>
      <w:r w:rsidRPr="00C76B97">
        <w:rPr>
          <w:color w:val="008080"/>
          <w:sz w:val="24"/>
        </w:rPr>
        <w:t>up.</w:t>
      </w:r>
    </w:p>
    <w:p w14:paraId="63EC44AF" w14:textId="77777777" w:rsidR="00C76B97" w:rsidRDefault="00877F2A" w:rsidP="00C76B97">
      <w:pPr>
        <w:pStyle w:val="BodyText"/>
        <w:numPr>
          <w:ilvl w:val="0"/>
          <w:numId w:val="1"/>
        </w:numPr>
        <w:spacing w:before="94" w:line="324" w:lineRule="auto"/>
        <w:ind w:right="677"/>
        <w:jc w:val="both"/>
        <w:rPr>
          <w:color w:val="008080"/>
          <w:sz w:val="24"/>
        </w:rPr>
      </w:pPr>
      <w:r w:rsidRPr="00C76B97">
        <w:rPr>
          <w:color w:val="008080"/>
          <w:sz w:val="24"/>
        </w:rPr>
        <w:t>Use a staff noticeboard, either in a staff room or on the company drives to promote good health messages and signpost staff to sources of</w:t>
      </w:r>
      <w:r w:rsidRPr="00C76B97">
        <w:rPr>
          <w:color w:val="008080"/>
          <w:spacing w:val="-2"/>
          <w:sz w:val="24"/>
        </w:rPr>
        <w:t xml:space="preserve"> </w:t>
      </w:r>
      <w:r w:rsidRPr="00C76B97">
        <w:rPr>
          <w:color w:val="008080"/>
          <w:sz w:val="24"/>
        </w:rPr>
        <w:t>support.</w:t>
      </w:r>
    </w:p>
    <w:p w14:paraId="63EC44B0" w14:textId="77777777" w:rsidR="006200F7" w:rsidRDefault="006200F7" w:rsidP="006200F7">
      <w:pPr>
        <w:pStyle w:val="BodyText"/>
        <w:numPr>
          <w:ilvl w:val="0"/>
          <w:numId w:val="1"/>
        </w:numPr>
        <w:spacing w:before="94" w:line="324" w:lineRule="auto"/>
        <w:ind w:right="677"/>
        <w:jc w:val="both"/>
        <w:rPr>
          <w:color w:val="008080"/>
          <w:sz w:val="24"/>
        </w:rPr>
      </w:pPr>
      <w:r w:rsidRPr="00C76B97">
        <w:rPr>
          <w:color w:val="008080"/>
          <w:sz w:val="24"/>
        </w:rPr>
        <w:t>Carry out return to work interviews to ensure staff are supported when returning to the workplace after</w:t>
      </w:r>
      <w:r w:rsidRPr="00C76B97">
        <w:rPr>
          <w:color w:val="008080"/>
          <w:spacing w:val="-32"/>
          <w:sz w:val="24"/>
        </w:rPr>
        <w:t xml:space="preserve"> </w:t>
      </w:r>
      <w:r w:rsidR="008F2EB3">
        <w:rPr>
          <w:color w:val="008080"/>
          <w:sz w:val="24"/>
        </w:rPr>
        <w:t>absence and if onward referrals are needed for treatment or support services these can be made at the earliest opportunity.</w:t>
      </w:r>
    </w:p>
    <w:p w14:paraId="63EC44B1" w14:textId="77777777" w:rsidR="006200F7" w:rsidRDefault="006200F7" w:rsidP="006200F7">
      <w:pPr>
        <w:pStyle w:val="BodyText"/>
        <w:numPr>
          <w:ilvl w:val="0"/>
          <w:numId w:val="1"/>
        </w:numPr>
        <w:spacing w:before="94" w:line="324" w:lineRule="auto"/>
        <w:ind w:right="677"/>
        <w:jc w:val="both"/>
        <w:rPr>
          <w:color w:val="008080"/>
          <w:sz w:val="24"/>
        </w:rPr>
      </w:pPr>
      <w:r w:rsidRPr="00C76B97">
        <w:rPr>
          <w:color w:val="008080"/>
          <w:sz w:val="24"/>
        </w:rPr>
        <w:t xml:space="preserve">Promote and participate in alcohol free and sensible drinking campaigns such as Dry January and Alcohol Awareness Week. </w:t>
      </w:r>
    </w:p>
    <w:p w14:paraId="63EC44B2" w14:textId="77777777" w:rsidR="006200F7" w:rsidRDefault="006200F7" w:rsidP="006200F7">
      <w:pPr>
        <w:pStyle w:val="BodyText"/>
        <w:numPr>
          <w:ilvl w:val="0"/>
          <w:numId w:val="1"/>
        </w:numPr>
        <w:spacing w:before="94" w:line="324" w:lineRule="auto"/>
        <w:ind w:right="677"/>
        <w:jc w:val="both"/>
        <w:rPr>
          <w:color w:val="008080"/>
          <w:sz w:val="24"/>
        </w:rPr>
      </w:pPr>
      <w:r>
        <w:rPr>
          <w:color w:val="008080"/>
          <w:sz w:val="24"/>
        </w:rPr>
        <w:t xml:space="preserve">Promote </w:t>
      </w:r>
      <w:hyperlink r:id="rId15" w:history="1">
        <w:r w:rsidRPr="00D96577">
          <w:rPr>
            <w:rStyle w:val="Hyperlink"/>
            <w:sz w:val="24"/>
          </w:rPr>
          <w:t>NHS One You apps</w:t>
        </w:r>
      </w:hyperlink>
      <w:r>
        <w:rPr>
          <w:color w:val="008080"/>
          <w:sz w:val="24"/>
        </w:rPr>
        <w:t xml:space="preserve"> to encourage sensible drinking and healthy lifestyles. </w:t>
      </w:r>
    </w:p>
    <w:p w14:paraId="63EC44B3" w14:textId="77777777" w:rsidR="006200F7" w:rsidRDefault="006200F7" w:rsidP="006200F7">
      <w:pPr>
        <w:pStyle w:val="BodyText"/>
        <w:numPr>
          <w:ilvl w:val="0"/>
          <w:numId w:val="1"/>
        </w:numPr>
        <w:spacing w:before="94" w:line="324" w:lineRule="auto"/>
        <w:ind w:right="677"/>
        <w:jc w:val="both"/>
        <w:rPr>
          <w:color w:val="008080"/>
          <w:sz w:val="24"/>
        </w:rPr>
      </w:pPr>
      <w:r w:rsidRPr="00C76B97">
        <w:rPr>
          <w:color w:val="008080"/>
          <w:sz w:val="24"/>
        </w:rPr>
        <w:t>Train managers in how to spot the signs of potential drug or alcohol misuse.  This will boost their confidence in signposting staff to sources of support.</w:t>
      </w:r>
      <w:r>
        <w:rPr>
          <w:color w:val="008080"/>
          <w:sz w:val="24"/>
        </w:rPr>
        <w:t xml:space="preserve">  </w:t>
      </w:r>
    </w:p>
    <w:p w14:paraId="63EC44B4" w14:textId="77777777" w:rsidR="006200F7" w:rsidRDefault="006200F7" w:rsidP="006200F7">
      <w:pPr>
        <w:pStyle w:val="BodyText"/>
        <w:numPr>
          <w:ilvl w:val="0"/>
          <w:numId w:val="1"/>
        </w:numPr>
        <w:spacing w:before="94" w:line="324" w:lineRule="auto"/>
        <w:ind w:right="677"/>
        <w:jc w:val="both"/>
        <w:rPr>
          <w:color w:val="008080"/>
          <w:sz w:val="24"/>
        </w:rPr>
      </w:pPr>
      <w:r w:rsidRPr="00C76B97">
        <w:rPr>
          <w:color w:val="008080"/>
          <w:sz w:val="24"/>
        </w:rPr>
        <w:t>Ensure your drugs and alcohol policy is up to date and includes sources of support available to staff.</w:t>
      </w:r>
      <w:r>
        <w:rPr>
          <w:color w:val="008080"/>
          <w:sz w:val="24"/>
        </w:rPr>
        <w:t xml:space="preserve">  Make sure the rules for drinking at work (including any business functions) are clear and consistent. </w:t>
      </w:r>
    </w:p>
    <w:p w14:paraId="63EC44B5" w14:textId="77777777" w:rsidR="006200F7" w:rsidRDefault="006200F7" w:rsidP="006200F7">
      <w:pPr>
        <w:pStyle w:val="BodyText"/>
        <w:numPr>
          <w:ilvl w:val="0"/>
          <w:numId w:val="1"/>
        </w:numPr>
        <w:spacing w:before="94" w:line="324" w:lineRule="auto"/>
        <w:ind w:right="677"/>
        <w:jc w:val="both"/>
        <w:rPr>
          <w:color w:val="008080"/>
          <w:sz w:val="24"/>
        </w:rPr>
      </w:pPr>
      <w:r>
        <w:rPr>
          <w:color w:val="008080"/>
          <w:sz w:val="24"/>
        </w:rPr>
        <w:t>Avoid promoting drinking at work socials and make non-alcoholic options available.</w:t>
      </w:r>
    </w:p>
    <w:p w14:paraId="63EC44B6" w14:textId="77777777" w:rsidR="006200F7" w:rsidRDefault="006200F7" w:rsidP="006200F7">
      <w:pPr>
        <w:pStyle w:val="BodyText"/>
        <w:numPr>
          <w:ilvl w:val="0"/>
          <w:numId w:val="1"/>
        </w:numPr>
        <w:spacing w:before="94" w:line="324" w:lineRule="auto"/>
        <w:ind w:right="677"/>
        <w:jc w:val="both"/>
        <w:rPr>
          <w:color w:val="008080"/>
          <w:sz w:val="24"/>
        </w:rPr>
      </w:pPr>
      <w:r w:rsidRPr="00C76B97">
        <w:rPr>
          <w:color w:val="008080"/>
          <w:sz w:val="24"/>
        </w:rPr>
        <w:t>Ensure your absence management policy allows time for staff to attend appointments if their require treatment for alcohol or drug misuse, or counselling as you would with other medical appointments.</w:t>
      </w:r>
    </w:p>
    <w:p w14:paraId="63EC44B7" w14:textId="77777777" w:rsidR="006200F7" w:rsidRDefault="006200F7" w:rsidP="006200F7">
      <w:pPr>
        <w:pStyle w:val="BodyText"/>
        <w:numPr>
          <w:ilvl w:val="0"/>
          <w:numId w:val="1"/>
        </w:numPr>
        <w:spacing w:before="94" w:line="324" w:lineRule="auto"/>
        <w:ind w:right="677"/>
        <w:jc w:val="both"/>
        <w:rPr>
          <w:color w:val="008080"/>
          <w:sz w:val="24"/>
        </w:rPr>
      </w:pPr>
      <w:r>
        <w:rPr>
          <w:color w:val="008080"/>
          <w:sz w:val="24"/>
        </w:rPr>
        <w:t xml:space="preserve">Consider </w:t>
      </w:r>
      <w:proofErr w:type="gramStart"/>
      <w:r>
        <w:rPr>
          <w:color w:val="008080"/>
          <w:sz w:val="24"/>
        </w:rPr>
        <w:t>whether or not</w:t>
      </w:r>
      <w:proofErr w:type="gramEnd"/>
      <w:r>
        <w:rPr>
          <w:color w:val="008080"/>
          <w:sz w:val="24"/>
        </w:rPr>
        <w:t xml:space="preserve"> you need to carry out alcohol or drugs testing.  Testing should always be carried out by a trained professional, and reasons for the testing be explained fully to staff.</w:t>
      </w:r>
    </w:p>
    <w:p w14:paraId="63EC44B8" w14:textId="77777777" w:rsidR="006200F7" w:rsidRDefault="006200F7">
      <w:pPr>
        <w:spacing w:after="160" w:line="259" w:lineRule="auto"/>
        <w:rPr>
          <w:rFonts w:ascii="Arial" w:eastAsia="Arial" w:hAnsi="Arial" w:cs="Arial"/>
          <w:color w:val="008080"/>
          <w:sz w:val="24"/>
          <w:szCs w:val="18"/>
          <w:lang w:eastAsia="en-GB" w:bidi="en-GB"/>
        </w:rPr>
      </w:pPr>
      <w:r>
        <w:rPr>
          <w:color w:val="008080"/>
          <w:sz w:val="24"/>
        </w:rPr>
        <w:br w:type="page"/>
      </w:r>
    </w:p>
    <w:p w14:paraId="63EC44B9" w14:textId="77777777" w:rsidR="00C76B97" w:rsidRDefault="00C76B97" w:rsidP="00C76B97">
      <w:pPr>
        <w:pStyle w:val="BodyText"/>
        <w:numPr>
          <w:ilvl w:val="0"/>
          <w:numId w:val="1"/>
        </w:numPr>
        <w:spacing w:before="94" w:line="324" w:lineRule="auto"/>
        <w:ind w:right="677"/>
        <w:jc w:val="both"/>
        <w:rPr>
          <w:color w:val="008080"/>
          <w:sz w:val="24"/>
        </w:rPr>
      </w:pPr>
      <w:r>
        <w:rPr>
          <w:color w:val="008080"/>
          <w:sz w:val="24"/>
        </w:rPr>
        <w:lastRenderedPageBreak/>
        <w:t xml:space="preserve">Promoting sources of mental health support can encourage staff to seek help rather than turn to alcohol or drugs as a </w:t>
      </w:r>
      <w:proofErr w:type="spellStart"/>
      <w:r>
        <w:rPr>
          <w:color w:val="008080"/>
          <w:sz w:val="24"/>
        </w:rPr>
        <w:t>self coping</w:t>
      </w:r>
      <w:proofErr w:type="spellEnd"/>
      <w:r>
        <w:rPr>
          <w:color w:val="008080"/>
          <w:sz w:val="24"/>
        </w:rPr>
        <w:t xml:space="preserve"> mechanism.</w:t>
      </w:r>
    </w:p>
    <w:p w14:paraId="63EC44BA" w14:textId="77777777" w:rsidR="00B52D66" w:rsidRDefault="00B52D66" w:rsidP="00B52D66">
      <w:pPr>
        <w:pStyle w:val="BodyText"/>
        <w:numPr>
          <w:ilvl w:val="0"/>
          <w:numId w:val="1"/>
        </w:numPr>
        <w:spacing w:before="94" w:line="324" w:lineRule="auto"/>
        <w:ind w:right="677"/>
        <w:jc w:val="both"/>
        <w:rPr>
          <w:color w:val="008080"/>
          <w:sz w:val="24"/>
        </w:rPr>
      </w:pPr>
      <w:r>
        <w:rPr>
          <w:color w:val="008080"/>
          <w:sz w:val="24"/>
        </w:rPr>
        <w:t>Work to prevent bullying and discrimination in the workplace</w:t>
      </w:r>
      <w:r w:rsidR="006200F7">
        <w:rPr>
          <w:color w:val="008080"/>
          <w:sz w:val="24"/>
        </w:rPr>
        <w:t>.</w:t>
      </w:r>
    </w:p>
    <w:p w14:paraId="63EC44BB" w14:textId="77777777" w:rsidR="00B52D66" w:rsidRDefault="00B52D66" w:rsidP="00B52D66">
      <w:pPr>
        <w:pStyle w:val="BodyText"/>
        <w:numPr>
          <w:ilvl w:val="0"/>
          <w:numId w:val="1"/>
        </w:numPr>
        <w:spacing w:before="94" w:line="324" w:lineRule="auto"/>
        <w:ind w:right="677"/>
        <w:jc w:val="both"/>
        <w:rPr>
          <w:color w:val="008080"/>
          <w:sz w:val="24"/>
        </w:rPr>
      </w:pPr>
      <w:r>
        <w:rPr>
          <w:color w:val="008080"/>
          <w:sz w:val="24"/>
        </w:rPr>
        <w:t>Train staff to use equipment properly</w:t>
      </w:r>
      <w:r w:rsidR="006200F7">
        <w:rPr>
          <w:color w:val="008080"/>
          <w:sz w:val="24"/>
        </w:rPr>
        <w:t xml:space="preserve"> and that regular updates are provided.</w:t>
      </w:r>
    </w:p>
    <w:p w14:paraId="63EC44BC" w14:textId="77777777" w:rsidR="00877F2A" w:rsidRPr="0036622B" w:rsidRDefault="00877F2A" w:rsidP="00877F2A">
      <w:pPr>
        <w:pStyle w:val="Heading3"/>
        <w:spacing w:before="98"/>
        <w:ind w:left="284"/>
        <w:rPr>
          <w:b/>
          <w:color w:val="169492"/>
          <w:sz w:val="32"/>
          <w:szCs w:val="32"/>
        </w:rPr>
      </w:pPr>
      <w:r w:rsidRPr="0036622B">
        <w:rPr>
          <w:b/>
          <w:color w:val="169492"/>
          <w:sz w:val="32"/>
          <w:szCs w:val="32"/>
        </w:rPr>
        <w:t>Useful Resources</w:t>
      </w:r>
    </w:p>
    <w:p w14:paraId="63EC44BD" w14:textId="77777777" w:rsidR="00877F2A" w:rsidRDefault="00234B47" w:rsidP="00877F2A">
      <w:pPr>
        <w:pStyle w:val="ListParagraph"/>
        <w:numPr>
          <w:ilvl w:val="0"/>
          <w:numId w:val="2"/>
        </w:numPr>
        <w:tabs>
          <w:tab w:val="left" w:pos="1166"/>
        </w:tabs>
        <w:spacing w:before="72" w:line="218" w:lineRule="exact"/>
        <w:ind w:left="284"/>
        <w:rPr>
          <w:rFonts w:ascii="Symbol"/>
          <w:color w:val="007F7F"/>
          <w:sz w:val="24"/>
          <w:szCs w:val="24"/>
        </w:rPr>
      </w:pPr>
      <w:hyperlink r:id="rId16" w:history="1">
        <w:r w:rsidR="00877F2A" w:rsidRPr="00DD22DB">
          <w:rPr>
            <w:rStyle w:val="Hyperlink"/>
            <w:sz w:val="24"/>
            <w:szCs w:val="24"/>
          </w:rPr>
          <w:t>A Better Medway</w:t>
        </w:r>
      </w:hyperlink>
      <w:r w:rsidR="00877F2A" w:rsidRPr="00377EAB">
        <w:rPr>
          <w:color w:val="007F7F"/>
          <w:sz w:val="24"/>
          <w:szCs w:val="24"/>
        </w:rPr>
        <w:t xml:space="preserve"> - local healt</w:t>
      </w:r>
      <w:r w:rsidR="00877F2A">
        <w:rPr>
          <w:color w:val="007F7F"/>
          <w:sz w:val="24"/>
          <w:szCs w:val="24"/>
        </w:rPr>
        <w:t>h improvement advice and support</w:t>
      </w:r>
    </w:p>
    <w:p w14:paraId="63EC44BE" w14:textId="77777777" w:rsidR="00877F2A" w:rsidRDefault="00234B47" w:rsidP="00877F2A">
      <w:pPr>
        <w:pStyle w:val="ListParagraph"/>
        <w:numPr>
          <w:ilvl w:val="0"/>
          <w:numId w:val="2"/>
        </w:numPr>
        <w:tabs>
          <w:tab w:val="left" w:pos="1166"/>
        </w:tabs>
        <w:spacing w:before="72" w:line="240" w:lineRule="exact"/>
        <w:ind w:left="283" w:hanging="238"/>
        <w:rPr>
          <w:color w:val="007F7F"/>
          <w:sz w:val="24"/>
          <w:szCs w:val="24"/>
        </w:rPr>
      </w:pPr>
      <w:hyperlink r:id="rId17" w:history="1">
        <w:r w:rsidR="00877F2A" w:rsidRPr="000005BE">
          <w:rPr>
            <w:rStyle w:val="Hyperlink"/>
            <w:sz w:val="24"/>
            <w:szCs w:val="24"/>
          </w:rPr>
          <w:t>One You Kent:</w:t>
        </w:r>
      </w:hyperlink>
      <w:r w:rsidR="00877F2A" w:rsidRPr="000005BE">
        <w:rPr>
          <w:sz w:val="24"/>
          <w:szCs w:val="24"/>
        </w:rPr>
        <w:t xml:space="preserve"> </w:t>
      </w:r>
      <w:r w:rsidR="00877F2A" w:rsidRPr="000005BE">
        <w:rPr>
          <w:color w:val="007F7F"/>
          <w:sz w:val="24"/>
          <w:szCs w:val="24"/>
        </w:rPr>
        <w:t>local health improvement advice and information for Kent</w:t>
      </w:r>
    </w:p>
    <w:p w14:paraId="63EC44BF" w14:textId="77777777" w:rsidR="00877F2A" w:rsidRPr="000005BE" w:rsidRDefault="00234B47" w:rsidP="00877F2A">
      <w:pPr>
        <w:pStyle w:val="ListParagraph"/>
        <w:numPr>
          <w:ilvl w:val="0"/>
          <w:numId w:val="2"/>
        </w:numPr>
        <w:tabs>
          <w:tab w:val="left" w:pos="1166"/>
        </w:tabs>
        <w:spacing w:before="72" w:line="240" w:lineRule="exact"/>
        <w:ind w:left="283" w:hanging="238"/>
        <w:rPr>
          <w:color w:val="007F7F"/>
          <w:sz w:val="24"/>
          <w:szCs w:val="24"/>
        </w:rPr>
      </w:pPr>
      <w:hyperlink r:id="rId18" w:history="1">
        <w:r w:rsidR="00877F2A" w:rsidRPr="000005BE">
          <w:rPr>
            <w:rStyle w:val="Hyperlink"/>
            <w:sz w:val="24"/>
            <w:szCs w:val="24"/>
          </w:rPr>
          <w:t>Kent Community Health Foundation Trust:</w:t>
        </w:r>
      </w:hyperlink>
      <w:r w:rsidR="00877F2A" w:rsidRPr="000005BE">
        <w:rPr>
          <w:sz w:val="24"/>
          <w:szCs w:val="24"/>
        </w:rPr>
        <w:t xml:space="preserve"> </w:t>
      </w:r>
      <w:r w:rsidR="00877F2A" w:rsidRPr="000005BE">
        <w:rPr>
          <w:color w:val="007F7F"/>
          <w:sz w:val="24"/>
          <w:szCs w:val="24"/>
        </w:rPr>
        <w:t>health improvement services for Kent</w:t>
      </w:r>
    </w:p>
    <w:p w14:paraId="63EC44C0" w14:textId="77777777" w:rsidR="00877F2A" w:rsidRPr="001A6BC9" w:rsidRDefault="00877F2A" w:rsidP="00877F2A">
      <w:pPr>
        <w:pStyle w:val="ListParagraph"/>
        <w:numPr>
          <w:ilvl w:val="0"/>
          <w:numId w:val="2"/>
        </w:numPr>
        <w:tabs>
          <w:tab w:val="left" w:pos="1166"/>
        </w:tabs>
        <w:spacing w:line="247" w:lineRule="auto"/>
        <w:ind w:left="284" w:right="1203"/>
        <w:rPr>
          <w:color w:val="007F7F"/>
          <w:sz w:val="24"/>
          <w:szCs w:val="24"/>
        </w:rPr>
      </w:pPr>
      <w:r w:rsidRPr="001A6BC9">
        <w:rPr>
          <w:color w:val="007F7F"/>
          <w:sz w:val="24"/>
          <w:szCs w:val="24"/>
        </w:rPr>
        <w:t xml:space="preserve">Business in the Community Public Health England Toolkits: </w:t>
      </w:r>
      <w:hyperlink r:id="rId19" w:history="1">
        <w:r w:rsidRPr="001A6BC9">
          <w:rPr>
            <w:rStyle w:val="Hyperlink"/>
            <w:sz w:val="24"/>
            <w:szCs w:val="24"/>
          </w:rPr>
          <w:t xml:space="preserve">Mental Health toolkit for employers </w:t>
        </w:r>
      </w:hyperlink>
    </w:p>
    <w:p w14:paraId="63EC44C1" w14:textId="77777777" w:rsidR="00877F2A" w:rsidRPr="001A6BC9" w:rsidRDefault="00234B47" w:rsidP="00877F2A">
      <w:pPr>
        <w:pStyle w:val="ListParagraph"/>
        <w:numPr>
          <w:ilvl w:val="0"/>
          <w:numId w:val="2"/>
        </w:numPr>
        <w:tabs>
          <w:tab w:val="left" w:pos="1166"/>
        </w:tabs>
        <w:spacing w:line="210" w:lineRule="exact"/>
        <w:ind w:left="284"/>
        <w:rPr>
          <w:rStyle w:val="Hyperlink"/>
          <w:sz w:val="24"/>
          <w:szCs w:val="24"/>
        </w:rPr>
      </w:pPr>
      <w:hyperlink r:id="rId20" w:history="1">
        <w:r w:rsidR="00877F2A" w:rsidRPr="001A6BC9">
          <w:rPr>
            <w:rStyle w:val="Hyperlink"/>
            <w:sz w:val="24"/>
            <w:szCs w:val="24"/>
          </w:rPr>
          <w:t>Every Mind Matters</w:t>
        </w:r>
      </w:hyperlink>
      <w:r w:rsidR="00877F2A" w:rsidRPr="000005BE">
        <w:t xml:space="preserve"> </w:t>
      </w:r>
      <w:r w:rsidR="00877F2A" w:rsidRPr="006642C0">
        <w:rPr>
          <w:color w:val="007F7F"/>
          <w:sz w:val="24"/>
          <w:szCs w:val="24"/>
        </w:rPr>
        <w:t>Mental Health information from the NHS and Public Health England</w:t>
      </w:r>
      <w:r w:rsidR="00877F2A" w:rsidRPr="001A6BC9">
        <w:rPr>
          <w:color w:val="007F7F"/>
          <w:sz w:val="24"/>
          <w:szCs w:val="24"/>
        </w:rPr>
        <w:t xml:space="preserve"> </w:t>
      </w:r>
      <w:r w:rsidR="00877F2A" w:rsidRPr="001A6BC9">
        <w:rPr>
          <w:color w:val="007F7F"/>
          <w:sz w:val="24"/>
          <w:szCs w:val="24"/>
        </w:rPr>
        <w:fldChar w:fldCharType="begin"/>
      </w:r>
      <w:r w:rsidR="00877F2A" w:rsidRPr="001A6BC9">
        <w:rPr>
          <w:color w:val="007F7F"/>
          <w:sz w:val="24"/>
          <w:szCs w:val="24"/>
        </w:rPr>
        <w:instrText xml:space="preserve"> HYPERLINK "https://www.mentalhealthatwork.org.uk/" </w:instrText>
      </w:r>
      <w:r w:rsidR="00877F2A" w:rsidRPr="001A6BC9">
        <w:rPr>
          <w:color w:val="007F7F"/>
          <w:sz w:val="24"/>
          <w:szCs w:val="24"/>
        </w:rPr>
      </w:r>
      <w:r w:rsidR="00877F2A" w:rsidRPr="001A6BC9">
        <w:rPr>
          <w:color w:val="007F7F"/>
          <w:sz w:val="24"/>
          <w:szCs w:val="24"/>
        </w:rPr>
        <w:fldChar w:fldCharType="separate"/>
      </w:r>
    </w:p>
    <w:p w14:paraId="63EC44C2" w14:textId="77777777" w:rsidR="00877F2A" w:rsidRPr="00E11790" w:rsidRDefault="00877F2A" w:rsidP="00877F2A">
      <w:pPr>
        <w:pStyle w:val="ListParagraph"/>
        <w:numPr>
          <w:ilvl w:val="0"/>
          <w:numId w:val="2"/>
        </w:numPr>
        <w:tabs>
          <w:tab w:val="left" w:pos="1166"/>
        </w:tabs>
        <w:ind w:left="284"/>
        <w:rPr>
          <w:color w:val="007F7F"/>
          <w:sz w:val="24"/>
          <w:szCs w:val="24"/>
        </w:rPr>
      </w:pPr>
      <w:r w:rsidRPr="001A6BC9">
        <w:rPr>
          <w:rStyle w:val="Hyperlink"/>
          <w:sz w:val="24"/>
          <w:szCs w:val="24"/>
        </w:rPr>
        <w:t>For Better Mental Health at Work</w:t>
      </w:r>
      <w:r w:rsidRPr="001A6BC9">
        <w:rPr>
          <w:color w:val="007F7F"/>
          <w:sz w:val="24"/>
          <w:szCs w:val="24"/>
        </w:rPr>
        <w:fldChar w:fldCharType="end"/>
      </w:r>
      <w:r w:rsidRPr="001A6BC9">
        <w:rPr>
          <w:color w:val="007F7F"/>
          <w:spacing w:val="-6"/>
          <w:sz w:val="24"/>
          <w:szCs w:val="24"/>
        </w:rPr>
        <w:t xml:space="preserve"> </w:t>
      </w:r>
    </w:p>
    <w:p w14:paraId="63EC44C3" w14:textId="77777777" w:rsidR="00877F2A" w:rsidRPr="00D96577" w:rsidRDefault="00234B47" w:rsidP="00877F2A">
      <w:pPr>
        <w:pStyle w:val="ListParagraph"/>
        <w:numPr>
          <w:ilvl w:val="0"/>
          <w:numId w:val="2"/>
        </w:numPr>
        <w:tabs>
          <w:tab w:val="left" w:pos="1166"/>
        </w:tabs>
        <w:spacing w:line="247" w:lineRule="auto"/>
        <w:ind w:left="284" w:right="836"/>
        <w:rPr>
          <w:rFonts w:ascii="Symbol"/>
          <w:color w:val="007F7F"/>
          <w:sz w:val="24"/>
          <w:szCs w:val="24"/>
        </w:rPr>
      </w:pPr>
      <w:hyperlink r:id="rId21" w:history="1">
        <w:r w:rsidR="00877F2A" w:rsidRPr="00DD22DB">
          <w:rPr>
            <w:rStyle w:val="Hyperlink"/>
            <w:sz w:val="24"/>
            <w:szCs w:val="24"/>
          </w:rPr>
          <w:t>Health and Safety Executive</w:t>
        </w:r>
      </w:hyperlink>
      <w:r w:rsidR="00D96577">
        <w:rPr>
          <w:color w:val="007F7F"/>
          <w:sz w:val="24"/>
          <w:szCs w:val="24"/>
        </w:rPr>
        <w:t xml:space="preserve"> </w:t>
      </w:r>
    </w:p>
    <w:p w14:paraId="63EC44C4" w14:textId="77777777" w:rsidR="00D96577" w:rsidRPr="00D96577" w:rsidRDefault="00234B47" w:rsidP="00877F2A">
      <w:pPr>
        <w:pStyle w:val="ListParagraph"/>
        <w:numPr>
          <w:ilvl w:val="0"/>
          <w:numId w:val="2"/>
        </w:numPr>
        <w:tabs>
          <w:tab w:val="left" w:pos="1166"/>
        </w:tabs>
        <w:spacing w:line="247" w:lineRule="auto"/>
        <w:ind w:left="284" w:right="836"/>
        <w:rPr>
          <w:rFonts w:ascii="Symbol"/>
          <w:color w:val="007F7F"/>
          <w:sz w:val="24"/>
          <w:szCs w:val="24"/>
        </w:rPr>
      </w:pPr>
      <w:hyperlink r:id="rId22" w:history="1">
        <w:r w:rsidR="00D96577" w:rsidRPr="00D96577">
          <w:rPr>
            <w:rStyle w:val="Hyperlink"/>
            <w:sz w:val="24"/>
            <w:szCs w:val="24"/>
          </w:rPr>
          <w:t>ACAS</w:t>
        </w:r>
      </w:hyperlink>
    </w:p>
    <w:p w14:paraId="63EC44C5" w14:textId="77777777" w:rsidR="00D96577" w:rsidRPr="006642C0" w:rsidRDefault="00234B47" w:rsidP="00877F2A">
      <w:pPr>
        <w:pStyle w:val="ListParagraph"/>
        <w:numPr>
          <w:ilvl w:val="0"/>
          <w:numId w:val="2"/>
        </w:numPr>
        <w:tabs>
          <w:tab w:val="left" w:pos="1166"/>
        </w:tabs>
        <w:spacing w:line="247" w:lineRule="auto"/>
        <w:ind w:left="284" w:right="836"/>
        <w:rPr>
          <w:rFonts w:ascii="Symbol"/>
          <w:color w:val="007F7F"/>
          <w:sz w:val="24"/>
          <w:szCs w:val="24"/>
        </w:rPr>
      </w:pPr>
      <w:hyperlink r:id="rId23" w:history="1">
        <w:r w:rsidR="00D96577" w:rsidRPr="00D96577">
          <w:rPr>
            <w:rStyle w:val="Hyperlink"/>
            <w:sz w:val="24"/>
            <w:szCs w:val="24"/>
          </w:rPr>
          <w:t>Alcohol Change (Dry January)</w:t>
        </w:r>
      </w:hyperlink>
    </w:p>
    <w:p w14:paraId="63EC44C6" w14:textId="77777777" w:rsidR="006642C0" w:rsidRPr="006642C0" w:rsidRDefault="00234B47" w:rsidP="00877F2A">
      <w:pPr>
        <w:pStyle w:val="ListParagraph"/>
        <w:numPr>
          <w:ilvl w:val="0"/>
          <w:numId w:val="2"/>
        </w:numPr>
        <w:tabs>
          <w:tab w:val="left" w:pos="1166"/>
        </w:tabs>
        <w:spacing w:line="247" w:lineRule="auto"/>
        <w:ind w:left="284" w:right="836"/>
        <w:rPr>
          <w:rFonts w:ascii="Symbol"/>
          <w:color w:val="007F7F"/>
          <w:sz w:val="24"/>
          <w:szCs w:val="24"/>
        </w:rPr>
      </w:pPr>
      <w:hyperlink r:id="rId24" w:history="1">
        <w:r w:rsidR="006642C0" w:rsidRPr="006642C0">
          <w:rPr>
            <w:rStyle w:val="Hyperlink"/>
            <w:sz w:val="24"/>
            <w:szCs w:val="24"/>
          </w:rPr>
          <w:t>Alcohol Awareness Week</w:t>
        </w:r>
      </w:hyperlink>
    </w:p>
    <w:p w14:paraId="63EC44C7" w14:textId="77777777" w:rsidR="006642C0" w:rsidRPr="006642C0" w:rsidRDefault="00234B47" w:rsidP="00877F2A">
      <w:pPr>
        <w:pStyle w:val="ListParagraph"/>
        <w:numPr>
          <w:ilvl w:val="0"/>
          <w:numId w:val="2"/>
        </w:numPr>
        <w:tabs>
          <w:tab w:val="left" w:pos="1166"/>
        </w:tabs>
        <w:spacing w:line="247" w:lineRule="auto"/>
        <w:ind w:left="284" w:right="836"/>
        <w:rPr>
          <w:rFonts w:ascii="Symbol"/>
          <w:color w:val="007F7F"/>
          <w:sz w:val="24"/>
          <w:szCs w:val="24"/>
        </w:rPr>
      </w:pPr>
      <w:hyperlink r:id="rId25" w:history="1">
        <w:r w:rsidR="006642C0" w:rsidRPr="006642C0">
          <w:rPr>
            <w:rStyle w:val="Hyperlink"/>
            <w:sz w:val="24"/>
            <w:szCs w:val="24"/>
          </w:rPr>
          <w:t>NHS One You: Drink Less</w:t>
        </w:r>
      </w:hyperlink>
    </w:p>
    <w:p w14:paraId="63EC44C8" w14:textId="77777777" w:rsidR="006642C0" w:rsidRPr="006642C0" w:rsidRDefault="00234B47" w:rsidP="00877F2A">
      <w:pPr>
        <w:pStyle w:val="ListParagraph"/>
        <w:numPr>
          <w:ilvl w:val="0"/>
          <w:numId w:val="2"/>
        </w:numPr>
        <w:tabs>
          <w:tab w:val="left" w:pos="1166"/>
        </w:tabs>
        <w:spacing w:line="247" w:lineRule="auto"/>
        <w:ind w:left="284" w:right="836"/>
        <w:rPr>
          <w:rFonts w:ascii="Symbol"/>
          <w:color w:val="007F7F"/>
          <w:sz w:val="24"/>
          <w:szCs w:val="24"/>
        </w:rPr>
      </w:pPr>
      <w:hyperlink r:id="rId26" w:history="1">
        <w:r w:rsidR="006642C0" w:rsidRPr="006642C0">
          <w:rPr>
            <w:rStyle w:val="Hyperlink"/>
            <w:sz w:val="24"/>
            <w:szCs w:val="24"/>
          </w:rPr>
          <w:t>Talk to Frank: Drug advice</w:t>
        </w:r>
      </w:hyperlink>
    </w:p>
    <w:p w14:paraId="63EC44C9" w14:textId="77777777" w:rsidR="006642C0" w:rsidRPr="00A41C98" w:rsidRDefault="00234B47" w:rsidP="00877F2A">
      <w:pPr>
        <w:pStyle w:val="ListParagraph"/>
        <w:numPr>
          <w:ilvl w:val="0"/>
          <w:numId w:val="2"/>
        </w:numPr>
        <w:tabs>
          <w:tab w:val="left" w:pos="1166"/>
        </w:tabs>
        <w:spacing w:line="247" w:lineRule="auto"/>
        <w:ind w:left="284" w:right="836"/>
        <w:rPr>
          <w:rFonts w:ascii="Symbol"/>
          <w:color w:val="007F7F"/>
          <w:sz w:val="24"/>
          <w:szCs w:val="24"/>
        </w:rPr>
      </w:pPr>
      <w:hyperlink r:id="rId27" w:history="1">
        <w:r w:rsidR="006642C0" w:rsidRPr="006642C0">
          <w:rPr>
            <w:rStyle w:val="Hyperlink"/>
            <w:sz w:val="24"/>
            <w:szCs w:val="24"/>
          </w:rPr>
          <w:t>Medway Active Recovery Service</w:t>
        </w:r>
      </w:hyperlink>
      <w:r w:rsidR="006642C0">
        <w:rPr>
          <w:color w:val="007F7F"/>
          <w:sz w:val="24"/>
          <w:szCs w:val="24"/>
        </w:rPr>
        <w:t xml:space="preserve"> (Turning Point): For help in dealing with problem drinking, alcohol dependency and drug misuse</w:t>
      </w:r>
      <w:r w:rsidR="00A41C98">
        <w:rPr>
          <w:color w:val="007F7F"/>
          <w:sz w:val="24"/>
          <w:szCs w:val="24"/>
        </w:rPr>
        <w:t xml:space="preserve"> (adults)</w:t>
      </w:r>
      <w:r w:rsidR="006642C0">
        <w:rPr>
          <w:color w:val="007F7F"/>
          <w:sz w:val="24"/>
          <w:szCs w:val="24"/>
        </w:rPr>
        <w:t>.</w:t>
      </w:r>
    </w:p>
    <w:p w14:paraId="63EC44CA" w14:textId="77777777" w:rsidR="00A41C98" w:rsidRPr="006642C0" w:rsidRDefault="00234B47" w:rsidP="00877F2A">
      <w:pPr>
        <w:pStyle w:val="ListParagraph"/>
        <w:numPr>
          <w:ilvl w:val="0"/>
          <w:numId w:val="2"/>
        </w:numPr>
        <w:tabs>
          <w:tab w:val="left" w:pos="1166"/>
        </w:tabs>
        <w:spacing w:line="247" w:lineRule="auto"/>
        <w:ind w:left="284" w:right="836"/>
        <w:rPr>
          <w:rFonts w:ascii="Symbol"/>
          <w:color w:val="007F7F"/>
          <w:sz w:val="24"/>
          <w:szCs w:val="24"/>
        </w:rPr>
      </w:pPr>
      <w:hyperlink r:id="rId28" w:history="1">
        <w:r w:rsidR="00A41C98" w:rsidRPr="00A41C98">
          <w:rPr>
            <w:rStyle w:val="Hyperlink"/>
            <w:sz w:val="24"/>
            <w:szCs w:val="24"/>
          </w:rPr>
          <w:t>Medway Young People’s Wellness Centre</w:t>
        </w:r>
      </w:hyperlink>
      <w:r w:rsidR="00A41C98">
        <w:rPr>
          <w:color w:val="007F7F"/>
          <w:sz w:val="24"/>
          <w:szCs w:val="24"/>
        </w:rPr>
        <w:t xml:space="preserve"> (Open Road): support for problem drinking and drug abuse for young people (aged </w:t>
      </w:r>
    </w:p>
    <w:p w14:paraId="63EC44CB" w14:textId="77777777" w:rsidR="006642C0" w:rsidRPr="00377EAB" w:rsidRDefault="00234B47" w:rsidP="00877F2A">
      <w:pPr>
        <w:pStyle w:val="ListParagraph"/>
        <w:numPr>
          <w:ilvl w:val="0"/>
          <w:numId w:val="2"/>
        </w:numPr>
        <w:tabs>
          <w:tab w:val="left" w:pos="1166"/>
        </w:tabs>
        <w:spacing w:line="247" w:lineRule="auto"/>
        <w:ind w:left="284" w:right="836"/>
        <w:rPr>
          <w:rFonts w:ascii="Symbol"/>
          <w:color w:val="007F7F"/>
          <w:sz w:val="24"/>
          <w:szCs w:val="24"/>
        </w:rPr>
      </w:pPr>
      <w:hyperlink r:id="rId29" w:history="1">
        <w:r w:rsidR="006642C0" w:rsidRPr="006642C0">
          <w:rPr>
            <w:rStyle w:val="Hyperlink"/>
            <w:sz w:val="24"/>
            <w:szCs w:val="24"/>
          </w:rPr>
          <w:t>Drug and Alcohol Support</w:t>
        </w:r>
      </w:hyperlink>
      <w:r w:rsidR="006642C0">
        <w:rPr>
          <w:color w:val="007F7F"/>
          <w:sz w:val="24"/>
          <w:szCs w:val="24"/>
        </w:rPr>
        <w:t xml:space="preserve"> in Kent</w:t>
      </w:r>
      <w:r w:rsidR="00A41C98">
        <w:rPr>
          <w:color w:val="007F7F"/>
          <w:sz w:val="24"/>
          <w:szCs w:val="24"/>
        </w:rPr>
        <w:t xml:space="preserve"> for adults and young people.</w:t>
      </w:r>
    </w:p>
    <w:p w14:paraId="63EC44CC" w14:textId="77777777" w:rsidR="00877F2A" w:rsidRPr="00377EAB" w:rsidRDefault="00877F2A" w:rsidP="00877F2A">
      <w:pPr>
        <w:pStyle w:val="ListParagraph"/>
        <w:numPr>
          <w:ilvl w:val="0"/>
          <w:numId w:val="2"/>
        </w:numPr>
        <w:tabs>
          <w:tab w:val="left" w:pos="1166"/>
        </w:tabs>
        <w:ind w:left="284"/>
        <w:rPr>
          <w:rFonts w:ascii="Symbol" w:hAnsi="Symbol"/>
          <w:color w:val="007F7F"/>
          <w:sz w:val="24"/>
          <w:szCs w:val="24"/>
        </w:rPr>
      </w:pPr>
      <w:r w:rsidRPr="00377EAB">
        <w:rPr>
          <w:color w:val="007F7F"/>
          <w:sz w:val="24"/>
          <w:szCs w:val="24"/>
        </w:rPr>
        <w:t xml:space="preserve">Mental Health First Aid – </w:t>
      </w:r>
      <w:hyperlink r:id="rId30" w:history="1">
        <w:r w:rsidRPr="00DD22DB">
          <w:rPr>
            <w:rStyle w:val="Hyperlink"/>
            <w:sz w:val="24"/>
            <w:szCs w:val="24"/>
          </w:rPr>
          <w:t>Line Manager’s Resource</w:t>
        </w:r>
      </w:hyperlink>
      <w:r w:rsidRPr="00377EAB">
        <w:rPr>
          <w:rFonts w:ascii="Symbol" w:hAnsi="Symbol"/>
          <w:color w:val="007F7F"/>
          <w:sz w:val="24"/>
          <w:szCs w:val="24"/>
        </w:rPr>
        <w:t></w:t>
      </w:r>
    </w:p>
    <w:p w14:paraId="63EC44CD" w14:textId="77777777" w:rsidR="00877F2A" w:rsidRPr="00377EAB" w:rsidRDefault="00877F2A" w:rsidP="00877F2A">
      <w:pPr>
        <w:pStyle w:val="ListParagraph"/>
        <w:numPr>
          <w:ilvl w:val="0"/>
          <w:numId w:val="2"/>
        </w:numPr>
        <w:tabs>
          <w:tab w:val="left" w:pos="1166"/>
        </w:tabs>
        <w:ind w:left="284"/>
        <w:rPr>
          <w:rFonts w:ascii="Symbol"/>
          <w:color w:val="007F7F"/>
          <w:sz w:val="24"/>
          <w:szCs w:val="24"/>
        </w:rPr>
      </w:pPr>
      <w:r w:rsidRPr="00377EAB">
        <w:rPr>
          <w:color w:val="007F7F"/>
          <w:sz w:val="24"/>
          <w:szCs w:val="24"/>
        </w:rPr>
        <w:t>Mind:</w:t>
      </w:r>
      <w:r w:rsidRPr="00377EAB">
        <w:rPr>
          <w:color w:val="007F7F"/>
          <w:spacing w:val="-1"/>
          <w:sz w:val="24"/>
          <w:szCs w:val="24"/>
        </w:rPr>
        <w:t xml:space="preserve"> </w:t>
      </w:r>
      <w:hyperlink r:id="rId31">
        <w:r w:rsidRPr="00377EAB">
          <w:rPr>
            <w:color w:val="007F7F"/>
            <w:sz w:val="24"/>
            <w:szCs w:val="24"/>
          </w:rPr>
          <w:t>https://www.mind.org.uk/</w:t>
        </w:r>
      </w:hyperlink>
    </w:p>
    <w:p w14:paraId="63EC44CE" w14:textId="77777777" w:rsidR="00877F2A" w:rsidRPr="00377EAB" w:rsidRDefault="00877F2A" w:rsidP="00877F2A">
      <w:pPr>
        <w:pStyle w:val="ListParagraph"/>
        <w:numPr>
          <w:ilvl w:val="0"/>
          <w:numId w:val="2"/>
        </w:numPr>
        <w:tabs>
          <w:tab w:val="left" w:pos="1166"/>
        </w:tabs>
        <w:ind w:left="284"/>
        <w:rPr>
          <w:rFonts w:ascii="Symbol"/>
          <w:color w:val="007F7F"/>
          <w:sz w:val="24"/>
          <w:szCs w:val="24"/>
        </w:rPr>
      </w:pPr>
      <w:r w:rsidRPr="00377EAB">
        <w:rPr>
          <w:color w:val="007F7F"/>
          <w:sz w:val="24"/>
          <w:szCs w:val="24"/>
        </w:rPr>
        <w:t xml:space="preserve">NHS for information on various </w:t>
      </w:r>
      <w:r w:rsidR="00A41C98" w:rsidRPr="00377EAB">
        <w:rPr>
          <w:color w:val="007F7F"/>
          <w:sz w:val="24"/>
          <w:szCs w:val="24"/>
        </w:rPr>
        <w:t>conditions</w:t>
      </w:r>
      <w:r w:rsidRPr="00377EAB">
        <w:rPr>
          <w:color w:val="007F7F"/>
          <w:sz w:val="24"/>
          <w:szCs w:val="24"/>
        </w:rPr>
        <w:t xml:space="preserve"> and healthy lifestyles:</w:t>
      </w:r>
      <w:hyperlink r:id="rId32">
        <w:r w:rsidRPr="00377EAB">
          <w:rPr>
            <w:color w:val="007F7F"/>
            <w:spacing w:val="-12"/>
            <w:sz w:val="24"/>
            <w:szCs w:val="24"/>
          </w:rPr>
          <w:t xml:space="preserve"> </w:t>
        </w:r>
        <w:r w:rsidRPr="00377EAB">
          <w:rPr>
            <w:color w:val="007F7F"/>
            <w:sz w:val="24"/>
            <w:szCs w:val="24"/>
          </w:rPr>
          <w:t>https://www.nhs.uk/</w:t>
        </w:r>
      </w:hyperlink>
    </w:p>
    <w:p w14:paraId="63EC44CF" w14:textId="77777777" w:rsidR="00877F2A" w:rsidRPr="00377EAB" w:rsidRDefault="00877F2A" w:rsidP="00877F2A">
      <w:pPr>
        <w:pStyle w:val="ListParagraph"/>
        <w:numPr>
          <w:ilvl w:val="0"/>
          <w:numId w:val="2"/>
        </w:numPr>
        <w:tabs>
          <w:tab w:val="left" w:pos="1166"/>
        </w:tabs>
        <w:ind w:left="284"/>
        <w:rPr>
          <w:rFonts w:ascii="Symbol"/>
          <w:color w:val="007F7F"/>
          <w:sz w:val="24"/>
          <w:szCs w:val="24"/>
        </w:rPr>
      </w:pPr>
      <w:r w:rsidRPr="00377EAB">
        <w:rPr>
          <w:color w:val="007F7F"/>
          <w:sz w:val="24"/>
          <w:szCs w:val="24"/>
        </w:rPr>
        <w:t>NHS One You for healthy lifestyle advice:</w:t>
      </w:r>
      <w:hyperlink r:id="rId33">
        <w:r w:rsidRPr="00377EAB">
          <w:rPr>
            <w:color w:val="007F7F"/>
            <w:spacing w:val="-8"/>
            <w:sz w:val="24"/>
            <w:szCs w:val="24"/>
          </w:rPr>
          <w:t xml:space="preserve"> </w:t>
        </w:r>
        <w:r w:rsidRPr="00377EAB">
          <w:rPr>
            <w:color w:val="007F7F"/>
            <w:sz w:val="24"/>
            <w:szCs w:val="24"/>
          </w:rPr>
          <w:t>https://www.nhs.uk/oneyou/</w:t>
        </w:r>
      </w:hyperlink>
    </w:p>
    <w:p w14:paraId="63EC44D0" w14:textId="77777777" w:rsidR="00D47EE4" w:rsidRDefault="00D47EE4" w:rsidP="00877F2A">
      <w:pPr>
        <w:pStyle w:val="BodyText"/>
        <w:spacing w:before="129" w:line="266" w:lineRule="auto"/>
        <w:ind w:left="284" w:right="381"/>
        <w:rPr>
          <w:sz w:val="24"/>
          <w:szCs w:val="24"/>
          <w:vertAlign w:val="superscript"/>
        </w:rPr>
      </w:pPr>
    </w:p>
    <w:p w14:paraId="63EC44D1" w14:textId="77777777" w:rsidR="00877F2A" w:rsidRPr="00474012" w:rsidRDefault="00877F2A" w:rsidP="00877F2A">
      <w:pPr>
        <w:pStyle w:val="BodyText"/>
        <w:spacing w:before="129" w:line="266" w:lineRule="auto"/>
        <w:ind w:left="284" w:right="381"/>
        <w:rPr>
          <w:sz w:val="24"/>
          <w:szCs w:val="24"/>
          <w:vertAlign w:val="superscript"/>
        </w:rPr>
      </w:pPr>
      <w:r w:rsidRPr="00474012">
        <w:rPr>
          <w:sz w:val="24"/>
          <w:szCs w:val="24"/>
          <w:vertAlign w:val="superscript"/>
        </w:rPr>
        <w:t>The following sources of information were consulted in the production of this guide:</w:t>
      </w:r>
    </w:p>
    <w:p w14:paraId="63EC44D2" w14:textId="77777777" w:rsidR="00D47EE4" w:rsidRDefault="00877F2A" w:rsidP="00877F2A">
      <w:pPr>
        <w:pStyle w:val="BodyText"/>
        <w:spacing w:before="129" w:line="266" w:lineRule="auto"/>
        <w:ind w:left="284" w:right="381"/>
        <w:rPr>
          <w:sz w:val="24"/>
          <w:szCs w:val="24"/>
          <w:vertAlign w:val="superscript"/>
        </w:rPr>
      </w:pPr>
      <w:r w:rsidRPr="00474012">
        <w:rPr>
          <w:sz w:val="24"/>
          <w:szCs w:val="24"/>
          <w:vertAlign w:val="superscript"/>
        </w:rPr>
        <w:t xml:space="preserve">Business in the Community Public Health England Toolkits: </w:t>
      </w:r>
      <w:hyperlink r:id="rId34" w:history="1">
        <w:r w:rsidR="00D47EE4" w:rsidRPr="00D750F9">
          <w:rPr>
            <w:rStyle w:val="Hyperlink"/>
            <w:sz w:val="24"/>
            <w:szCs w:val="24"/>
            <w:vertAlign w:val="superscript"/>
          </w:rPr>
          <w:t>https://www.bitc.org.uk/toolkit/drugs-alcohol-and-tobacco-a-toolkit-for-employers/</w:t>
        </w:r>
      </w:hyperlink>
    </w:p>
    <w:p w14:paraId="63EC44D3" w14:textId="77777777" w:rsidR="00877F2A" w:rsidRDefault="00D47EE4" w:rsidP="00877F2A">
      <w:pPr>
        <w:pStyle w:val="BodyText"/>
        <w:spacing w:before="129" w:line="266" w:lineRule="auto"/>
        <w:ind w:left="284" w:right="381"/>
        <w:rPr>
          <w:sz w:val="24"/>
          <w:szCs w:val="24"/>
          <w:vertAlign w:val="superscript"/>
        </w:rPr>
      </w:pPr>
      <w:r>
        <w:rPr>
          <w:sz w:val="24"/>
          <w:szCs w:val="24"/>
          <w:vertAlign w:val="superscript"/>
        </w:rPr>
        <w:t>HSE</w:t>
      </w:r>
    </w:p>
    <w:p w14:paraId="63EC44D4" w14:textId="77777777" w:rsidR="00D47EE4" w:rsidRDefault="00D47EE4" w:rsidP="00877F2A">
      <w:pPr>
        <w:pStyle w:val="BodyText"/>
        <w:spacing w:before="129" w:line="266" w:lineRule="auto"/>
        <w:ind w:left="284" w:right="381"/>
        <w:rPr>
          <w:sz w:val="24"/>
          <w:szCs w:val="24"/>
          <w:vertAlign w:val="superscript"/>
        </w:rPr>
      </w:pPr>
      <w:r>
        <w:rPr>
          <w:sz w:val="24"/>
          <w:szCs w:val="24"/>
          <w:vertAlign w:val="superscript"/>
        </w:rPr>
        <w:t>ACAS</w:t>
      </w:r>
    </w:p>
    <w:p w14:paraId="63EC44D5" w14:textId="77777777" w:rsidR="00D47EE4" w:rsidRPr="00474012" w:rsidRDefault="00D47EE4" w:rsidP="00877F2A">
      <w:pPr>
        <w:pStyle w:val="BodyText"/>
        <w:spacing w:before="129" w:line="266" w:lineRule="auto"/>
        <w:ind w:left="284" w:right="381"/>
        <w:rPr>
          <w:sz w:val="17"/>
          <w:vertAlign w:val="superscript"/>
        </w:rPr>
      </w:pPr>
      <w:r>
        <w:rPr>
          <w:sz w:val="24"/>
          <w:szCs w:val="24"/>
          <w:vertAlign w:val="superscript"/>
        </w:rPr>
        <w:t>Drink Aware</w:t>
      </w:r>
    </w:p>
    <w:p w14:paraId="63EC44D6" w14:textId="77777777" w:rsidR="00877F2A" w:rsidRPr="00414274" w:rsidRDefault="00877F2A" w:rsidP="00877F2A">
      <w:pPr>
        <w:pStyle w:val="BodyText"/>
        <w:ind w:left="284"/>
        <w:rPr>
          <w:rFonts w:asciiTheme="majorHAnsi" w:hAnsiTheme="majorHAnsi"/>
          <w:b/>
          <w:color w:val="231F20"/>
          <w:sz w:val="32"/>
        </w:rPr>
      </w:pPr>
      <w:r w:rsidRPr="00414274">
        <w:rPr>
          <w:rFonts w:asciiTheme="majorHAnsi" w:hAnsiTheme="majorHAnsi"/>
          <w:b/>
          <w:color w:val="231F20"/>
          <w:sz w:val="32"/>
        </w:rPr>
        <w:t>Contact</w:t>
      </w:r>
    </w:p>
    <w:p w14:paraId="63EC44D7" w14:textId="77777777" w:rsidR="00877F2A" w:rsidRPr="00414274" w:rsidRDefault="00877F2A" w:rsidP="00877F2A">
      <w:pPr>
        <w:pStyle w:val="BodyText"/>
        <w:spacing w:before="129" w:line="266" w:lineRule="auto"/>
        <w:ind w:left="284" w:right="381"/>
        <w:rPr>
          <w:sz w:val="24"/>
          <w:szCs w:val="24"/>
        </w:rPr>
      </w:pPr>
      <w:r w:rsidRPr="00414274">
        <w:rPr>
          <w:sz w:val="24"/>
          <w:szCs w:val="24"/>
        </w:rPr>
        <w:t xml:space="preserve">For a no obligation meeting to get the Workplace Health programme started in your business, or for further information please contact: </w:t>
      </w:r>
    </w:p>
    <w:p w14:paraId="63EC44D8" w14:textId="77777777" w:rsidR="00877F2A" w:rsidRPr="00414274" w:rsidRDefault="00877F2A" w:rsidP="00877F2A">
      <w:pPr>
        <w:pStyle w:val="BodyText"/>
        <w:spacing w:before="129" w:line="266" w:lineRule="auto"/>
        <w:ind w:left="284" w:right="381"/>
        <w:rPr>
          <w:sz w:val="24"/>
          <w:szCs w:val="24"/>
        </w:rPr>
      </w:pPr>
      <w:r>
        <w:rPr>
          <w:sz w:val="24"/>
          <w:szCs w:val="24"/>
        </w:rPr>
        <w:t xml:space="preserve">By email </w:t>
      </w:r>
      <w:hyperlink r:id="rId35" w:history="1">
        <w:r w:rsidRPr="00414274">
          <w:rPr>
            <w:sz w:val="24"/>
            <w:szCs w:val="24"/>
          </w:rPr>
          <w:t>workplacehealth@medway.gov.uk</w:t>
        </w:r>
      </w:hyperlink>
      <w:r>
        <w:rPr>
          <w:sz w:val="24"/>
          <w:szCs w:val="24"/>
        </w:rPr>
        <w:t xml:space="preserve">.  By telephone </w:t>
      </w:r>
      <w:r w:rsidRPr="00414274">
        <w:rPr>
          <w:sz w:val="24"/>
          <w:szCs w:val="24"/>
        </w:rPr>
        <w:t>01634 334307</w:t>
      </w:r>
      <w:r>
        <w:rPr>
          <w:sz w:val="24"/>
          <w:szCs w:val="24"/>
        </w:rPr>
        <w:t xml:space="preserve"> or visit the </w:t>
      </w:r>
      <w:hyperlink r:id="rId36" w:history="1">
        <w:r w:rsidRPr="00414274">
          <w:rPr>
            <w:rStyle w:val="Hyperlink"/>
            <w:sz w:val="24"/>
            <w:szCs w:val="24"/>
          </w:rPr>
          <w:t>website.</w:t>
        </w:r>
      </w:hyperlink>
      <w:r w:rsidRPr="00414274">
        <w:rPr>
          <w:sz w:val="24"/>
          <w:szCs w:val="24"/>
        </w:rPr>
        <w:t xml:space="preserve"> </w:t>
      </w:r>
    </w:p>
    <w:p w14:paraId="63EC44D9" w14:textId="77777777" w:rsidR="00877F2A" w:rsidRDefault="00877F2A" w:rsidP="00877F2A"/>
    <w:p w14:paraId="63EC44DA" w14:textId="77777777" w:rsidR="00D8629F" w:rsidRDefault="00234B47"/>
    <w:sectPr w:rsidR="00D8629F" w:rsidSect="00580CD1">
      <w:footerReference w:type="default" r:id="rId37"/>
      <w:pgSz w:w="11910" w:h="16840"/>
      <w:pgMar w:top="720" w:right="720" w:bottom="720" w:left="720" w:header="386" w:footer="8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C44E1" w14:textId="77777777" w:rsidR="00F822F6" w:rsidRDefault="003F7C5A">
      <w:pPr>
        <w:spacing w:after="0" w:line="240" w:lineRule="auto"/>
      </w:pPr>
      <w:r>
        <w:separator/>
      </w:r>
    </w:p>
  </w:endnote>
  <w:endnote w:type="continuationSeparator" w:id="0">
    <w:p w14:paraId="63EC44E2" w14:textId="77777777" w:rsidR="00F822F6" w:rsidRDefault="003F7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dLib">
    <w:altName w:val="Calibri"/>
    <w:panose1 w:val="020B7200000000000000"/>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44E3" w14:textId="77777777" w:rsidR="000278B9" w:rsidRPr="000278B9" w:rsidRDefault="009540BC" w:rsidP="000278B9">
    <w:pPr>
      <w:pStyle w:val="Footer"/>
      <w:tabs>
        <w:tab w:val="clear" w:pos="9026"/>
      </w:tabs>
    </w:pPr>
    <w:r>
      <w:fldChar w:fldCharType="begin"/>
    </w:r>
    <w:r>
      <w:instrText xml:space="preserve"> PAGE   \* MERGEFORMAT </w:instrText>
    </w:r>
    <w:r>
      <w:fldChar w:fldCharType="separate"/>
    </w:r>
    <w:r w:rsidR="004543F2">
      <w:rPr>
        <w:noProof/>
      </w:rPr>
      <w:t>5</w:t>
    </w:r>
    <w:r>
      <w:rPr>
        <w:noProof/>
      </w:rPr>
      <w:fldChar w:fldCharType="end"/>
    </w:r>
    <w:r>
      <w:rPr>
        <w:noProof/>
      </w:rPr>
      <w:t xml:space="preserve"> </w:t>
    </w:r>
  </w:p>
  <w:p w14:paraId="63EC44E4" w14:textId="77777777" w:rsidR="0096000F" w:rsidRDefault="00234B4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44DF" w14:textId="77777777" w:rsidR="00F822F6" w:rsidRDefault="003F7C5A">
      <w:pPr>
        <w:spacing w:after="0" w:line="240" w:lineRule="auto"/>
      </w:pPr>
      <w:r>
        <w:separator/>
      </w:r>
    </w:p>
  </w:footnote>
  <w:footnote w:type="continuationSeparator" w:id="0">
    <w:p w14:paraId="63EC44E0" w14:textId="77777777" w:rsidR="00F822F6" w:rsidRDefault="003F7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4801"/>
    <w:multiLevelType w:val="multilevel"/>
    <w:tmpl w:val="38D2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C526DA"/>
    <w:multiLevelType w:val="hybridMultilevel"/>
    <w:tmpl w:val="EE864566"/>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54731513"/>
    <w:multiLevelType w:val="hybridMultilevel"/>
    <w:tmpl w:val="72467730"/>
    <w:lvl w:ilvl="0" w:tplc="2696C7C2">
      <w:numFmt w:val="bullet"/>
      <w:lvlText w:val=""/>
      <w:lvlJc w:val="left"/>
      <w:pPr>
        <w:ind w:left="592" w:hanging="240"/>
      </w:pPr>
      <w:rPr>
        <w:rFonts w:ascii="Symbol" w:eastAsia="Symbol" w:hAnsi="Symbol" w:cs="Symbol" w:hint="default"/>
        <w:w w:val="100"/>
        <w:sz w:val="18"/>
        <w:szCs w:val="18"/>
        <w:lang w:val="en-GB" w:eastAsia="en-GB" w:bidi="en-GB"/>
      </w:rPr>
    </w:lvl>
    <w:lvl w:ilvl="1" w:tplc="08090001">
      <w:start w:val="1"/>
      <w:numFmt w:val="bullet"/>
      <w:lvlText w:val=""/>
      <w:lvlJc w:val="left"/>
      <w:pPr>
        <w:ind w:left="1379" w:hanging="240"/>
      </w:pPr>
      <w:rPr>
        <w:rFonts w:ascii="Symbol" w:hAnsi="Symbol" w:hint="default"/>
        <w:w w:val="100"/>
        <w:lang w:val="en-GB" w:eastAsia="en-GB" w:bidi="en-GB"/>
      </w:rPr>
    </w:lvl>
    <w:lvl w:ilvl="2" w:tplc="D3CE2958">
      <w:numFmt w:val="bullet"/>
      <w:lvlText w:val=""/>
      <w:lvlJc w:val="left"/>
      <w:pPr>
        <w:ind w:left="6906" w:hanging="240"/>
      </w:pPr>
      <w:rPr>
        <w:rFonts w:ascii="Symbol" w:eastAsia="Symbol" w:hAnsi="Symbol" w:cs="Symbol" w:hint="default"/>
        <w:w w:val="100"/>
        <w:sz w:val="18"/>
        <w:szCs w:val="18"/>
        <w:lang w:val="en-GB" w:eastAsia="en-GB" w:bidi="en-GB"/>
      </w:rPr>
    </w:lvl>
    <w:lvl w:ilvl="3" w:tplc="5D445566">
      <w:numFmt w:val="bullet"/>
      <w:lvlText w:val="•"/>
      <w:lvlJc w:val="left"/>
      <w:pPr>
        <w:ind w:left="6673" w:hanging="240"/>
      </w:pPr>
      <w:rPr>
        <w:rFonts w:hint="default"/>
        <w:lang w:val="en-GB" w:eastAsia="en-GB" w:bidi="en-GB"/>
      </w:rPr>
    </w:lvl>
    <w:lvl w:ilvl="4" w:tplc="BA38770A">
      <w:numFmt w:val="bullet"/>
      <w:lvlText w:val="•"/>
      <w:lvlJc w:val="left"/>
      <w:pPr>
        <w:ind w:left="6446" w:hanging="240"/>
      </w:pPr>
      <w:rPr>
        <w:rFonts w:hint="default"/>
        <w:lang w:val="en-GB" w:eastAsia="en-GB" w:bidi="en-GB"/>
      </w:rPr>
    </w:lvl>
    <w:lvl w:ilvl="5" w:tplc="236E7FA0">
      <w:numFmt w:val="bullet"/>
      <w:lvlText w:val="•"/>
      <w:lvlJc w:val="left"/>
      <w:pPr>
        <w:ind w:left="6219" w:hanging="240"/>
      </w:pPr>
      <w:rPr>
        <w:rFonts w:hint="default"/>
        <w:lang w:val="en-GB" w:eastAsia="en-GB" w:bidi="en-GB"/>
      </w:rPr>
    </w:lvl>
    <w:lvl w:ilvl="6" w:tplc="96188AE4">
      <w:numFmt w:val="bullet"/>
      <w:lvlText w:val="•"/>
      <w:lvlJc w:val="left"/>
      <w:pPr>
        <w:ind w:left="5992" w:hanging="240"/>
      </w:pPr>
      <w:rPr>
        <w:rFonts w:hint="default"/>
        <w:lang w:val="en-GB" w:eastAsia="en-GB" w:bidi="en-GB"/>
      </w:rPr>
    </w:lvl>
    <w:lvl w:ilvl="7" w:tplc="C9B489DE">
      <w:numFmt w:val="bullet"/>
      <w:lvlText w:val="•"/>
      <w:lvlJc w:val="left"/>
      <w:pPr>
        <w:ind w:left="5765" w:hanging="240"/>
      </w:pPr>
      <w:rPr>
        <w:rFonts w:hint="default"/>
        <w:lang w:val="en-GB" w:eastAsia="en-GB" w:bidi="en-GB"/>
      </w:rPr>
    </w:lvl>
    <w:lvl w:ilvl="8" w:tplc="98069396">
      <w:numFmt w:val="bullet"/>
      <w:lvlText w:val="•"/>
      <w:lvlJc w:val="left"/>
      <w:pPr>
        <w:ind w:left="5538" w:hanging="240"/>
      </w:pPr>
      <w:rPr>
        <w:rFonts w:hint="default"/>
        <w:lang w:val="en-GB" w:eastAsia="en-GB" w:bidi="en-GB"/>
      </w:rPr>
    </w:lvl>
  </w:abstractNum>
  <w:abstractNum w:abstractNumId="3" w15:restartNumberingAfterBreak="0">
    <w:nsid w:val="71CC5F2D"/>
    <w:multiLevelType w:val="multilevel"/>
    <w:tmpl w:val="3C24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658364">
    <w:abstractNumId w:val="1"/>
  </w:num>
  <w:num w:numId="2" w16cid:durableId="364478136">
    <w:abstractNumId w:val="2"/>
  </w:num>
  <w:num w:numId="3" w16cid:durableId="133135934">
    <w:abstractNumId w:val="0"/>
  </w:num>
  <w:num w:numId="4" w16cid:durableId="608854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2A"/>
    <w:rsid w:val="000E3C46"/>
    <w:rsid w:val="001D407B"/>
    <w:rsid w:val="00234B47"/>
    <w:rsid w:val="00290274"/>
    <w:rsid w:val="003224EC"/>
    <w:rsid w:val="003F7C5A"/>
    <w:rsid w:val="004358B5"/>
    <w:rsid w:val="004543F2"/>
    <w:rsid w:val="0055687C"/>
    <w:rsid w:val="006200F7"/>
    <w:rsid w:val="006642C0"/>
    <w:rsid w:val="00760989"/>
    <w:rsid w:val="0081311C"/>
    <w:rsid w:val="00877F2A"/>
    <w:rsid w:val="008F2EB3"/>
    <w:rsid w:val="00901862"/>
    <w:rsid w:val="00935FB3"/>
    <w:rsid w:val="009540BC"/>
    <w:rsid w:val="00987579"/>
    <w:rsid w:val="009E154A"/>
    <w:rsid w:val="00A41C98"/>
    <w:rsid w:val="00B52D66"/>
    <w:rsid w:val="00C76B97"/>
    <w:rsid w:val="00D41191"/>
    <w:rsid w:val="00D47EE4"/>
    <w:rsid w:val="00D872E8"/>
    <w:rsid w:val="00D96577"/>
    <w:rsid w:val="00F82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4481"/>
  <w15:chartTrackingRefBased/>
  <w15:docId w15:val="{8CD59892-3D36-4AB8-8F48-8F6C8954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F2A"/>
    <w:pPr>
      <w:spacing w:after="120" w:line="264" w:lineRule="auto"/>
    </w:pPr>
    <w:rPr>
      <w:rFonts w:eastAsiaTheme="minorEastAsia"/>
      <w:sz w:val="20"/>
      <w:szCs w:val="20"/>
    </w:rPr>
  </w:style>
  <w:style w:type="paragraph" w:styleId="Heading3">
    <w:name w:val="heading 3"/>
    <w:basedOn w:val="Normal"/>
    <w:next w:val="Normal"/>
    <w:link w:val="Heading3Char"/>
    <w:uiPriority w:val="9"/>
    <w:unhideWhenUsed/>
    <w:qFormat/>
    <w:rsid w:val="00877F2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7F2A"/>
    <w:rPr>
      <w:rFonts w:asciiTheme="majorHAnsi" w:eastAsiaTheme="majorEastAsia" w:hAnsiTheme="majorHAnsi" w:cstheme="majorBidi"/>
      <w:color w:val="44546A" w:themeColor="text2"/>
      <w:sz w:val="24"/>
      <w:szCs w:val="24"/>
    </w:rPr>
  </w:style>
  <w:style w:type="paragraph" w:styleId="BodyText">
    <w:name w:val="Body Text"/>
    <w:basedOn w:val="Normal"/>
    <w:link w:val="BodyTextChar"/>
    <w:uiPriority w:val="1"/>
    <w:rsid w:val="00877F2A"/>
    <w:pPr>
      <w:widowControl w:val="0"/>
      <w:autoSpaceDE w:val="0"/>
      <w:autoSpaceDN w:val="0"/>
      <w:spacing w:after="0" w:line="240" w:lineRule="auto"/>
    </w:pPr>
    <w:rPr>
      <w:rFonts w:ascii="Arial" w:eastAsia="Arial" w:hAnsi="Arial" w:cs="Arial"/>
      <w:sz w:val="18"/>
      <w:szCs w:val="18"/>
      <w:lang w:eastAsia="en-GB" w:bidi="en-GB"/>
    </w:rPr>
  </w:style>
  <w:style w:type="character" w:customStyle="1" w:styleId="BodyTextChar">
    <w:name w:val="Body Text Char"/>
    <w:basedOn w:val="DefaultParagraphFont"/>
    <w:link w:val="BodyText"/>
    <w:uiPriority w:val="1"/>
    <w:rsid w:val="00877F2A"/>
    <w:rPr>
      <w:rFonts w:ascii="Arial" w:eastAsia="Arial" w:hAnsi="Arial" w:cs="Arial"/>
      <w:sz w:val="18"/>
      <w:szCs w:val="18"/>
      <w:lang w:eastAsia="en-GB" w:bidi="en-GB"/>
    </w:rPr>
  </w:style>
  <w:style w:type="paragraph" w:styleId="ListParagraph">
    <w:name w:val="List Paragraph"/>
    <w:basedOn w:val="Normal"/>
    <w:uiPriority w:val="34"/>
    <w:qFormat/>
    <w:rsid w:val="00877F2A"/>
    <w:pPr>
      <w:ind w:left="720"/>
      <w:contextualSpacing/>
    </w:pPr>
  </w:style>
  <w:style w:type="paragraph" w:styleId="Footer">
    <w:name w:val="footer"/>
    <w:basedOn w:val="Normal"/>
    <w:link w:val="FooterChar"/>
    <w:uiPriority w:val="99"/>
    <w:unhideWhenUsed/>
    <w:rsid w:val="00877F2A"/>
    <w:pPr>
      <w:widowControl w:val="0"/>
      <w:tabs>
        <w:tab w:val="center" w:pos="4513"/>
        <w:tab w:val="right" w:pos="9026"/>
      </w:tabs>
      <w:autoSpaceDE w:val="0"/>
      <w:autoSpaceDN w:val="0"/>
      <w:spacing w:after="0" w:line="240" w:lineRule="auto"/>
    </w:pPr>
    <w:rPr>
      <w:rFonts w:ascii="Arial" w:eastAsia="Arial" w:hAnsi="Arial" w:cs="Arial"/>
      <w:lang w:eastAsia="en-GB" w:bidi="en-GB"/>
    </w:rPr>
  </w:style>
  <w:style w:type="character" w:customStyle="1" w:styleId="FooterChar">
    <w:name w:val="Footer Char"/>
    <w:basedOn w:val="DefaultParagraphFont"/>
    <w:link w:val="Footer"/>
    <w:uiPriority w:val="99"/>
    <w:rsid w:val="00877F2A"/>
    <w:rPr>
      <w:rFonts w:ascii="Arial" w:eastAsia="Arial" w:hAnsi="Arial" w:cs="Arial"/>
      <w:sz w:val="20"/>
      <w:szCs w:val="20"/>
      <w:lang w:eastAsia="en-GB" w:bidi="en-GB"/>
    </w:rPr>
  </w:style>
  <w:style w:type="character" w:styleId="Hyperlink">
    <w:name w:val="Hyperlink"/>
    <w:basedOn w:val="DefaultParagraphFont"/>
    <w:uiPriority w:val="99"/>
    <w:unhideWhenUsed/>
    <w:rsid w:val="00877F2A"/>
    <w:rPr>
      <w:color w:val="0563C1" w:themeColor="hyperlink"/>
      <w:u w:val="single"/>
    </w:rPr>
  </w:style>
  <w:style w:type="character" w:styleId="Strong">
    <w:name w:val="Strong"/>
    <w:basedOn w:val="DefaultParagraphFont"/>
    <w:uiPriority w:val="22"/>
    <w:qFormat/>
    <w:rsid w:val="00D872E8"/>
    <w:rPr>
      <w:b/>
      <w:bCs/>
    </w:rPr>
  </w:style>
  <w:style w:type="paragraph" w:styleId="NormalWeb">
    <w:name w:val="Normal (Web)"/>
    <w:basedOn w:val="Normal"/>
    <w:uiPriority w:val="99"/>
    <w:semiHidden/>
    <w:unhideWhenUsed/>
    <w:rsid w:val="00C76B9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0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gov.uk/alcoholdrugs/" TargetMode="External"/><Relationship Id="rId18" Type="http://schemas.openxmlformats.org/officeDocument/2006/relationships/hyperlink" Target="https://www.kentcht.nhs.uk/service/one-you-kent/" TargetMode="External"/><Relationship Id="rId26" Type="http://schemas.openxmlformats.org/officeDocument/2006/relationships/hyperlink" Target="https://www.talktofrank.com/" TargetMode="External"/><Relationship Id="rId39" Type="http://schemas.openxmlformats.org/officeDocument/2006/relationships/theme" Target="theme/theme1.xml"/><Relationship Id="rId21" Type="http://schemas.openxmlformats.org/officeDocument/2006/relationships/hyperlink" Target="http://www.hse.gov.uk" TargetMode="External"/><Relationship Id="rId34" Type="http://schemas.openxmlformats.org/officeDocument/2006/relationships/hyperlink" Target="https://www.bitc.org.uk/toolkit/drugs-alcohol-and-tobacco-a-toolkit-for-employers/"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yperlink" Target="https://www.kent.gov.uk/social-care-and-health/health/one-you-kent" TargetMode="External"/><Relationship Id="rId25" Type="http://schemas.openxmlformats.org/officeDocument/2006/relationships/hyperlink" Target="https://www.nhs.uk/oneyou/for-your-body/drink-less/" TargetMode="External"/><Relationship Id="rId33" Type="http://schemas.openxmlformats.org/officeDocument/2006/relationships/hyperlink" Target="http://www.nhs.uk/oneyo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bettermedway.co.uk" TargetMode="External"/><Relationship Id="rId20" Type="http://schemas.openxmlformats.org/officeDocument/2006/relationships/hyperlink" Target="https://www.nhs.uk/oneyou/every-mind-matters/" TargetMode="External"/><Relationship Id="rId29" Type="http://schemas.openxmlformats.org/officeDocument/2006/relationships/hyperlink" Target="https://www.kent.gov.uk/social-care-and-health/health/one-you-kent/drink-less/alcohol-and-drug-suppor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https://alcoholchange.org.uhttps:/alcoholchange.org.uk/get-involved/campaigns/alcohol-awareness-week-1k/get-involved/campaigns/alcohol-awareness-week-1" TargetMode="External"/><Relationship Id="rId32" Type="http://schemas.openxmlformats.org/officeDocument/2006/relationships/hyperlink" Target="http://www.nhs.uk/"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nhs.uk/oneyou/apps/" TargetMode="External"/><Relationship Id="rId23" Type="http://schemas.openxmlformats.org/officeDocument/2006/relationships/hyperlink" Target="https://alcoholchange.org.uhttps:/alcoholchange.org.uk/get-involved/campaigns/dry-januaryk/get-involved/campaigns/dry-january" TargetMode="External"/><Relationship Id="rId28" Type="http://schemas.openxmlformats.org/officeDocument/2006/relationships/hyperlink" Target="https://www.openroad.org.uk/Pages/Category/medway-wellness-centre" TargetMode="External"/><Relationship Id="rId36" Type="http://schemas.openxmlformats.org/officeDocument/2006/relationships/hyperlink" Target="http://www.medway.gov.uk/healthyworkplace" TargetMode="External"/><Relationship Id="rId10" Type="http://schemas.openxmlformats.org/officeDocument/2006/relationships/image" Target="media/image1.png"/><Relationship Id="rId19" Type="http://schemas.openxmlformats.org/officeDocument/2006/relationships/hyperlink" Target="http://wellbeing.bitc.org.uk/all-resources/toolkits/" TargetMode="External"/><Relationship Id="rId31" Type="http://schemas.openxmlformats.org/officeDocument/2006/relationships/hyperlink" Target="http://www.mi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rchive.acas.org.uk/index.aspx?articleid=1986" TargetMode="External"/><Relationship Id="rId22" Type="http://schemas.openxmlformats.org/officeDocument/2006/relationships/hyperlink" Target="https://www.acas.org.uk/" TargetMode="External"/><Relationship Id="rId27" Type="http://schemas.openxmlformats.org/officeDocument/2006/relationships/hyperlink" Target="http://wellbeing.turning-point.co.uk/medway/" TargetMode="External"/><Relationship Id="rId30" Type="http://schemas.openxmlformats.org/officeDocument/2006/relationships/hyperlink" Target="https://mhfaengland.org/line-managers-resource/" TargetMode="External"/><Relationship Id="rId35" Type="http://schemas.openxmlformats.org/officeDocument/2006/relationships/hyperlink" Target="mailto:workplacehealth@medway.gov.uk"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7252423E27144CBEDFD2BCD74B15D0" ma:contentTypeVersion="4" ma:contentTypeDescription="Create a new document." ma:contentTypeScope="" ma:versionID="a1e103190a380d6ac16387c10e28e542">
  <xsd:schema xmlns:xsd="http://www.w3.org/2001/XMLSchema" xmlns:xs="http://www.w3.org/2001/XMLSchema" xmlns:p="http://schemas.microsoft.com/office/2006/metadata/properties" xmlns:ns2="2c51dc68-7e1d-4104-833c-a790c9b0ae9d" targetNamespace="http://schemas.microsoft.com/office/2006/metadata/properties" ma:root="true" ma:fieldsID="4439b589cf1ad17c0c72e940351776fe" ns2:_="">
    <xsd:import namespace="2c51dc68-7e1d-4104-833c-a790c9b0ae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1dc68-7e1d-4104-833c-a790c9b0a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6055B-F0C0-4CFD-A697-BF237D680743}">
  <ds:schemaRefs>
    <ds:schemaRef ds:uri="http://schemas.microsoft.com/sharepoint/v3/contenttype/forms"/>
  </ds:schemaRefs>
</ds:datastoreItem>
</file>

<file path=customXml/itemProps2.xml><?xml version="1.0" encoding="utf-8"?>
<ds:datastoreItem xmlns:ds="http://schemas.openxmlformats.org/officeDocument/2006/customXml" ds:itemID="{B6BDA0B0-55B9-406C-AB5D-F5E524DD9EF3}">
  <ds:schemaRefs>
    <ds:schemaRef ds:uri="http://schemas.microsoft.com/office/2006/documentManagement/types"/>
    <ds:schemaRef ds:uri="http://schemas.microsoft.com/office/infopath/2007/PartnerControls"/>
    <ds:schemaRef ds:uri="http://purl.org/dc/terms/"/>
    <ds:schemaRef ds:uri="http://purl.org/dc/dcmitype/"/>
    <ds:schemaRef ds:uri="2c51dc68-7e1d-4104-833c-a790c9b0ae9d"/>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40D09921-6846-4091-A406-B4EF85CD9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1dc68-7e1d-4104-833c-a790c9b0a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1659</Words>
  <Characters>9461</Characters>
  <Application>Microsoft Office Word</Application>
  <DocSecurity>0</DocSecurity>
  <Lines>78</Lines>
  <Paragraphs>22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Introduction</vt:lpstr>
      <vt:lpstr>        As we all know, employers have a duty of care under the Health and Safety at Wor</vt:lpstr>
      <vt:lpstr>        Why should employers worry about Alcohol, Drugs and Tobacco?</vt:lpstr>
      <vt:lpstr>        Alcohol and Drug use and its wider effects on health</vt:lpstr>
      <vt:lpstr>        Alcohol, Drugs and Workplace Health and Safety</vt:lpstr>
      <vt:lpstr>        Useful Resources</vt:lpstr>
    </vt:vector>
  </TitlesOfParts>
  <Company>Medway Council</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 michelle</dc:creator>
  <cp:keywords/>
  <dc:description/>
  <cp:lastModifiedBy>saunders, michelle</cp:lastModifiedBy>
  <cp:revision>2</cp:revision>
  <dcterms:created xsi:type="dcterms:W3CDTF">2023-03-23T15:50:00Z</dcterms:created>
  <dcterms:modified xsi:type="dcterms:W3CDTF">2023-03-23T15:50:00Z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0x010100427252423E27144CBEDFD2BCD74B15D0</vt:lpwstr>
  </property>
</Properties>
</file>