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49F0" w14:textId="77777777" w:rsidR="00961396" w:rsidRDefault="00062583">
      <w:pPr>
        <w:pStyle w:val="Heading1"/>
        <w:spacing w:before="24"/>
        <w:ind w:left="100" w:firstLine="0"/>
      </w:pPr>
      <w:r>
        <w:t>Medway</w:t>
      </w:r>
      <w:r>
        <w:rPr>
          <w:spacing w:val="-3"/>
        </w:rPr>
        <w:t xml:space="preserve"> </w:t>
      </w:r>
      <w:r>
        <w:t>LLFA</w:t>
      </w:r>
      <w:r>
        <w:rPr>
          <w:spacing w:val="-4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Consultee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2018 –</w:t>
      </w:r>
      <w:r>
        <w:rPr>
          <w:spacing w:val="1"/>
        </w:rPr>
        <w:t xml:space="preserve"> </w:t>
      </w:r>
      <w:r>
        <w:t>31 March</w:t>
      </w:r>
      <w:r>
        <w:rPr>
          <w:spacing w:val="-2"/>
        </w:rPr>
        <w:t xml:space="preserve"> </w:t>
      </w:r>
      <w:r>
        <w:t>2019</w:t>
      </w:r>
    </w:p>
    <w:p w14:paraId="4E5649F1" w14:textId="77777777" w:rsidR="00961396" w:rsidRDefault="00961396">
      <w:pPr>
        <w:pStyle w:val="BodyText"/>
        <w:rPr>
          <w:b/>
        </w:rPr>
      </w:pPr>
    </w:p>
    <w:p w14:paraId="4E5649F2" w14:textId="77777777" w:rsidR="00961396" w:rsidRDefault="00961396">
      <w:pPr>
        <w:pStyle w:val="BodyText"/>
        <w:rPr>
          <w:b/>
        </w:rPr>
      </w:pPr>
    </w:p>
    <w:p w14:paraId="4E5649F3" w14:textId="77777777" w:rsidR="00961396" w:rsidRDefault="0006258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96"/>
        <w:rPr>
          <w:b/>
          <w:sz w:val="24"/>
        </w:rPr>
      </w:pPr>
      <w:r>
        <w:rPr>
          <w:b/>
          <w:sz w:val="24"/>
        </w:rPr>
        <w:t>Introduction</w:t>
      </w:r>
    </w:p>
    <w:p w14:paraId="4E5649F4" w14:textId="77777777" w:rsidR="00961396" w:rsidRDefault="00961396">
      <w:pPr>
        <w:pStyle w:val="BodyText"/>
        <w:spacing w:before="1"/>
        <w:rPr>
          <w:b/>
          <w:sz w:val="20"/>
        </w:rPr>
      </w:pPr>
    </w:p>
    <w:p w14:paraId="4E5649F5" w14:textId="77777777" w:rsidR="00961396" w:rsidRDefault="00062583">
      <w:pPr>
        <w:pStyle w:val="BodyText"/>
        <w:spacing w:line="276" w:lineRule="auto"/>
        <w:ind w:left="100" w:right="228"/>
      </w:pPr>
      <w:r>
        <w:t>Medway Council in its remit as Lead Local Flood Authority was made statutory consultee in</w:t>
      </w:r>
      <w:r>
        <w:rPr>
          <w:spacing w:val="-52"/>
        </w:rPr>
        <w:t xml:space="preserve"> </w:t>
      </w:r>
      <w:r>
        <w:t>respect of surface water for major development on April 15</w:t>
      </w:r>
      <w:proofErr w:type="gramStart"/>
      <w:r>
        <w:t xml:space="preserve"> 2015</w:t>
      </w:r>
      <w:proofErr w:type="gramEnd"/>
      <w:r>
        <w:t>. The role of statutory</w:t>
      </w:r>
      <w:r>
        <w:rPr>
          <w:spacing w:val="1"/>
        </w:rPr>
        <w:t xml:space="preserve"> </w:t>
      </w:r>
      <w:r>
        <w:t>consultee is defined through the Town and Country Planning Act 1990; Town and C</w:t>
      </w:r>
      <w:r>
        <w:t>ountry</w:t>
      </w:r>
      <w:r>
        <w:rPr>
          <w:spacing w:val="1"/>
        </w:rPr>
        <w:t xml:space="preserve"> </w:t>
      </w:r>
      <w:r>
        <w:t xml:space="preserve">Planning (Development Management Procedure) (England) Order 2015; </w:t>
      </w:r>
      <w:proofErr w:type="gramStart"/>
      <w:r>
        <w:t>and,</w:t>
      </w:r>
      <w:proofErr w:type="gramEnd"/>
      <w:r>
        <w:t xml:space="preserve"> Planning and</w:t>
      </w:r>
      <w:r>
        <w:rPr>
          <w:spacing w:val="1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Purchase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2004.</w:t>
      </w:r>
    </w:p>
    <w:p w14:paraId="4E5649F6" w14:textId="77777777" w:rsidR="00961396" w:rsidRDefault="00062583">
      <w:pPr>
        <w:pStyle w:val="BodyText"/>
        <w:spacing w:before="197" w:line="276" w:lineRule="auto"/>
        <w:ind w:left="100" w:right="91"/>
      </w:pPr>
      <w:r>
        <w:t>Statutory consultees have a duty to respond to statutory consultations within 21 days in</w:t>
      </w:r>
      <w:r>
        <w:rPr>
          <w:spacing w:val="1"/>
        </w:rPr>
        <w:t xml:space="preserve"> </w:t>
      </w:r>
      <w:r>
        <w:t xml:space="preserve">accordance with Article 22 of the Development </w:t>
      </w:r>
      <w:r>
        <w:t>Management Order. The 21-day period does</w:t>
      </w:r>
      <w:r>
        <w:rPr>
          <w:spacing w:val="-52"/>
        </w:rPr>
        <w:t xml:space="preserve"> </w:t>
      </w:r>
      <w:r>
        <w:t>not begin until the statutory consultee in question has such information to enable a</w:t>
      </w:r>
      <w:r>
        <w:rPr>
          <w:spacing w:val="1"/>
        </w:rPr>
        <w:t xml:space="preserve"> </w:t>
      </w:r>
      <w:r>
        <w:t>substantive</w:t>
      </w:r>
      <w:r>
        <w:rPr>
          <w:spacing w:val="-2"/>
        </w:rPr>
        <w:t xml:space="preserve"> </w:t>
      </w:r>
      <w:r>
        <w:t>response.</w:t>
      </w:r>
    </w:p>
    <w:p w14:paraId="4E5649F7" w14:textId="77777777" w:rsidR="00961396" w:rsidRDefault="00062583">
      <w:pPr>
        <w:pStyle w:val="BodyText"/>
        <w:spacing w:before="204"/>
        <w:ind w:left="100"/>
      </w:pPr>
      <w:r>
        <w:t>Subsection</w:t>
      </w:r>
      <w:r>
        <w:rPr>
          <w:spacing w:val="-5"/>
        </w:rPr>
        <w:t xml:space="preserve"> </w:t>
      </w:r>
      <w:r>
        <w:t>(5)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substantive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which:</w:t>
      </w:r>
    </w:p>
    <w:p w14:paraId="4E5649F8" w14:textId="77777777" w:rsidR="00961396" w:rsidRDefault="00961396">
      <w:pPr>
        <w:pStyle w:val="BodyText"/>
        <w:spacing w:before="7"/>
        <w:rPr>
          <w:sz w:val="19"/>
        </w:rPr>
      </w:pPr>
    </w:p>
    <w:p w14:paraId="4E5649F9" w14:textId="77777777" w:rsidR="00961396" w:rsidRDefault="00062583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"/>
        <w:rPr>
          <w:sz w:val="24"/>
        </w:rPr>
      </w:pPr>
      <w:r>
        <w:rPr>
          <w:sz w:val="24"/>
        </w:rPr>
        <w:t>states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comment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make;</w:t>
      </w:r>
      <w:proofErr w:type="gramEnd"/>
    </w:p>
    <w:p w14:paraId="4E5649FA" w14:textId="77777777" w:rsidR="00961396" w:rsidRDefault="00062583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47" w:line="276" w:lineRule="auto"/>
        <w:ind w:right="477"/>
        <w:rPr>
          <w:sz w:val="24"/>
        </w:rPr>
      </w:pPr>
      <w:r>
        <w:rPr>
          <w:sz w:val="24"/>
        </w:rPr>
        <w:t>states</w:t>
      </w:r>
      <w:r>
        <w:rPr>
          <w:spacing w:val="-2"/>
          <w:sz w:val="24"/>
        </w:rPr>
        <w:t xml:space="preserve"> </w:t>
      </w:r>
      <w:r>
        <w:rPr>
          <w:sz w:val="24"/>
        </w:rPr>
        <w:t>that,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available,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content</w:t>
      </w:r>
      <w:r>
        <w:rPr>
          <w:spacing w:val="-51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proposed;</w:t>
      </w:r>
      <w:proofErr w:type="gramEnd"/>
    </w:p>
    <w:p w14:paraId="4E5649FB" w14:textId="77777777" w:rsidR="00961396" w:rsidRDefault="00062583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76" w:lineRule="auto"/>
        <w:ind w:right="124"/>
        <w:rPr>
          <w:sz w:val="24"/>
        </w:rPr>
      </w:pPr>
      <w:r>
        <w:rPr>
          <w:sz w:val="24"/>
        </w:rPr>
        <w:t>refers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standing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consultee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consultation;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</w:p>
    <w:p w14:paraId="4E5649FC" w14:textId="77777777" w:rsidR="00961396" w:rsidRDefault="00062583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91" w:lineRule="exact"/>
        <w:rPr>
          <w:sz w:val="24"/>
        </w:rPr>
      </w:pPr>
      <w:r>
        <w:rPr>
          <w:sz w:val="24"/>
        </w:rPr>
        <w:t>provides</w:t>
      </w:r>
      <w:r>
        <w:rPr>
          <w:spacing w:val="-3"/>
          <w:sz w:val="24"/>
        </w:rPr>
        <w:t xml:space="preserve"> </w:t>
      </w:r>
      <w:r>
        <w:rPr>
          <w:sz w:val="24"/>
        </w:rPr>
        <w:t>advice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consultor.</w:t>
      </w:r>
    </w:p>
    <w:p w14:paraId="4E5649FD" w14:textId="77777777" w:rsidR="00961396" w:rsidRDefault="00961396">
      <w:pPr>
        <w:pStyle w:val="BodyText"/>
      </w:pPr>
    </w:p>
    <w:p w14:paraId="4E5649FE" w14:textId="77777777" w:rsidR="00961396" w:rsidRDefault="00961396">
      <w:pPr>
        <w:pStyle w:val="BodyText"/>
        <w:spacing w:before="6"/>
        <w:rPr>
          <w:sz w:val="23"/>
        </w:rPr>
      </w:pPr>
    </w:p>
    <w:p w14:paraId="4E5649FF" w14:textId="77777777" w:rsidR="00961396" w:rsidRDefault="00062583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Performance</w:t>
      </w:r>
      <w:r>
        <w:rPr>
          <w:spacing w:val="-4"/>
        </w:rPr>
        <w:t xml:space="preserve"> </w:t>
      </w:r>
      <w:r>
        <w:t>reporting</w:t>
      </w:r>
    </w:p>
    <w:p w14:paraId="4E564A00" w14:textId="77777777" w:rsidR="00961396" w:rsidRDefault="00961396">
      <w:pPr>
        <w:pStyle w:val="BodyText"/>
        <w:spacing w:before="1"/>
        <w:rPr>
          <w:b/>
          <w:sz w:val="20"/>
        </w:rPr>
      </w:pPr>
    </w:p>
    <w:p w14:paraId="4E564A01" w14:textId="77777777" w:rsidR="00961396" w:rsidRDefault="00062583">
      <w:pPr>
        <w:pStyle w:val="BodyText"/>
        <w:spacing w:line="276" w:lineRule="auto"/>
        <w:ind w:left="100" w:right="201"/>
      </w:pPr>
      <w:r>
        <w:t>In accordance with Article 23 of the Development Control Management Order, statutory</w:t>
      </w:r>
      <w:r>
        <w:rPr>
          <w:spacing w:val="1"/>
        </w:rPr>
        <w:t xml:space="preserve"> </w:t>
      </w:r>
      <w:r>
        <w:t>consultees are required to provide reports on their performance for the period of 12</w:t>
      </w:r>
      <w:r>
        <w:rPr>
          <w:spacing w:val="1"/>
        </w:rPr>
        <w:t xml:space="preserve"> </w:t>
      </w:r>
      <w:r>
        <w:t>months commencing 1 April in the preceding year (on this occasion 15 April). The reports</w:t>
      </w:r>
      <w:r>
        <w:rPr>
          <w:spacing w:val="-52"/>
        </w:rPr>
        <w:t xml:space="preserve"> </w:t>
      </w:r>
      <w:r>
        <w:t>should be sent to the Department for Communities and Local Government each year an</w:t>
      </w:r>
      <w:r>
        <w:t>d</w:t>
      </w:r>
      <w:r>
        <w:rPr>
          <w:spacing w:val="-52"/>
        </w:rPr>
        <w:t xml:space="preserve"> </w:t>
      </w:r>
      <w:r>
        <w:t>published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statutory</w:t>
      </w:r>
      <w:r>
        <w:rPr>
          <w:spacing w:val="2"/>
        </w:rPr>
        <w:t xml:space="preserve"> </w:t>
      </w:r>
      <w:r>
        <w:t>consultees’</w:t>
      </w:r>
      <w:r>
        <w:rPr>
          <w:spacing w:val="1"/>
        </w:rPr>
        <w:t xml:space="preserve"> </w:t>
      </w:r>
      <w:r>
        <w:t>website.</w:t>
      </w:r>
    </w:p>
    <w:p w14:paraId="4E564A02" w14:textId="77777777" w:rsidR="00961396" w:rsidRDefault="00961396">
      <w:pPr>
        <w:spacing w:line="276" w:lineRule="auto"/>
        <w:sectPr w:rsidR="00961396">
          <w:footerReference w:type="default" r:id="rId7"/>
          <w:type w:val="continuous"/>
          <w:pgSz w:w="11910" w:h="16840"/>
          <w:pgMar w:top="1400" w:right="1360" w:bottom="1180" w:left="1340" w:header="0" w:footer="998" w:gutter="0"/>
          <w:pgNumType w:start="1"/>
          <w:cols w:space="720"/>
        </w:sectPr>
      </w:pPr>
    </w:p>
    <w:p w14:paraId="4E564A03" w14:textId="77777777" w:rsidR="00961396" w:rsidRDefault="00062583">
      <w:pPr>
        <w:pStyle w:val="BodyText"/>
        <w:spacing w:before="24"/>
        <w:ind w:left="100"/>
      </w:pPr>
      <w:r>
        <w:lastRenderedPageBreak/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contain:</w:t>
      </w:r>
    </w:p>
    <w:p w14:paraId="4E564A04" w14:textId="77777777" w:rsidR="00961396" w:rsidRDefault="00961396">
      <w:pPr>
        <w:pStyle w:val="BodyText"/>
        <w:spacing w:before="2"/>
        <w:rPr>
          <w:sz w:val="20"/>
        </w:rPr>
      </w:pPr>
    </w:p>
    <w:p w14:paraId="4E564A05" w14:textId="77777777" w:rsidR="00961396" w:rsidRDefault="0006258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occasions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consultee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consulted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a person other than a local planning authority and the number responded to within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reporting period</w:t>
      </w:r>
      <w:r>
        <w:rPr>
          <w:spacing w:val="-4"/>
          <w:sz w:val="24"/>
        </w:rPr>
        <w:t xml:space="preserve"> </w:t>
      </w:r>
      <w:r>
        <w:rPr>
          <w:sz w:val="24"/>
        </w:rPr>
        <w:t>(for</w:t>
      </w:r>
      <w:r>
        <w:rPr>
          <w:spacing w:val="-4"/>
          <w:sz w:val="24"/>
        </w:rPr>
        <w:t xml:space="preserve"> </w:t>
      </w:r>
      <w:r>
        <w:rPr>
          <w:sz w:val="24"/>
        </w:rPr>
        <w:t>example</w:t>
      </w:r>
      <w:r>
        <w:rPr>
          <w:spacing w:val="-2"/>
          <w:sz w:val="24"/>
        </w:rPr>
        <w:t xml:space="preserve"> </w:t>
      </w:r>
      <w:r>
        <w:rPr>
          <w:sz w:val="24"/>
        </w:rPr>
        <w:t>pre-application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  <w:r>
        <w:rPr>
          <w:spacing w:val="-2"/>
          <w:sz w:val="24"/>
        </w:rPr>
        <w:t xml:space="preserve"> </w:t>
      </w:r>
      <w:r>
        <w:rPr>
          <w:sz w:val="24"/>
        </w:rPr>
        <w:t>consultations).</w:t>
      </w:r>
    </w:p>
    <w:p w14:paraId="4E564A06" w14:textId="77777777" w:rsidR="00961396" w:rsidRDefault="00961396">
      <w:pPr>
        <w:pStyle w:val="BodyText"/>
        <w:spacing w:before="8"/>
        <w:rPr>
          <w:sz w:val="23"/>
        </w:rPr>
      </w:pPr>
    </w:p>
    <w:p w14:paraId="4E564A07" w14:textId="77777777" w:rsidR="00961396" w:rsidRDefault="0006258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5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occasions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consultee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consulted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  <w:r>
        <w:rPr>
          <w:spacing w:val="-3"/>
          <w:sz w:val="24"/>
        </w:rPr>
        <w:t xml:space="preserve"> </w:t>
      </w:r>
      <w:r>
        <w:rPr>
          <w:sz w:val="24"/>
        </w:rPr>
        <w:t>authority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responses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4E564A08" w14:textId="77777777" w:rsidR="00961396" w:rsidRDefault="00961396">
      <w:pPr>
        <w:pStyle w:val="BodyText"/>
        <w:spacing w:before="1"/>
      </w:pPr>
    </w:p>
    <w:p w14:paraId="4E564A09" w14:textId="77777777" w:rsidR="00961396" w:rsidRDefault="0006258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1"/>
        <w:rPr>
          <w:sz w:val="24"/>
        </w:rPr>
      </w:pPr>
      <w:r>
        <w:rPr>
          <w:sz w:val="24"/>
        </w:rPr>
        <w:t>In relation to occasions on which the consultee has given a substantive response</w:t>
      </w:r>
      <w:r>
        <w:rPr>
          <w:spacing w:val="1"/>
          <w:sz w:val="24"/>
        </w:rPr>
        <w:t xml:space="preserve"> </w:t>
      </w:r>
      <w:r>
        <w:rPr>
          <w:sz w:val="24"/>
        </w:rPr>
        <w:t>outside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5"/>
          <w:sz w:val="24"/>
        </w:rPr>
        <w:t xml:space="preserve"> </w:t>
      </w:r>
      <w:r>
        <w:rPr>
          <w:sz w:val="24"/>
        </w:rPr>
        <w:t>referred to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54(4)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2004</w:t>
      </w:r>
      <w:r>
        <w:rPr>
          <w:spacing w:val="-6"/>
          <w:sz w:val="24"/>
        </w:rPr>
        <w:t xml:space="preserve"> </w:t>
      </w:r>
      <w:r>
        <w:rPr>
          <w:sz w:val="24"/>
        </w:rPr>
        <w:t>Act,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reports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1"/>
          <w:sz w:val="24"/>
        </w:rPr>
        <w:t xml:space="preserve"> </w:t>
      </w:r>
      <w:r>
        <w:rPr>
          <w:sz w:val="24"/>
        </w:rPr>
        <w:t>sent to the</w:t>
      </w:r>
      <w:r>
        <w:rPr>
          <w:sz w:val="24"/>
        </w:rPr>
        <w:t xml:space="preserve"> Department for Communities and Local Government each year, and</w:t>
      </w:r>
      <w:r>
        <w:rPr>
          <w:spacing w:val="1"/>
          <w:sz w:val="24"/>
        </w:rPr>
        <w:t xml:space="preserve"> </w:t>
      </w:r>
      <w:r>
        <w:rPr>
          <w:sz w:val="24"/>
        </w:rPr>
        <w:t>published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statutory consultee’s website.</w:t>
      </w:r>
    </w:p>
    <w:p w14:paraId="4E564A0A" w14:textId="77777777" w:rsidR="00961396" w:rsidRDefault="00961396">
      <w:pPr>
        <w:pStyle w:val="BodyText"/>
        <w:spacing w:before="1"/>
      </w:pPr>
    </w:p>
    <w:p w14:paraId="4E564A0B" w14:textId="77777777" w:rsidR="00961396" w:rsidRDefault="0006258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64"/>
        <w:rPr>
          <w:sz w:val="24"/>
        </w:rPr>
      </w:pPr>
      <w:r>
        <w:rPr>
          <w:sz w:val="24"/>
        </w:rPr>
        <w:t xml:space="preserve">The number of incidences where negotiated extensions to the </w:t>
      </w:r>
      <w:proofErr w:type="gramStart"/>
      <w:r>
        <w:rPr>
          <w:sz w:val="24"/>
        </w:rPr>
        <w:t>21 day</w:t>
      </w:r>
      <w:proofErr w:type="gramEnd"/>
      <w:r>
        <w:rPr>
          <w:sz w:val="24"/>
        </w:rPr>
        <w:t xml:space="preserve"> deadline are</w:t>
      </w:r>
      <w:r>
        <w:rPr>
          <w:spacing w:val="-53"/>
          <w:sz w:val="24"/>
        </w:rPr>
        <w:t xml:space="preserve"> </w:t>
      </w:r>
      <w:r>
        <w:rPr>
          <w:sz w:val="24"/>
        </w:rPr>
        <w:t>agreed with the Local Planning Authority a summary of the reasons why the</w:t>
      </w:r>
      <w:r>
        <w:rPr>
          <w:spacing w:val="1"/>
          <w:sz w:val="24"/>
        </w:rPr>
        <w:t xml:space="preserve"> </w:t>
      </w:r>
      <w:r>
        <w:rPr>
          <w:sz w:val="24"/>
        </w:rPr>
        <w:t>consultee</w:t>
      </w:r>
      <w:r>
        <w:rPr>
          <w:spacing w:val="-2"/>
          <w:sz w:val="24"/>
        </w:rPr>
        <w:t xml:space="preserve"> </w:t>
      </w:r>
      <w:r>
        <w:rPr>
          <w:sz w:val="24"/>
        </w:rPr>
        <w:t>failed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comply 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duty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respond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period.</w:t>
      </w:r>
    </w:p>
    <w:p w14:paraId="4E564A0C" w14:textId="77777777" w:rsidR="00961396" w:rsidRDefault="00961396">
      <w:pPr>
        <w:pStyle w:val="BodyText"/>
      </w:pPr>
    </w:p>
    <w:p w14:paraId="4E564A0D" w14:textId="77777777" w:rsidR="00961396" w:rsidRDefault="00961396">
      <w:pPr>
        <w:pStyle w:val="BodyText"/>
        <w:rPr>
          <w:sz w:val="20"/>
        </w:rPr>
      </w:pPr>
    </w:p>
    <w:p w14:paraId="4E564A0E" w14:textId="77777777" w:rsidR="00961396" w:rsidRDefault="00062583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1"/>
      </w:pPr>
      <w:r>
        <w:t>Overview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type</w:t>
      </w:r>
    </w:p>
    <w:p w14:paraId="4E564A0F" w14:textId="77777777" w:rsidR="00961396" w:rsidRDefault="00961396">
      <w:pPr>
        <w:pStyle w:val="BodyText"/>
        <w:rPr>
          <w:b/>
          <w:sz w:val="20"/>
        </w:rPr>
      </w:pPr>
    </w:p>
    <w:p w14:paraId="4E564A10" w14:textId="77777777" w:rsidR="00961396" w:rsidRDefault="00062583">
      <w:pPr>
        <w:pStyle w:val="BodyText"/>
        <w:spacing w:line="276" w:lineRule="auto"/>
        <w:ind w:left="100"/>
      </w:pPr>
      <w:r>
        <w:t>Table 1 below provides an overview of compliance for every consultation type received</w:t>
      </w:r>
      <w:r>
        <w:rPr>
          <w:spacing w:val="1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types.</w:t>
      </w:r>
    </w:p>
    <w:p w14:paraId="4E564A11" w14:textId="77777777" w:rsidR="00961396" w:rsidRDefault="00062583">
      <w:pPr>
        <w:pStyle w:val="Heading1"/>
        <w:spacing w:before="200"/>
        <w:ind w:left="100" w:firstLine="0"/>
      </w:pPr>
      <w:r>
        <w:t>Table</w:t>
      </w:r>
      <w:r>
        <w:rPr>
          <w:spacing w:val="-5"/>
        </w:rPr>
        <w:t xml:space="preserve"> </w:t>
      </w:r>
      <w:r>
        <w:t>1:</w:t>
      </w:r>
      <w:r>
        <w:rPr>
          <w:spacing w:val="48"/>
        </w:rPr>
        <w:t xml:space="preserve"> </w:t>
      </w:r>
      <w:r>
        <w:t>Statutory</w:t>
      </w:r>
      <w:r>
        <w:rPr>
          <w:spacing w:val="-2"/>
        </w:rPr>
        <w:t xml:space="preserve"> </w:t>
      </w:r>
      <w:r>
        <w:t>Consultee</w:t>
      </w:r>
      <w:r>
        <w:rPr>
          <w:spacing w:val="-5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results</w:t>
      </w:r>
      <w:r>
        <w:rPr>
          <w:spacing w:val="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2018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31</w:t>
      </w:r>
      <w:r>
        <w:rPr>
          <w:spacing w:val="-5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2019</w:t>
      </w:r>
    </w:p>
    <w:p w14:paraId="4E564A12" w14:textId="77777777" w:rsidR="00961396" w:rsidRDefault="00961396">
      <w:pPr>
        <w:pStyle w:val="BodyText"/>
        <w:spacing w:before="11"/>
        <w:rPr>
          <w:b/>
          <w:sz w:val="19"/>
        </w:rPr>
      </w:pPr>
    </w:p>
    <w:tbl>
      <w:tblPr>
        <w:tblStyle w:val="GridTable1Light-Accent1"/>
        <w:tblW w:w="0" w:type="auto"/>
        <w:tblLayout w:type="fixed"/>
        <w:tblLook w:val="01E0" w:firstRow="1" w:lastRow="1" w:firstColumn="1" w:lastColumn="1" w:noHBand="0" w:noVBand="0"/>
      </w:tblPr>
      <w:tblGrid>
        <w:gridCol w:w="2703"/>
        <w:gridCol w:w="1839"/>
        <w:gridCol w:w="2900"/>
        <w:gridCol w:w="1503"/>
      </w:tblGrid>
      <w:tr w:rsidR="00961396" w14:paraId="4E564A17" w14:textId="77777777" w:rsidTr="00062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13" w14:textId="77777777" w:rsidR="00961396" w:rsidRDefault="00062583">
            <w:pPr>
              <w:pStyle w:val="TableParagraph"/>
              <w:ind w:left="110"/>
              <w:jc w:val="left"/>
              <w:rPr>
                <w:b w:val="0"/>
              </w:rPr>
            </w:pPr>
            <w:r>
              <w:t>Consultation</w:t>
            </w:r>
            <w:r>
              <w:rPr>
                <w:spacing w:val="-2"/>
              </w:rPr>
              <w:t xml:space="preserve"> </w:t>
            </w:r>
            <w:r>
              <w:t>Type</w:t>
            </w:r>
          </w:p>
        </w:tc>
        <w:tc>
          <w:tcPr>
            <w:tcW w:w="1839" w:type="dxa"/>
          </w:tcPr>
          <w:p w14:paraId="4E564A14" w14:textId="77777777" w:rsidR="00961396" w:rsidRDefault="00062583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Number</w:t>
            </w:r>
            <w:r>
              <w:rPr>
                <w:spacing w:val="-6"/>
              </w:rPr>
              <w:t xml:space="preserve"> </w:t>
            </w:r>
            <w:r>
              <w:t>Received</w:t>
            </w:r>
          </w:p>
        </w:tc>
        <w:tc>
          <w:tcPr>
            <w:tcW w:w="2900" w:type="dxa"/>
          </w:tcPr>
          <w:p w14:paraId="4E564A15" w14:textId="77777777" w:rsidR="00961396" w:rsidRDefault="00062583">
            <w:pPr>
              <w:pStyle w:val="TableParagraph"/>
              <w:ind w:right="13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Responded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21</w:t>
            </w:r>
            <w:r>
              <w:rPr>
                <w:spacing w:val="-4"/>
              </w:rPr>
              <w:t xml:space="preserve"> </w:t>
            </w:r>
            <w:r>
              <w:t>days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16" w14:textId="77777777" w:rsidR="00961396" w:rsidRDefault="00062583">
            <w:pPr>
              <w:pStyle w:val="TableParagraph"/>
              <w:ind w:right="99"/>
              <w:rPr>
                <w:b w:val="0"/>
              </w:rPr>
            </w:pPr>
            <w:r>
              <w:t>%</w:t>
            </w:r>
            <w:r>
              <w:rPr>
                <w:spacing w:val="-2"/>
              </w:rPr>
              <w:t xml:space="preserve"> </w:t>
            </w:r>
            <w:r>
              <w:t>Compliance</w:t>
            </w:r>
          </w:p>
        </w:tc>
      </w:tr>
      <w:tr w:rsidR="00961396" w14:paraId="4E564A1C" w14:textId="77777777" w:rsidTr="0006258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18" w14:textId="77777777" w:rsidR="00961396" w:rsidRDefault="00062583">
            <w:pPr>
              <w:pStyle w:val="TableParagraph"/>
              <w:spacing w:line="261" w:lineRule="exact"/>
              <w:ind w:left="110"/>
              <w:jc w:val="left"/>
              <w:rPr>
                <w:b w:val="0"/>
              </w:rPr>
            </w:pPr>
            <w:r>
              <w:t>Appeal</w:t>
            </w:r>
          </w:p>
        </w:tc>
        <w:tc>
          <w:tcPr>
            <w:tcW w:w="1839" w:type="dxa"/>
          </w:tcPr>
          <w:p w14:paraId="4E564A19" w14:textId="77777777" w:rsidR="00961396" w:rsidRDefault="00062583">
            <w:pPr>
              <w:pStyle w:val="TableParagraph"/>
              <w:spacing w:line="261" w:lineRule="exact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900" w:type="dxa"/>
          </w:tcPr>
          <w:p w14:paraId="4E564A1A" w14:textId="77777777" w:rsidR="00961396" w:rsidRDefault="00062583">
            <w:pPr>
              <w:pStyle w:val="TableParagraph"/>
              <w:spacing w:line="261" w:lineRule="exact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1B" w14:textId="77777777" w:rsidR="00961396" w:rsidRDefault="00062583">
            <w:pPr>
              <w:pStyle w:val="TableParagraph"/>
              <w:spacing w:line="261" w:lineRule="exact"/>
              <w:ind w:right="99"/>
            </w:pPr>
            <w:r>
              <w:t>80%</w:t>
            </w:r>
          </w:p>
        </w:tc>
      </w:tr>
      <w:tr w:rsidR="00961396" w14:paraId="4E564A21" w14:textId="77777777" w:rsidTr="0006258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1D" w14:textId="77777777" w:rsidR="00961396" w:rsidRDefault="00062583">
            <w:pPr>
              <w:pStyle w:val="TableParagraph"/>
              <w:spacing w:line="257" w:lineRule="exact"/>
              <w:ind w:left="110"/>
              <w:jc w:val="left"/>
              <w:rPr>
                <w:b w:val="0"/>
              </w:rPr>
            </w:pPr>
            <w:r>
              <w:t>Condition</w:t>
            </w:r>
            <w:r>
              <w:rPr>
                <w:spacing w:val="-3"/>
              </w:rPr>
              <w:t xml:space="preserve"> </w:t>
            </w:r>
            <w:r>
              <w:t>Discharge</w:t>
            </w:r>
          </w:p>
        </w:tc>
        <w:tc>
          <w:tcPr>
            <w:tcW w:w="1839" w:type="dxa"/>
          </w:tcPr>
          <w:p w14:paraId="4E564A1E" w14:textId="77777777" w:rsidR="00961396" w:rsidRDefault="00062583">
            <w:pPr>
              <w:pStyle w:val="TableParagraph"/>
              <w:spacing w:line="257" w:lineRule="exact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2900" w:type="dxa"/>
          </w:tcPr>
          <w:p w14:paraId="4E564A1F" w14:textId="77777777" w:rsidR="00961396" w:rsidRDefault="00062583">
            <w:pPr>
              <w:pStyle w:val="TableParagraph"/>
              <w:spacing w:line="257" w:lineRule="exact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20" w14:textId="77777777" w:rsidR="00961396" w:rsidRDefault="00062583">
            <w:pPr>
              <w:pStyle w:val="TableParagraph"/>
              <w:spacing w:line="257" w:lineRule="exact"/>
              <w:ind w:right="99"/>
            </w:pPr>
            <w:r>
              <w:t>97%</w:t>
            </w:r>
          </w:p>
        </w:tc>
      </w:tr>
      <w:tr w:rsidR="00961396" w14:paraId="4E564A26" w14:textId="77777777" w:rsidTr="0006258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22" w14:textId="77777777" w:rsidR="00961396" w:rsidRDefault="00062583">
            <w:pPr>
              <w:pStyle w:val="TableParagraph"/>
              <w:ind w:left="110"/>
              <w:jc w:val="left"/>
              <w:rPr>
                <w:b w:val="0"/>
              </w:rPr>
            </w:pPr>
            <w:r>
              <w:t>Change</w:t>
            </w:r>
            <w:r>
              <w:rPr>
                <w:spacing w:val="-4"/>
              </w:rPr>
              <w:t xml:space="preserve"> </w:t>
            </w:r>
            <w:r>
              <w:t>of Use</w:t>
            </w:r>
          </w:p>
        </w:tc>
        <w:tc>
          <w:tcPr>
            <w:tcW w:w="1839" w:type="dxa"/>
          </w:tcPr>
          <w:p w14:paraId="4E564A23" w14:textId="77777777" w:rsidR="00961396" w:rsidRDefault="00062583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900" w:type="dxa"/>
          </w:tcPr>
          <w:p w14:paraId="4E564A24" w14:textId="77777777" w:rsidR="00961396" w:rsidRDefault="00062583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25" w14:textId="77777777" w:rsidR="00961396" w:rsidRDefault="00062583">
            <w:pPr>
              <w:pStyle w:val="TableParagraph"/>
              <w:ind w:right="99"/>
            </w:pPr>
            <w:r>
              <w:t>100%</w:t>
            </w:r>
          </w:p>
        </w:tc>
      </w:tr>
      <w:tr w:rsidR="00961396" w14:paraId="4E564A2B" w14:textId="77777777" w:rsidTr="0006258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27" w14:textId="77777777" w:rsidR="00961396" w:rsidRDefault="00062583">
            <w:pPr>
              <w:pStyle w:val="TableParagraph"/>
              <w:spacing w:before="6"/>
              <w:ind w:left="110"/>
              <w:jc w:val="left"/>
              <w:rPr>
                <w:b w:val="0"/>
              </w:rPr>
            </w:pPr>
            <w:r>
              <w:t>EIA*</w:t>
            </w:r>
          </w:p>
        </w:tc>
        <w:tc>
          <w:tcPr>
            <w:tcW w:w="1839" w:type="dxa"/>
          </w:tcPr>
          <w:p w14:paraId="4E564A28" w14:textId="77777777" w:rsidR="00961396" w:rsidRDefault="00062583">
            <w:pPr>
              <w:pStyle w:val="TableParagraph"/>
              <w:spacing w:before="6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900" w:type="dxa"/>
          </w:tcPr>
          <w:p w14:paraId="4E564A29" w14:textId="77777777" w:rsidR="00961396" w:rsidRDefault="00062583">
            <w:pPr>
              <w:pStyle w:val="TableParagraph"/>
              <w:spacing w:before="6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2A" w14:textId="77777777" w:rsidR="00961396" w:rsidRDefault="00062583">
            <w:pPr>
              <w:pStyle w:val="TableParagraph"/>
              <w:spacing w:before="6"/>
              <w:ind w:right="99"/>
            </w:pPr>
            <w:r>
              <w:t>100%</w:t>
            </w:r>
          </w:p>
        </w:tc>
      </w:tr>
      <w:tr w:rsidR="00961396" w14:paraId="4E564A30" w14:textId="77777777" w:rsidTr="0006258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2C" w14:textId="77777777" w:rsidR="00961396" w:rsidRDefault="00062583">
            <w:pPr>
              <w:pStyle w:val="TableParagraph"/>
              <w:ind w:left="110"/>
              <w:jc w:val="left"/>
              <w:rPr>
                <w:b w:val="0"/>
              </w:rPr>
            </w:pPr>
            <w:r>
              <w:t>Listed</w:t>
            </w:r>
            <w:r>
              <w:rPr>
                <w:spacing w:val="-3"/>
              </w:rPr>
              <w:t xml:space="preserve"> </w:t>
            </w:r>
            <w:r>
              <w:t>Building</w:t>
            </w:r>
            <w:r>
              <w:rPr>
                <w:spacing w:val="-2"/>
              </w:rPr>
              <w:t xml:space="preserve"> </w:t>
            </w:r>
            <w:r>
              <w:t>App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Minor</w:t>
            </w:r>
          </w:p>
        </w:tc>
        <w:tc>
          <w:tcPr>
            <w:tcW w:w="1839" w:type="dxa"/>
          </w:tcPr>
          <w:p w14:paraId="4E564A2D" w14:textId="77777777" w:rsidR="00961396" w:rsidRDefault="00062583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900" w:type="dxa"/>
          </w:tcPr>
          <w:p w14:paraId="4E564A2E" w14:textId="77777777" w:rsidR="00961396" w:rsidRDefault="00062583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2F" w14:textId="77777777" w:rsidR="00961396" w:rsidRDefault="00062583">
            <w:pPr>
              <w:pStyle w:val="TableParagraph"/>
              <w:ind w:right="99"/>
            </w:pPr>
            <w:r>
              <w:t>100%</w:t>
            </w:r>
          </w:p>
        </w:tc>
      </w:tr>
      <w:tr w:rsidR="00961396" w14:paraId="4E564A35" w14:textId="77777777" w:rsidTr="0006258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31" w14:textId="77777777" w:rsidR="00961396" w:rsidRDefault="00062583">
            <w:pPr>
              <w:pStyle w:val="TableParagraph"/>
              <w:spacing w:line="261" w:lineRule="exact"/>
              <w:ind w:left="110"/>
              <w:jc w:val="left"/>
              <w:rPr>
                <w:b w:val="0"/>
              </w:rPr>
            </w:pPr>
            <w:r>
              <w:t>Major</w:t>
            </w:r>
            <w:r>
              <w:rPr>
                <w:spacing w:val="-3"/>
              </w:rPr>
              <w:t xml:space="preserve"> </w:t>
            </w:r>
            <w:r>
              <w:t>Full</w:t>
            </w:r>
          </w:p>
        </w:tc>
        <w:tc>
          <w:tcPr>
            <w:tcW w:w="1839" w:type="dxa"/>
          </w:tcPr>
          <w:p w14:paraId="4E564A32" w14:textId="77777777" w:rsidR="00961396" w:rsidRDefault="00062583">
            <w:pPr>
              <w:pStyle w:val="TableParagraph"/>
              <w:spacing w:line="261" w:lineRule="exact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2900" w:type="dxa"/>
          </w:tcPr>
          <w:p w14:paraId="4E564A33" w14:textId="77777777" w:rsidR="00961396" w:rsidRDefault="00062583">
            <w:pPr>
              <w:pStyle w:val="TableParagraph"/>
              <w:spacing w:line="261" w:lineRule="exact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34" w14:textId="77777777" w:rsidR="00961396" w:rsidRDefault="00062583">
            <w:pPr>
              <w:pStyle w:val="TableParagraph"/>
              <w:spacing w:line="261" w:lineRule="exact"/>
              <w:ind w:right="99"/>
            </w:pPr>
            <w:r>
              <w:t>93%</w:t>
            </w:r>
          </w:p>
        </w:tc>
      </w:tr>
      <w:tr w:rsidR="00961396" w14:paraId="4E564A3A" w14:textId="77777777" w:rsidTr="0006258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36" w14:textId="77777777" w:rsidR="00961396" w:rsidRDefault="00062583">
            <w:pPr>
              <w:pStyle w:val="TableParagraph"/>
              <w:ind w:left="110"/>
              <w:jc w:val="left"/>
              <w:rPr>
                <w:b w:val="0"/>
              </w:rPr>
            </w:pPr>
            <w:r>
              <w:t>Major</w:t>
            </w:r>
            <w:r>
              <w:rPr>
                <w:spacing w:val="-4"/>
              </w:rPr>
              <w:t xml:space="preserve"> </w:t>
            </w:r>
            <w:r>
              <w:t>Outline</w:t>
            </w:r>
          </w:p>
        </w:tc>
        <w:tc>
          <w:tcPr>
            <w:tcW w:w="1839" w:type="dxa"/>
          </w:tcPr>
          <w:p w14:paraId="4E564A37" w14:textId="77777777" w:rsidR="00961396" w:rsidRDefault="00062583">
            <w:pPr>
              <w:pStyle w:val="TableParagraph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900" w:type="dxa"/>
          </w:tcPr>
          <w:p w14:paraId="4E564A38" w14:textId="77777777" w:rsidR="00961396" w:rsidRDefault="00062583">
            <w:pPr>
              <w:pStyle w:val="TableParagraph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39" w14:textId="77777777" w:rsidR="00961396" w:rsidRDefault="00062583">
            <w:pPr>
              <w:pStyle w:val="TableParagraph"/>
              <w:ind w:right="99"/>
            </w:pPr>
            <w:r>
              <w:t>86%</w:t>
            </w:r>
          </w:p>
        </w:tc>
      </w:tr>
      <w:tr w:rsidR="00961396" w14:paraId="4E564A3F" w14:textId="77777777" w:rsidTr="000625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3B" w14:textId="77777777" w:rsidR="00961396" w:rsidRDefault="00062583">
            <w:pPr>
              <w:pStyle w:val="TableParagraph"/>
              <w:spacing w:line="262" w:lineRule="exact"/>
              <w:ind w:left="110"/>
              <w:jc w:val="left"/>
              <w:rPr>
                <w:b w:val="0"/>
              </w:rPr>
            </w:pPr>
            <w:r>
              <w:t>Major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Preapp</w:t>
            </w:r>
            <w:proofErr w:type="spellEnd"/>
          </w:p>
        </w:tc>
        <w:tc>
          <w:tcPr>
            <w:tcW w:w="1839" w:type="dxa"/>
          </w:tcPr>
          <w:p w14:paraId="4E564A3C" w14:textId="77777777" w:rsidR="00961396" w:rsidRDefault="00062583">
            <w:pPr>
              <w:pStyle w:val="TableParagraph"/>
              <w:spacing w:line="262" w:lineRule="exact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900" w:type="dxa"/>
          </w:tcPr>
          <w:p w14:paraId="4E564A3D" w14:textId="77777777" w:rsidR="00961396" w:rsidRDefault="00062583">
            <w:pPr>
              <w:pStyle w:val="TableParagraph"/>
              <w:spacing w:line="262" w:lineRule="exact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3E" w14:textId="77777777" w:rsidR="00961396" w:rsidRDefault="00062583">
            <w:pPr>
              <w:pStyle w:val="TableParagraph"/>
              <w:spacing w:line="262" w:lineRule="exact"/>
              <w:ind w:right="99"/>
            </w:pPr>
            <w:r>
              <w:t>64%</w:t>
            </w:r>
          </w:p>
        </w:tc>
      </w:tr>
      <w:tr w:rsidR="00961396" w14:paraId="4E564A44" w14:textId="77777777" w:rsidTr="0006258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40" w14:textId="77777777" w:rsidR="00961396" w:rsidRDefault="00062583">
            <w:pPr>
              <w:pStyle w:val="TableParagraph"/>
              <w:ind w:left="110"/>
              <w:jc w:val="left"/>
              <w:rPr>
                <w:b w:val="0"/>
              </w:rPr>
            </w:pPr>
            <w:r>
              <w:t>Minor</w:t>
            </w:r>
          </w:p>
        </w:tc>
        <w:tc>
          <w:tcPr>
            <w:tcW w:w="1839" w:type="dxa"/>
          </w:tcPr>
          <w:p w14:paraId="4E564A41" w14:textId="77777777" w:rsidR="00961396" w:rsidRDefault="00062583">
            <w:pPr>
              <w:pStyle w:val="TableParagraph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900" w:type="dxa"/>
          </w:tcPr>
          <w:p w14:paraId="4E564A42" w14:textId="77777777" w:rsidR="00961396" w:rsidRDefault="00062583">
            <w:pPr>
              <w:pStyle w:val="TableParagraph"/>
              <w:ind w:right="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43" w14:textId="77777777" w:rsidR="00961396" w:rsidRDefault="00062583">
            <w:pPr>
              <w:pStyle w:val="TableParagraph"/>
              <w:ind w:right="99"/>
            </w:pPr>
            <w:r>
              <w:t>100%</w:t>
            </w:r>
          </w:p>
        </w:tc>
      </w:tr>
      <w:tr w:rsidR="00961396" w14:paraId="4E564A49" w14:textId="77777777" w:rsidTr="0006258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45" w14:textId="77777777" w:rsidR="00961396" w:rsidRDefault="00062583">
            <w:pPr>
              <w:pStyle w:val="TableParagraph"/>
              <w:ind w:left="110"/>
              <w:jc w:val="left"/>
              <w:rPr>
                <w:b w:val="0"/>
              </w:rPr>
            </w:pPr>
            <w:r>
              <w:t>Reserved</w:t>
            </w:r>
            <w:r>
              <w:rPr>
                <w:spacing w:val="-2"/>
              </w:rPr>
              <w:t xml:space="preserve"> </w:t>
            </w:r>
            <w:r>
              <w:t>Matters</w:t>
            </w:r>
            <w:r>
              <w:rPr>
                <w:spacing w:val="-4"/>
              </w:rPr>
              <w:t xml:space="preserve"> </w:t>
            </w:r>
            <w:r>
              <w:t>(Major)</w:t>
            </w:r>
          </w:p>
        </w:tc>
        <w:tc>
          <w:tcPr>
            <w:tcW w:w="1839" w:type="dxa"/>
          </w:tcPr>
          <w:p w14:paraId="4E564A46" w14:textId="77777777" w:rsidR="00961396" w:rsidRDefault="00062583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900" w:type="dxa"/>
          </w:tcPr>
          <w:p w14:paraId="4E564A47" w14:textId="77777777" w:rsidR="00961396" w:rsidRDefault="00062583">
            <w:pPr>
              <w:pStyle w:val="TableParagraph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48" w14:textId="77777777" w:rsidR="00961396" w:rsidRDefault="00062583">
            <w:pPr>
              <w:pStyle w:val="TableParagraph"/>
              <w:ind w:right="99"/>
            </w:pPr>
            <w:r>
              <w:t>86%</w:t>
            </w:r>
          </w:p>
        </w:tc>
      </w:tr>
      <w:tr w:rsidR="00961396" w14:paraId="4E564A4E" w14:textId="77777777" w:rsidTr="00062583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4A" w14:textId="77777777" w:rsidR="00961396" w:rsidRDefault="00062583">
            <w:pPr>
              <w:pStyle w:val="TableParagraph"/>
              <w:spacing w:line="261" w:lineRule="exact"/>
              <w:ind w:left="110"/>
              <w:jc w:val="left"/>
              <w:rPr>
                <w:b w:val="0"/>
              </w:rPr>
            </w:pPr>
            <w:r>
              <w:t>Variation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condition</w:t>
            </w:r>
          </w:p>
        </w:tc>
        <w:tc>
          <w:tcPr>
            <w:tcW w:w="1839" w:type="dxa"/>
          </w:tcPr>
          <w:p w14:paraId="4E564A4B" w14:textId="77777777" w:rsidR="00961396" w:rsidRDefault="00062583">
            <w:pPr>
              <w:pStyle w:val="TableParagraph"/>
              <w:spacing w:line="261" w:lineRule="exact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900" w:type="dxa"/>
          </w:tcPr>
          <w:p w14:paraId="4E564A4C" w14:textId="77777777" w:rsidR="00961396" w:rsidRDefault="00062583">
            <w:pPr>
              <w:pStyle w:val="TableParagraph"/>
              <w:spacing w:line="261" w:lineRule="exact"/>
              <w:ind w:right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4D" w14:textId="77777777" w:rsidR="00961396" w:rsidRDefault="00062583">
            <w:pPr>
              <w:pStyle w:val="TableParagraph"/>
              <w:spacing w:line="261" w:lineRule="exact"/>
              <w:ind w:right="99"/>
            </w:pPr>
            <w:r>
              <w:t>100%</w:t>
            </w:r>
          </w:p>
        </w:tc>
      </w:tr>
      <w:tr w:rsidR="00961396" w14:paraId="4E564A58" w14:textId="77777777" w:rsidTr="000625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14:paraId="4E564A54" w14:textId="77777777" w:rsidR="00961396" w:rsidRDefault="00062583">
            <w:pPr>
              <w:pStyle w:val="TableParagraph"/>
              <w:spacing w:line="261" w:lineRule="exact"/>
              <w:ind w:left="110"/>
              <w:jc w:val="left"/>
              <w:rPr>
                <w:b w:val="0"/>
              </w:rPr>
            </w:pPr>
            <w:r>
              <w:t>Total</w:t>
            </w:r>
          </w:p>
        </w:tc>
        <w:tc>
          <w:tcPr>
            <w:tcW w:w="1839" w:type="dxa"/>
          </w:tcPr>
          <w:p w14:paraId="4E564A55" w14:textId="77777777" w:rsidR="00961396" w:rsidRDefault="00062583">
            <w:pPr>
              <w:pStyle w:val="TableParagraph"/>
              <w:spacing w:line="261" w:lineRule="exact"/>
              <w:ind w:right="103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195</w:t>
            </w:r>
          </w:p>
        </w:tc>
        <w:tc>
          <w:tcPr>
            <w:tcW w:w="2900" w:type="dxa"/>
          </w:tcPr>
          <w:p w14:paraId="4E564A56" w14:textId="77777777" w:rsidR="00961396" w:rsidRDefault="00062583">
            <w:pPr>
              <w:pStyle w:val="TableParagraph"/>
              <w:spacing w:line="261" w:lineRule="exact"/>
              <w:ind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181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03" w:type="dxa"/>
          </w:tcPr>
          <w:p w14:paraId="4E564A57" w14:textId="77777777" w:rsidR="00961396" w:rsidRDefault="00062583">
            <w:pPr>
              <w:pStyle w:val="TableParagraph"/>
              <w:spacing w:line="261" w:lineRule="exact"/>
              <w:ind w:right="101"/>
              <w:rPr>
                <w:b w:val="0"/>
              </w:rPr>
            </w:pPr>
            <w:r>
              <w:t>93%</w:t>
            </w:r>
          </w:p>
        </w:tc>
      </w:tr>
    </w:tbl>
    <w:p w14:paraId="4E564A59" w14:textId="77777777" w:rsidR="00961396" w:rsidRDefault="00961396">
      <w:pPr>
        <w:pStyle w:val="BodyText"/>
        <w:rPr>
          <w:b/>
        </w:rPr>
      </w:pPr>
    </w:p>
    <w:p w14:paraId="4E564A5A" w14:textId="77777777" w:rsidR="00961396" w:rsidRDefault="00961396">
      <w:pPr>
        <w:pStyle w:val="BodyText"/>
        <w:spacing w:before="10"/>
        <w:rPr>
          <w:b/>
          <w:sz w:val="20"/>
        </w:rPr>
      </w:pPr>
    </w:p>
    <w:p w14:paraId="4E564A5B" w14:textId="77777777" w:rsidR="00961396" w:rsidRDefault="00062583">
      <w:pPr>
        <w:ind w:left="100"/>
        <w:rPr>
          <w:b/>
          <w:i/>
          <w:sz w:val="20"/>
        </w:rPr>
      </w:pPr>
      <w:r>
        <w:rPr>
          <w:b/>
          <w:i/>
          <w:sz w:val="20"/>
        </w:rPr>
        <w:t>*EIA: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Environmental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Impact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Assessment</w:t>
      </w:r>
    </w:p>
    <w:p w14:paraId="4E564A5C" w14:textId="77777777" w:rsidR="00961396" w:rsidRDefault="00961396">
      <w:pPr>
        <w:rPr>
          <w:sz w:val="20"/>
        </w:rPr>
        <w:sectPr w:rsidR="00961396">
          <w:pgSz w:w="11910" w:h="16840"/>
          <w:pgMar w:top="1400" w:right="1360" w:bottom="1180" w:left="1340" w:header="0" w:footer="998" w:gutter="0"/>
          <w:cols w:space="720"/>
        </w:sectPr>
      </w:pPr>
    </w:p>
    <w:p w14:paraId="4E564A5D" w14:textId="77777777" w:rsidR="00961396" w:rsidRDefault="00062583">
      <w:pPr>
        <w:spacing w:before="24"/>
        <w:ind w:left="100"/>
        <w:rPr>
          <w:i/>
          <w:sz w:val="24"/>
        </w:rPr>
      </w:pPr>
      <w:proofErr w:type="gramStart"/>
      <w:r>
        <w:rPr>
          <w:i/>
          <w:sz w:val="24"/>
        </w:rPr>
        <w:lastRenderedPageBreak/>
        <w:t>Consultations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overview</w:t>
      </w:r>
    </w:p>
    <w:p w14:paraId="4E564A5E" w14:textId="77777777" w:rsidR="00961396" w:rsidRDefault="00961396">
      <w:pPr>
        <w:pStyle w:val="BodyText"/>
        <w:rPr>
          <w:i/>
          <w:sz w:val="20"/>
        </w:rPr>
      </w:pPr>
    </w:p>
    <w:p w14:paraId="4E564A5F" w14:textId="77777777" w:rsidR="00961396" w:rsidRDefault="00062583">
      <w:pPr>
        <w:pStyle w:val="BodyText"/>
        <w:spacing w:line="276" w:lineRule="auto"/>
        <w:ind w:left="100"/>
      </w:pPr>
      <w:r>
        <w:t>We have an internal objective to achieve a minimum of 80% compliance for statutory</w:t>
      </w:r>
      <w:r>
        <w:rPr>
          <w:spacing w:val="1"/>
        </w:rPr>
        <w:t xml:space="preserve"> </w:t>
      </w:r>
      <w:r>
        <w:t>consultations applications (including Condition Discharge, Major Full, Major Outline, and</w:t>
      </w:r>
      <w:r>
        <w:rPr>
          <w:spacing w:val="-52"/>
        </w:rPr>
        <w:t xml:space="preserve"> </w:t>
      </w:r>
      <w:r>
        <w:t>Reserved</w:t>
      </w:r>
      <w:r>
        <w:rPr>
          <w:spacing w:val="-6"/>
        </w:rPr>
        <w:t xml:space="preserve"> </w:t>
      </w:r>
      <w:r>
        <w:t>Matters</w:t>
      </w:r>
      <w:r>
        <w:rPr>
          <w:spacing w:val="-3"/>
        </w:rPr>
        <w:t xml:space="preserve"> </w:t>
      </w:r>
      <w:r>
        <w:t>applications).</w:t>
      </w:r>
      <w:r>
        <w:rPr>
          <w:spacing w:val="5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achieved,</w:t>
      </w:r>
      <w:r>
        <w:rPr>
          <w:spacing w:val="-2"/>
        </w:rPr>
        <w:t xml:space="preserve"> </w:t>
      </w:r>
      <w:r>
        <w:t>assisted</w:t>
      </w:r>
      <w:r>
        <w:rPr>
          <w:spacing w:val="-6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reso</w:t>
      </w:r>
      <w:r>
        <w:t>urce.</w:t>
      </w:r>
    </w:p>
    <w:p w14:paraId="4E564A60" w14:textId="77777777" w:rsidR="00961396" w:rsidRDefault="00062583">
      <w:pPr>
        <w:spacing w:before="200"/>
        <w:ind w:left="100"/>
        <w:rPr>
          <w:i/>
          <w:sz w:val="24"/>
        </w:rPr>
      </w:pPr>
      <w:r>
        <w:rPr>
          <w:i/>
          <w:sz w:val="24"/>
        </w:rPr>
        <w:t>Consultations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outside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remit:</w:t>
      </w:r>
    </w:p>
    <w:p w14:paraId="4E564A61" w14:textId="77777777" w:rsidR="00961396" w:rsidRDefault="00961396">
      <w:pPr>
        <w:pStyle w:val="BodyText"/>
        <w:rPr>
          <w:i/>
          <w:sz w:val="20"/>
        </w:rPr>
      </w:pPr>
    </w:p>
    <w:p w14:paraId="4E564A62" w14:textId="77777777" w:rsidR="00961396" w:rsidRDefault="00062583">
      <w:pPr>
        <w:pStyle w:val="BodyText"/>
        <w:spacing w:line="276" w:lineRule="auto"/>
        <w:ind w:left="100" w:right="91"/>
      </w:pPr>
      <w:r>
        <w:t>Although we are only a statutory consultee for major applications, we have responded to</w:t>
      </w:r>
      <w:r>
        <w:rPr>
          <w:spacing w:val="1"/>
        </w:rPr>
        <w:t xml:space="preserve"> </w:t>
      </w:r>
      <w:r>
        <w:t>consultations for minor applications where there may be concerns relating to potential</w:t>
      </w:r>
      <w:r>
        <w:rPr>
          <w:spacing w:val="1"/>
        </w:rPr>
        <w:t xml:space="preserve"> </w:t>
      </w:r>
      <w:r>
        <w:t>drainage issues which could result in a signi</w:t>
      </w:r>
      <w:r>
        <w:t>ficant impact on localised drainage and flooding</w:t>
      </w:r>
      <w:r>
        <w:rPr>
          <w:spacing w:val="1"/>
        </w:rPr>
        <w:t xml:space="preserve"> </w:t>
      </w:r>
      <w:r>
        <w:t>problems. These do not account for a high number of applications, but the Local Planning</w:t>
      </w:r>
      <w:r>
        <w:rPr>
          <w:spacing w:val="1"/>
        </w:rPr>
        <w:t xml:space="preserve"> </w:t>
      </w:r>
      <w:r>
        <w:t>Authority is requesting more informal advice on minor applications in recognition of the fact</w:t>
      </w:r>
      <w:r>
        <w:rPr>
          <w:spacing w:val="-53"/>
        </w:rPr>
        <w:t xml:space="preserve"> </w:t>
      </w:r>
      <w:r>
        <w:t>that even minor developm</w:t>
      </w:r>
      <w:r>
        <w:t>ent can have a significant impact on localised drainage and</w:t>
      </w:r>
      <w:r>
        <w:rPr>
          <w:spacing w:val="1"/>
        </w:rPr>
        <w:t xml:space="preserve"> </w:t>
      </w:r>
      <w:r>
        <w:t>flooding problems.</w:t>
      </w:r>
      <w:r>
        <w:rPr>
          <w:spacing w:val="54"/>
        </w:rPr>
        <w:t xml:space="preserve"> </w:t>
      </w:r>
      <w:r>
        <w:t>This is also supported by evidence of flood incidents relating to new</w:t>
      </w:r>
      <w:r>
        <w:rPr>
          <w:spacing w:val="1"/>
        </w:rPr>
        <w:t xml:space="preserve"> </w:t>
      </w:r>
      <w:r>
        <w:t>build minor developments which received permission prior to the LLFA statutory consultee</w:t>
      </w:r>
      <w:r>
        <w:rPr>
          <w:spacing w:val="1"/>
        </w:rPr>
        <w:t xml:space="preserve"> </w:t>
      </w:r>
      <w:r>
        <w:t>role.</w:t>
      </w:r>
    </w:p>
    <w:p w14:paraId="4E564A63" w14:textId="77777777" w:rsidR="00961396" w:rsidRDefault="00062583">
      <w:pPr>
        <w:pStyle w:val="BodyText"/>
        <w:spacing w:before="199" w:line="276" w:lineRule="auto"/>
        <w:ind w:left="100"/>
      </w:pPr>
      <w:r>
        <w:t>We have cons</w:t>
      </w:r>
      <w:r>
        <w:t>idered developing standing advice and guidance which could address some of</w:t>
      </w:r>
      <w:r>
        <w:rPr>
          <w:spacing w:val="1"/>
        </w:rPr>
        <w:t xml:space="preserve"> </w:t>
      </w:r>
      <w:r>
        <w:t>the potential issues applicable to minor applications, however often, problems are very site</w:t>
      </w:r>
      <w:r>
        <w:rPr>
          <w:spacing w:val="1"/>
        </w:rPr>
        <w:t xml:space="preserve"> </w:t>
      </w:r>
      <w:r>
        <w:t>specific which require review at a more detailed level to ensure that there will be no</w:t>
      </w:r>
      <w:r>
        <w:rPr>
          <w:spacing w:val="1"/>
        </w:rPr>
        <w:t xml:space="preserve"> </w:t>
      </w:r>
      <w:r>
        <w:t>d</w:t>
      </w:r>
      <w:r>
        <w:t>etriment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flood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therefore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known problems</w:t>
      </w:r>
      <w:r>
        <w:rPr>
          <w:spacing w:val="1"/>
        </w:rPr>
        <w:t xml:space="preserve"> </w:t>
      </w:r>
      <w:r>
        <w:t>supported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evidence.</w:t>
      </w:r>
    </w:p>
    <w:p w14:paraId="4E564A64" w14:textId="77777777" w:rsidR="00961396" w:rsidRDefault="00961396">
      <w:pPr>
        <w:pStyle w:val="BodyText"/>
      </w:pPr>
    </w:p>
    <w:p w14:paraId="4E564A65" w14:textId="77777777" w:rsidR="00961396" w:rsidRDefault="00961396">
      <w:pPr>
        <w:pStyle w:val="BodyText"/>
        <w:spacing w:before="3"/>
        <w:rPr>
          <w:sz w:val="34"/>
        </w:rPr>
      </w:pPr>
    </w:p>
    <w:p w14:paraId="4E564A66" w14:textId="77777777" w:rsidR="00961396" w:rsidRDefault="00062583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</w:pPr>
      <w:r>
        <w:t>Summary</w:t>
      </w:r>
    </w:p>
    <w:p w14:paraId="4E564A67" w14:textId="77777777" w:rsidR="00961396" w:rsidRDefault="00961396">
      <w:pPr>
        <w:pStyle w:val="BodyText"/>
        <w:spacing w:before="1"/>
        <w:rPr>
          <w:b/>
          <w:sz w:val="20"/>
        </w:rPr>
      </w:pPr>
    </w:p>
    <w:p w14:paraId="4E564A68" w14:textId="77777777" w:rsidR="00961396" w:rsidRDefault="00062583">
      <w:pPr>
        <w:pStyle w:val="BodyText"/>
        <w:spacing w:line="276" w:lineRule="auto"/>
        <w:ind w:left="100" w:right="201"/>
      </w:pPr>
      <w:r>
        <w:t>Medway Council has achieved overall internal compliance to respond to statutory</w:t>
      </w:r>
      <w:r>
        <w:rPr>
          <w:spacing w:val="1"/>
        </w:rPr>
        <w:t xml:space="preserve"> </w:t>
      </w:r>
      <w:r>
        <w:t>consultations.</w:t>
      </w:r>
      <w:r>
        <w:rPr>
          <w:spacing w:val="1"/>
        </w:rPr>
        <w:t xml:space="preserve"> </w:t>
      </w:r>
      <w:r>
        <w:t>Any consultations received that were not responded to within the 21-day</w:t>
      </w:r>
      <w:r>
        <w:rPr>
          <w:spacing w:val="1"/>
        </w:rPr>
        <w:t xml:space="preserve"> </w:t>
      </w:r>
      <w:r>
        <w:t xml:space="preserve">deadline, were responded to </w:t>
      </w:r>
      <w:proofErr w:type="gramStart"/>
      <w:r>
        <w:t>at a later date</w:t>
      </w:r>
      <w:proofErr w:type="gramEnd"/>
      <w:r>
        <w:t xml:space="preserve"> in agreement with the Local Planning Authorit</w:t>
      </w:r>
      <w:r>
        <w:t>y</w:t>
      </w:r>
      <w:r>
        <w:rPr>
          <w:spacing w:val="-5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 instances.</w:t>
      </w:r>
    </w:p>
    <w:sectPr w:rsidR="00961396">
      <w:pgSz w:w="11910" w:h="16840"/>
      <w:pgMar w:top="1400" w:right="1360" w:bottom="1180" w:left="134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4A6E" w14:textId="77777777" w:rsidR="00000000" w:rsidRDefault="00062583">
      <w:r>
        <w:separator/>
      </w:r>
    </w:p>
  </w:endnote>
  <w:endnote w:type="continuationSeparator" w:id="0">
    <w:p w14:paraId="4E564A70" w14:textId="77777777" w:rsidR="00000000" w:rsidRDefault="0006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64A69" w14:textId="77777777" w:rsidR="00961396" w:rsidRDefault="00062583">
    <w:pPr>
      <w:pStyle w:val="BodyText"/>
      <w:spacing w:line="14" w:lineRule="auto"/>
      <w:rPr>
        <w:sz w:val="20"/>
      </w:rPr>
    </w:pPr>
    <w:r>
      <w:pict w14:anchorId="4E564A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14.85pt;margin-top:781pt;width:12.6pt;height:13.05pt;z-index:-251658752;mso-position-horizontal-relative:page;mso-position-vertical-relative:page" filled="f" stroked="f">
          <v:textbox inset="0,0,0,0">
            <w:txbxContent>
              <w:p w14:paraId="4E564A6B" w14:textId="77777777" w:rsidR="00961396" w:rsidRDefault="00062583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64A6A" w14:textId="77777777" w:rsidR="00000000" w:rsidRDefault="00062583">
      <w:r>
        <w:separator/>
      </w:r>
    </w:p>
  </w:footnote>
  <w:footnote w:type="continuationSeparator" w:id="0">
    <w:p w14:paraId="4E564A6C" w14:textId="77777777" w:rsidR="00000000" w:rsidRDefault="00062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438"/>
    <w:multiLevelType w:val="hybridMultilevel"/>
    <w:tmpl w:val="986AC460"/>
    <w:lvl w:ilvl="0" w:tplc="0972A028">
      <w:start w:val="1"/>
      <w:numFmt w:val="decimal"/>
      <w:lvlText w:val="%1"/>
      <w:lvlJc w:val="left"/>
      <w:pPr>
        <w:ind w:left="821" w:hanging="7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 w:tplc="C2803A8E">
      <w:start w:val="1"/>
      <w:numFmt w:val="lowerLetter"/>
      <w:lvlText w:val="(%2)"/>
      <w:lvlJc w:val="left"/>
      <w:pPr>
        <w:ind w:left="1181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 w:tplc="DC2E611E">
      <w:numFmt w:val="bullet"/>
      <w:lvlText w:val="•"/>
      <w:lvlJc w:val="left"/>
      <w:pPr>
        <w:ind w:left="2071" w:hanging="721"/>
      </w:pPr>
      <w:rPr>
        <w:rFonts w:hint="default"/>
        <w:lang w:val="en-GB" w:eastAsia="en-US" w:bidi="ar-SA"/>
      </w:rPr>
    </w:lvl>
    <w:lvl w:ilvl="3" w:tplc="50D68D88">
      <w:numFmt w:val="bullet"/>
      <w:lvlText w:val="•"/>
      <w:lvlJc w:val="left"/>
      <w:pPr>
        <w:ind w:left="2963" w:hanging="721"/>
      </w:pPr>
      <w:rPr>
        <w:rFonts w:hint="default"/>
        <w:lang w:val="en-GB" w:eastAsia="en-US" w:bidi="ar-SA"/>
      </w:rPr>
    </w:lvl>
    <w:lvl w:ilvl="4" w:tplc="20E691E6">
      <w:numFmt w:val="bullet"/>
      <w:lvlText w:val="•"/>
      <w:lvlJc w:val="left"/>
      <w:pPr>
        <w:ind w:left="3854" w:hanging="721"/>
      </w:pPr>
      <w:rPr>
        <w:rFonts w:hint="default"/>
        <w:lang w:val="en-GB" w:eastAsia="en-US" w:bidi="ar-SA"/>
      </w:rPr>
    </w:lvl>
    <w:lvl w:ilvl="5" w:tplc="9AC6454A">
      <w:numFmt w:val="bullet"/>
      <w:lvlText w:val="•"/>
      <w:lvlJc w:val="left"/>
      <w:pPr>
        <w:ind w:left="4746" w:hanging="721"/>
      </w:pPr>
      <w:rPr>
        <w:rFonts w:hint="default"/>
        <w:lang w:val="en-GB" w:eastAsia="en-US" w:bidi="ar-SA"/>
      </w:rPr>
    </w:lvl>
    <w:lvl w:ilvl="6" w:tplc="9D0090E4">
      <w:numFmt w:val="bullet"/>
      <w:lvlText w:val="•"/>
      <w:lvlJc w:val="left"/>
      <w:pPr>
        <w:ind w:left="5637" w:hanging="721"/>
      </w:pPr>
      <w:rPr>
        <w:rFonts w:hint="default"/>
        <w:lang w:val="en-GB" w:eastAsia="en-US" w:bidi="ar-SA"/>
      </w:rPr>
    </w:lvl>
    <w:lvl w:ilvl="7" w:tplc="E2626D6E">
      <w:numFmt w:val="bullet"/>
      <w:lvlText w:val="•"/>
      <w:lvlJc w:val="left"/>
      <w:pPr>
        <w:ind w:left="6529" w:hanging="721"/>
      </w:pPr>
      <w:rPr>
        <w:rFonts w:hint="default"/>
        <w:lang w:val="en-GB" w:eastAsia="en-US" w:bidi="ar-SA"/>
      </w:rPr>
    </w:lvl>
    <w:lvl w:ilvl="8" w:tplc="9EFE0BFA">
      <w:numFmt w:val="bullet"/>
      <w:lvlText w:val="•"/>
      <w:lvlJc w:val="left"/>
      <w:pPr>
        <w:ind w:left="7420" w:hanging="721"/>
      </w:pPr>
      <w:rPr>
        <w:rFonts w:hint="default"/>
        <w:lang w:val="en-GB" w:eastAsia="en-US" w:bidi="ar-SA"/>
      </w:rPr>
    </w:lvl>
  </w:abstractNum>
  <w:abstractNum w:abstractNumId="1" w15:restartNumberingAfterBreak="0">
    <w:nsid w:val="5F5E6614"/>
    <w:multiLevelType w:val="hybridMultilevel"/>
    <w:tmpl w:val="BDB8AF4A"/>
    <w:lvl w:ilvl="0" w:tplc="38FED5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1F8EEAAA">
      <w:numFmt w:val="bullet"/>
      <w:lvlText w:val="•"/>
      <w:lvlJc w:val="left"/>
      <w:pPr>
        <w:ind w:left="1658" w:hanging="361"/>
      </w:pPr>
      <w:rPr>
        <w:rFonts w:hint="default"/>
        <w:lang w:val="en-GB" w:eastAsia="en-US" w:bidi="ar-SA"/>
      </w:rPr>
    </w:lvl>
    <w:lvl w:ilvl="2" w:tplc="FD82F1A4">
      <w:numFmt w:val="bullet"/>
      <w:lvlText w:val="•"/>
      <w:lvlJc w:val="left"/>
      <w:pPr>
        <w:ind w:left="2496" w:hanging="361"/>
      </w:pPr>
      <w:rPr>
        <w:rFonts w:hint="default"/>
        <w:lang w:val="en-GB" w:eastAsia="en-US" w:bidi="ar-SA"/>
      </w:rPr>
    </w:lvl>
    <w:lvl w:ilvl="3" w:tplc="C6CE4576">
      <w:numFmt w:val="bullet"/>
      <w:lvlText w:val="•"/>
      <w:lvlJc w:val="left"/>
      <w:pPr>
        <w:ind w:left="3335" w:hanging="361"/>
      </w:pPr>
      <w:rPr>
        <w:rFonts w:hint="default"/>
        <w:lang w:val="en-GB" w:eastAsia="en-US" w:bidi="ar-SA"/>
      </w:rPr>
    </w:lvl>
    <w:lvl w:ilvl="4" w:tplc="267226BA">
      <w:numFmt w:val="bullet"/>
      <w:lvlText w:val="•"/>
      <w:lvlJc w:val="left"/>
      <w:pPr>
        <w:ind w:left="4173" w:hanging="361"/>
      </w:pPr>
      <w:rPr>
        <w:rFonts w:hint="default"/>
        <w:lang w:val="en-GB" w:eastAsia="en-US" w:bidi="ar-SA"/>
      </w:rPr>
    </w:lvl>
    <w:lvl w:ilvl="5" w:tplc="14C04794">
      <w:numFmt w:val="bullet"/>
      <w:lvlText w:val="•"/>
      <w:lvlJc w:val="left"/>
      <w:pPr>
        <w:ind w:left="5012" w:hanging="361"/>
      </w:pPr>
      <w:rPr>
        <w:rFonts w:hint="default"/>
        <w:lang w:val="en-GB" w:eastAsia="en-US" w:bidi="ar-SA"/>
      </w:rPr>
    </w:lvl>
    <w:lvl w:ilvl="6" w:tplc="5DC6D516">
      <w:numFmt w:val="bullet"/>
      <w:lvlText w:val="•"/>
      <w:lvlJc w:val="left"/>
      <w:pPr>
        <w:ind w:left="5850" w:hanging="361"/>
      </w:pPr>
      <w:rPr>
        <w:rFonts w:hint="default"/>
        <w:lang w:val="en-GB" w:eastAsia="en-US" w:bidi="ar-SA"/>
      </w:rPr>
    </w:lvl>
    <w:lvl w:ilvl="7" w:tplc="4FB6733C">
      <w:numFmt w:val="bullet"/>
      <w:lvlText w:val="•"/>
      <w:lvlJc w:val="left"/>
      <w:pPr>
        <w:ind w:left="6688" w:hanging="361"/>
      </w:pPr>
      <w:rPr>
        <w:rFonts w:hint="default"/>
        <w:lang w:val="en-GB" w:eastAsia="en-US" w:bidi="ar-SA"/>
      </w:rPr>
    </w:lvl>
    <w:lvl w:ilvl="8" w:tplc="436286E2">
      <w:numFmt w:val="bullet"/>
      <w:lvlText w:val="•"/>
      <w:lvlJc w:val="left"/>
      <w:pPr>
        <w:ind w:left="7527" w:hanging="36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1396"/>
    <w:rsid w:val="00062583"/>
    <w:rsid w:val="0096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649F0"/>
  <w15:docId w15:val="{A577D5B7-A5F8-4DDB-B1DA-8CE89034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821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721"/>
    </w:pPr>
  </w:style>
  <w:style w:type="paragraph" w:customStyle="1" w:styleId="TableParagraph">
    <w:name w:val="Table Paragraph"/>
    <w:basedOn w:val="Normal"/>
    <w:uiPriority w:val="1"/>
    <w:qFormat/>
    <w:pPr>
      <w:spacing w:before="1" w:line="256" w:lineRule="exact"/>
      <w:jc w:val="right"/>
    </w:pPr>
  </w:style>
  <w:style w:type="table" w:styleId="GridTable1Light-Accent1">
    <w:name w:val="Grid Table 1 Light Accent 1"/>
    <w:basedOn w:val="TableNormal"/>
    <w:uiPriority w:val="46"/>
    <w:rsid w:val="0006258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Medway LLFA statutory consultee performance report 1 april 2018 to 31 march 2019</dc:title>
  <dc:creator>haselhurst, priscilla</dc:creator>
  <cp:lastModifiedBy>cadwallader, amie</cp:lastModifiedBy>
  <cp:revision>2</cp:revision>
  <dcterms:created xsi:type="dcterms:W3CDTF">2022-03-18T10:29:00Z</dcterms:created>
  <dcterms:modified xsi:type="dcterms:W3CDTF">2022-03-18T10:29:00Z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2022-03-18T00:00:00Z</vt:filetime>
  </property>
</Properties>
</file>