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0950" w14:textId="77777777" w:rsidR="005B2B33" w:rsidRDefault="00F04DA5">
      <w:pPr>
        <w:pStyle w:val="Heading1"/>
        <w:spacing w:before="24"/>
        <w:ind w:left="100" w:firstLine="0"/>
      </w:pPr>
      <w:r>
        <w:t>Medway</w:t>
      </w:r>
      <w:r>
        <w:rPr>
          <w:spacing w:val="-3"/>
        </w:rPr>
        <w:t xml:space="preserve"> </w:t>
      </w:r>
      <w:r>
        <w:t>LLFA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Consultee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2016 –</w:t>
      </w:r>
      <w:r>
        <w:rPr>
          <w:spacing w:val="1"/>
        </w:rPr>
        <w:t xml:space="preserve"> </w:t>
      </w:r>
      <w:r>
        <w:t>31 March</w:t>
      </w:r>
      <w:r>
        <w:rPr>
          <w:spacing w:val="-2"/>
        </w:rPr>
        <w:t xml:space="preserve"> </w:t>
      </w:r>
      <w:r>
        <w:t>2017</w:t>
      </w:r>
    </w:p>
    <w:p w14:paraId="37530951" w14:textId="77777777" w:rsidR="005B2B33" w:rsidRDefault="005B2B33">
      <w:pPr>
        <w:pStyle w:val="BodyText"/>
        <w:rPr>
          <w:b/>
        </w:rPr>
      </w:pPr>
    </w:p>
    <w:p w14:paraId="37530952" w14:textId="77777777" w:rsidR="005B2B33" w:rsidRDefault="005B2B33">
      <w:pPr>
        <w:pStyle w:val="BodyText"/>
        <w:rPr>
          <w:b/>
        </w:rPr>
      </w:pPr>
    </w:p>
    <w:p w14:paraId="37530953" w14:textId="77777777" w:rsidR="005B2B33" w:rsidRDefault="00F04DA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6"/>
        <w:rPr>
          <w:b/>
          <w:sz w:val="24"/>
        </w:rPr>
      </w:pPr>
      <w:r>
        <w:rPr>
          <w:b/>
          <w:sz w:val="24"/>
        </w:rPr>
        <w:t>Introduction</w:t>
      </w:r>
    </w:p>
    <w:p w14:paraId="37530954" w14:textId="77777777" w:rsidR="005B2B33" w:rsidRDefault="005B2B33">
      <w:pPr>
        <w:pStyle w:val="BodyText"/>
        <w:spacing w:before="1"/>
        <w:rPr>
          <w:b/>
          <w:sz w:val="20"/>
        </w:rPr>
      </w:pPr>
    </w:p>
    <w:p w14:paraId="37530955" w14:textId="77777777" w:rsidR="005B2B33" w:rsidRDefault="00F04DA5">
      <w:pPr>
        <w:pStyle w:val="BodyText"/>
        <w:spacing w:line="276" w:lineRule="auto"/>
        <w:ind w:left="100" w:right="248"/>
      </w:pPr>
      <w:r>
        <w:t>Medway Council in its remit as Lead Local Flood Authority was made statutory consultee in</w:t>
      </w:r>
      <w:r>
        <w:rPr>
          <w:spacing w:val="-52"/>
        </w:rPr>
        <w:t xml:space="preserve"> </w:t>
      </w:r>
      <w:r>
        <w:t>respect of surface water for major development on April 15, 2015. The role of statutory</w:t>
      </w:r>
      <w:r>
        <w:rPr>
          <w:spacing w:val="1"/>
        </w:rPr>
        <w:t xml:space="preserve"> </w:t>
      </w:r>
      <w:r>
        <w:t xml:space="preserve">consultee is defined through the Town and Country Planning Act 1990; Town and </w:t>
      </w:r>
      <w:r>
        <w:t>Country</w:t>
      </w:r>
      <w:r>
        <w:rPr>
          <w:spacing w:val="1"/>
        </w:rPr>
        <w:t xml:space="preserve"> </w:t>
      </w:r>
      <w:r>
        <w:t>Planning (Development Management Procedure) (England) Order 2015; and, Planning and</w:t>
      </w:r>
      <w:r>
        <w:rPr>
          <w:spacing w:val="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2004.</w:t>
      </w:r>
    </w:p>
    <w:p w14:paraId="37530956" w14:textId="77777777" w:rsidR="005B2B33" w:rsidRDefault="00F04DA5">
      <w:pPr>
        <w:pStyle w:val="BodyText"/>
        <w:spacing w:before="197" w:line="276" w:lineRule="auto"/>
        <w:ind w:left="100" w:right="111"/>
      </w:pPr>
      <w:r>
        <w:t>Statutory consultees have a duty to respond to statutory consultations within 21 days in</w:t>
      </w:r>
      <w:r>
        <w:rPr>
          <w:spacing w:val="1"/>
        </w:rPr>
        <w:t xml:space="preserve"> </w:t>
      </w:r>
      <w:r>
        <w:t>accordance with Article 22 of the Development</w:t>
      </w:r>
      <w:r>
        <w:t xml:space="preserve"> Management Order. The 21-day period does</w:t>
      </w:r>
      <w:r>
        <w:rPr>
          <w:spacing w:val="-52"/>
        </w:rPr>
        <w:t xml:space="preserve"> </w:t>
      </w:r>
      <w:r>
        <w:t>not begin until the statutory consultee in question has such information to enable a</w:t>
      </w:r>
      <w:r>
        <w:rPr>
          <w:spacing w:val="1"/>
        </w:rPr>
        <w:t xml:space="preserve"> </w:t>
      </w:r>
      <w:r>
        <w:t>substantive</w:t>
      </w:r>
      <w:r>
        <w:rPr>
          <w:spacing w:val="-2"/>
        </w:rPr>
        <w:t xml:space="preserve"> </w:t>
      </w:r>
      <w:r>
        <w:t>response.</w:t>
      </w:r>
    </w:p>
    <w:p w14:paraId="37530957" w14:textId="77777777" w:rsidR="005B2B33" w:rsidRDefault="00F04DA5">
      <w:pPr>
        <w:pStyle w:val="BodyText"/>
        <w:spacing w:before="204"/>
        <w:ind w:left="100"/>
      </w:pPr>
      <w:r>
        <w:t>Subsection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which:</w:t>
      </w:r>
    </w:p>
    <w:p w14:paraId="37530958" w14:textId="77777777" w:rsidR="005B2B33" w:rsidRDefault="005B2B33">
      <w:pPr>
        <w:pStyle w:val="BodyText"/>
        <w:spacing w:before="7"/>
        <w:rPr>
          <w:sz w:val="19"/>
        </w:rPr>
      </w:pPr>
    </w:p>
    <w:p w14:paraId="37530959" w14:textId="77777777" w:rsidR="005B2B33" w:rsidRDefault="00F04DA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make;</w:t>
      </w:r>
    </w:p>
    <w:p w14:paraId="3753095A" w14:textId="77777777" w:rsidR="005B2B33" w:rsidRDefault="00F04DA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47" w:line="276" w:lineRule="auto"/>
        <w:ind w:right="493"/>
        <w:rPr>
          <w:sz w:val="24"/>
        </w:rPr>
      </w:pPr>
      <w:r>
        <w:rPr>
          <w:sz w:val="24"/>
        </w:rPr>
        <w:t>states that, on the basis of the information available, the consultee is content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proposed;</w:t>
      </w:r>
    </w:p>
    <w:p w14:paraId="3753095B" w14:textId="77777777" w:rsidR="005B2B33" w:rsidRDefault="00F04DA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76" w:lineRule="auto"/>
        <w:ind w:right="144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3753095C" w14:textId="77777777" w:rsidR="005B2B33" w:rsidRDefault="00F04DA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91" w:lineRule="exact"/>
        <w:rPr>
          <w:sz w:val="24"/>
        </w:rPr>
      </w:pPr>
      <w:r>
        <w:rPr>
          <w:sz w:val="24"/>
        </w:rPr>
        <w:t>provid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consultor.</w:t>
      </w:r>
    </w:p>
    <w:p w14:paraId="3753095D" w14:textId="77777777" w:rsidR="005B2B33" w:rsidRDefault="005B2B33">
      <w:pPr>
        <w:pStyle w:val="BodyText"/>
      </w:pPr>
    </w:p>
    <w:p w14:paraId="3753095E" w14:textId="77777777" w:rsidR="005B2B33" w:rsidRDefault="005B2B33">
      <w:pPr>
        <w:pStyle w:val="BodyText"/>
        <w:spacing w:before="6"/>
        <w:rPr>
          <w:sz w:val="23"/>
        </w:rPr>
      </w:pPr>
    </w:p>
    <w:p w14:paraId="3753095F" w14:textId="77777777" w:rsidR="005B2B33" w:rsidRDefault="00F04DA5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Performance</w:t>
      </w:r>
      <w:r>
        <w:rPr>
          <w:spacing w:val="-4"/>
        </w:rPr>
        <w:t xml:space="preserve"> </w:t>
      </w:r>
      <w:r>
        <w:t>reporting</w:t>
      </w:r>
    </w:p>
    <w:p w14:paraId="37530960" w14:textId="77777777" w:rsidR="005B2B33" w:rsidRDefault="005B2B33">
      <w:pPr>
        <w:pStyle w:val="BodyText"/>
        <w:spacing w:before="1"/>
        <w:rPr>
          <w:b/>
          <w:sz w:val="20"/>
        </w:rPr>
      </w:pPr>
    </w:p>
    <w:p w14:paraId="37530961" w14:textId="77777777" w:rsidR="005B2B33" w:rsidRDefault="00F04DA5">
      <w:pPr>
        <w:pStyle w:val="BodyText"/>
        <w:spacing w:line="276" w:lineRule="auto"/>
        <w:ind w:left="100" w:right="161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statutory</w:t>
      </w:r>
      <w:r>
        <w:rPr>
          <w:spacing w:val="-51"/>
        </w:rPr>
        <w:t xml:space="preserve"> </w:t>
      </w:r>
      <w:r>
        <w:t>consultees are required to provide reports on their performance for the period of 12</w:t>
      </w:r>
      <w:r>
        <w:rPr>
          <w:spacing w:val="1"/>
        </w:rPr>
        <w:t xml:space="preserve"> </w:t>
      </w:r>
      <w:r>
        <w:t xml:space="preserve">months commencing 1 </w:t>
      </w:r>
      <w:r>
        <w:rPr>
          <w:vertAlign w:val="superscript"/>
        </w:rPr>
        <w:t>April</w:t>
      </w:r>
      <w:r>
        <w:t xml:space="preserve"> in the preceding year (on this occasion 15 April). The reports</w:t>
      </w:r>
      <w:r>
        <w:rPr>
          <w:spacing w:val="1"/>
        </w:rPr>
        <w:t xml:space="preserve"> </w:t>
      </w:r>
      <w:r>
        <w:t>should be sent to the Ministry of Housing, Communities and Local Government, and</w:t>
      </w:r>
      <w:r>
        <w:rPr>
          <w:spacing w:val="1"/>
        </w:rPr>
        <w:t xml:space="preserve"> </w:t>
      </w:r>
      <w:r>
        <w:t>p</w:t>
      </w:r>
      <w:r>
        <w:t>ublished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2"/>
        </w:rPr>
        <w:t xml:space="preserve"> </w:t>
      </w:r>
      <w:r>
        <w:t>consultees’</w:t>
      </w:r>
      <w:r>
        <w:rPr>
          <w:spacing w:val="1"/>
        </w:rPr>
        <w:t xml:space="preserve"> </w:t>
      </w:r>
      <w:r>
        <w:t>website.</w:t>
      </w:r>
    </w:p>
    <w:p w14:paraId="37530962" w14:textId="77777777" w:rsidR="005B2B33" w:rsidRDefault="005B2B33">
      <w:pPr>
        <w:spacing w:line="276" w:lineRule="auto"/>
        <w:sectPr w:rsidR="005B2B33">
          <w:footerReference w:type="default" r:id="rId7"/>
          <w:type w:val="continuous"/>
          <w:pgSz w:w="11910" w:h="16840"/>
          <w:pgMar w:top="1400" w:right="1340" w:bottom="1180" w:left="1340" w:header="0" w:footer="998" w:gutter="0"/>
          <w:pgNumType w:start="1"/>
          <w:cols w:space="720"/>
        </w:sectPr>
      </w:pPr>
    </w:p>
    <w:p w14:paraId="37530963" w14:textId="77777777" w:rsidR="005B2B33" w:rsidRDefault="00F04DA5">
      <w:pPr>
        <w:pStyle w:val="BodyText"/>
        <w:spacing w:before="24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contain:</w:t>
      </w:r>
    </w:p>
    <w:p w14:paraId="37530964" w14:textId="77777777" w:rsidR="005B2B33" w:rsidRDefault="005B2B33">
      <w:pPr>
        <w:pStyle w:val="BodyText"/>
        <w:spacing w:before="2"/>
        <w:rPr>
          <w:sz w:val="20"/>
        </w:rPr>
      </w:pPr>
    </w:p>
    <w:p w14:paraId="37530965" w14:textId="77777777" w:rsidR="005B2B33" w:rsidRDefault="00F04DA5">
      <w:pPr>
        <w:pStyle w:val="ListParagraph"/>
        <w:numPr>
          <w:ilvl w:val="0"/>
          <w:numId w:val="1"/>
        </w:numPr>
        <w:tabs>
          <w:tab w:val="left" w:pos="821"/>
        </w:tabs>
        <w:ind w:right="171"/>
        <w:jc w:val="both"/>
        <w:rPr>
          <w:sz w:val="24"/>
        </w:rPr>
      </w:pPr>
      <w:r>
        <w:rPr>
          <w:sz w:val="24"/>
        </w:rPr>
        <w:t>A statement as to the number of occasions on which the consultee was consulted by</w:t>
      </w:r>
      <w:r>
        <w:rPr>
          <w:spacing w:val="-53"/>
          <w:sz w:val="24"/>
        </w:rPr>
        <w:t xml:space="preserve"> </w:t>
      </w:r>
      <w:r>
        <w:rPr>
          <w:sz w:val="24"/>
        </w:rPr>
        <w:t>a person other than a Local Planning Authority and the number responded to within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 period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pre-application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consultations).</w:t>
      </w:r>
    </w:p>
    <w:p w14:paraId="37530966" w14:textId="77777777" w:rsidR="005B2B33" w:rsidRDefault="005B2B33">
      <w:pPr>
        <w:pStyle w:val="BodyText"/>
        <w:spacing w:before="8"/>
        <w:rPr>
          <w:sz w:val="23"/>
        </w:rPr>
      </w:pPr>
    </w:p>
    <w:p w14:paraId="37530967" w14:textId="77777777" w:rsidR="005B2B33" w:rsidRDefault="00F04DA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A statement as to t</w:t>
      </w:r>
      <w:r>
        <w:rPr>
          <w:sz w:val="24"/>
        </w:rPr>
        <w:t>he number of occasions on which the consultee was consulted by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14:paraId="37530968" w14:textId="77777777" w:rsidR="005B2B33" w:rsidRDefault="005B2B33">
      <w:pPr>
        <w:pStyle w:val="BodyText"/>
        <w:spacing w:before="1"/>
      </w:pPr>
    </w:p>
    <w:p w14:paraId="37530969" w14:textId="77777777" w:rsidR="005B2B33" w:rsidRDefault="00F04D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8"/>
        <w:rPr>
          <w:sz w:val="24"/>
        </w:rPr>
      </w:pPr>
      <w:r>
        <w:rPr>
          <w:sz w:val="24"/>
        </w:rPr>
        <w:t>In relation to occasions on which the consultee has given a substantive response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referred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54(4)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sent to the Ministry of Housing, Communities and Local Government, and published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consultee’s website.</w:t>
      </w:r>
    </w:p>
    <w:p w14:paraId="3753096A" w14:textId="77777777" w:rsidR="005B2B33" w:rsidRDefault="005B2B33">
      <w:pPr>
        <w:pStyle w:val="BodyText"/>
        <w:spacing w:before="1"/>
      </w:pPr>
    </w:p>
    <w:p w14:paraId="3753096B" w14:textId="77777777" w:rsidR="005B2B33" w:rsidRDefault="00F04D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8"/>
        <w:rPr>
          <w:sz w:val="24"/>
        </w:rPr>
      </w:pPr>
      <w:r>
        <w:rPr>
          <w:sz w:val="24"/>
        </w:rPr>
        <w:t>The number of incidences where negotiated extensions to the 21-day deadline are</w:t>
      </w:r>
      <w:r>
        <w:rPr>
          <w:spacing w:val="-52"/>
          <w:sz w:val="24"/>
        </w:rPr>
        <w:t xml:space="preserve"> </w:t>
      </w:r>
      <w:r>
        <w:rPr>
          <w:sz w:val="24"/>
        </w:rPr>
        <w:t>agreed with the Local Planning Authority a summary of the reasons why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3753096C" w14:textId="77777777" w:rsidR="005B2B33" w:rsidRDefault="005B2B33">
      <w:pPr>
        <w:pStyle w:val="BodyText"/>
      </w:pPr>
    </w:p>
    <w:p w14:paraId="3753096D" w14:textId="77777777" w:rsidR="005B2B33" w:rsidRDefault="005B2B33">
      <w:pPr>
        <w:pStyle w:val="BodyText"/>
        <w:rPr>
          <w:sz w:val="20"/>
        </w:rPr>
      </w:pPr>
    </w:p>
    <w:p w14:paraId="3753096E" w14:textId="77777777" w:rsidR="005B2B33" w:rsidRDefault="00F04DA5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type</w:t>
      </w:r>
    </w:p>
    <w:p w14:paraId="3753096F" w14:textId="77777777" w:rsidR="005B2B33" w:rsidRDefault="005B2B33">
      <w:pPr>
        <w:pStyle w:val="BodyText"/>
        <w:rPr>
          <w:b/>
          <w:sz w:val="20"/>
        </w:rPr>
      </w:pPr>
    </w:p>
    <w:p w14:paraId="37530970" w14:textId="77777777" w:rsidR="005B2B33" w:rsidRDefault="00F04DA5">
      <w:pPr>
        <w:pStyle w:val="BodyText"/>
        <w:spacing w:line="276" w:lineRule="auto"/>
        <w:ind w:left="100"/>
      </w:pPr>
      <w:r>
        <w:t>Table 1 below provides an overview of compliance for every consultation type received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types.</w:t>
      </w:r>
    </w:p>
    <w:p w14:paraId="37530971" w14:textId="77777777" w:rsidR="005B2B33" w:rsidRDefault="00F04DA5">
      <w:pPr>
        <w:pStyle w:val="Heading1"/>
        <w:spacing w:before="200"/>
        <w:ind w:left="100" w:firstLine="0"/>
      </w:pPr>
      <w:r>
        <w:t>Table</w:t>
      </w:r>
      <w:r>
        <w:rPr>
          <w:spacing w:val="-5"/>
        </w:rPr>
        <w:t xml:space="preserve"> </w:t>
      </w:r>
      <w:r>
        <w:t>1:</w:t>
      </w:r>
      <w:r>
        <w:rPr>
          <w:spacing w:val="48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Consultee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results</w:t>
      </w:r>
      <w:r>
        <w:rPr>
          <w:spacing w:val="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April 2016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2017</w:t>
      </w:r>
    </w:p>
    <w:p w14:paraId="37530972" w14:textId="77777777" w:rsidR="005B2B33" w:rsidRDefault="005B2B33">
      <w:pPr>
        <w:pStyle w:val="BodyText"/>
        <w:spacing w:before="1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31"/>
        <w:gridCol w:w="1792"/>
        <w:gridCol w:w="2805"/>
        <w:gridCol w:w="1446"/>
      </w:tblGrid>
      <w:tr w:rsidR="005B2B33" w14:paraId="37530977" w14:textId="77777777" w:rsidTr="00F04DA5">
        <w:trPr>
          <w:trHeight w:val="287"/>
        </w:trPr>
        <w:tc>
          <w:tcPr>
            <w:tcW w:w="2531" w:type="dxa"/>
          </w:tcPr>
          <w:p w14:paraId="37530973" w14:textId="77777777" w:rsidR="005B2B33" w:rsidRDefault="00F04DA5">
            <w:pPr>
              <w:pStyle w:val="TableParagraph"/>
              <w:spacing w:line="266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Consultation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792" w:type="dxa"/>
          </w:tcPr>
          <w:p w14:paraId="37530974" w14:textId="77777777" w:rsidR="005B2B33" w:rsidRDefault="00F04DA5">
            <w:pPr>
              <w:pStyle w:val="TableParagraph"/>
              <w:spacing w:line="266" w:lineRule="exact"/>
              <w:ind w:right="103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2805" w:type="dxa"/>
          </w:tcPr>
          <w:p w14:paraId="37530975" w14:textId="77777777" w:rsidR="005B2B33" w:rsidRDefault="00F04DA5">
            <w:pPr>
              <w:pStyle w:val="TableParagraph"/>
              <w:spacing w:line="266" w:lineRule="exact"/>
              <w:ind w:right="102"/>
            </w:pPr>
            <w:r>
              <w:t>Responded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days</w:t>
            </w:r>
          </w:p>
        </w:tc>
        <w:tc>
          <w:tcPr>
            <w:tcW w:w="1446" w:type="dxa"/>
          </w:tcPr>
          <w:p w14:paraId="37530976" w14:textId="77777777" w:rsidR="005B2B33" w:rsidRDefault="00F04DA5">
            <w:pPr>
              <w:pStyle w:val="TableParagraph"/>
              <w:spacing w:line="266" w:lineRule="exact"/>
              <w:ind w:right="97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compliance</w:t>
            </w:r>
          </w:p>
        </w:tc>
      </w:tr>
      <w:tr w:rsidR="005B2B33" w14:paraId="3753097C" w14:textId="77777777" w:rsidTr="00F04DA5">
        <w:trPr>
          <w:trHeight w:val="292"/>
        </w:trPr>
        <w:tc>
          <w:tcPr>
            <w:tcW w:w="2531" w:type="dxa"/>
          </w:tcPr>
          <w:p w14:paraId="37530978" w14:textId="77777777" w:rsidR="005B2B33" w:rsidRDefault="00F04DA5">
            <w:pPr>
              <w:pStyle w:val="TableParagraph"/>
              <w:ind w:left="110"/>
              <w:jc w:val="left"/>
            </w:pPr>
            <w:r>
              <w:t>Condition</w:t>
            </w:r>
            <w:r>
              <w:rPr>
                <w:spacing w:val="-5"/>
              </w:rPr>
              <w:t xml:space="preserve"> </w:t>
            </w:r>
            <w:r>
              <w:t>Discharge</w:t>
            </w:r>
          </w:p>
        </w:tc>
        <w:tc>
          <w:tcPr>
            <w:tcW w:w="1792" w:type="dxa"/>
          </w:tcPr>
          <w:p w14:paraId="37530979" w14:textId="77777777" w:rsidR="005B2B33" w:rsidRDefault="00F04DA5">
            <w:pPr>
              <w:pStyle w:val="TableParagraph"/>
              <w:ind w:right="95"/>
            </w:pPr>
            <w:r>
              <w:t>45</w:t>
            </w:r>
          </w:p>
        </w:tc>
        <w:tc>
          <w:tcPr>
            <w:tcW w:w="2805" w:type="dxa"/>
          </w:tcPr>
          <w:p w14:paraId="3753097A" w14:textId="77777777" w:rsidR="005B2B33" w:rsidRDefault="00F04DA5">
            <w:pPr>
              <w:pStyle w:val="TableParagraph"/>
              <w:ind w:right="95"/>
            </w:pPr>
            <w:r>
              <w:t>35</w:t>
            </w:r>
          </w:p>
        </w:tc>
        <w:tc>
          <w:tcPr>
            <w:tcW w:w="1446" w:type="dxa"/>
          </w:tcPr>
          <w:p w14:paraId="3753097B" w14:textId="77777777" w:rsidR="005B2B33" w:rsidRDefault="00F04DA5">
            <w:pPr>
              <w:pStyle w:val="TableParagraph"/>
              <w:ind w:right="97"/>
            </w:pPr>
            <w:r>
              <w:t>77.8%</w:t>
            </w:r>
          </w:p>
        </w:tc>
      </w:tr>
      <w:tr w:rsidR="005B2B33" w14:paraId="37530981" w14:textId="77777777" w:rsidTr="00F04DA5">
        <w:trPr>
          <w:trHeight w:val="287"/>
        </w:trPr>
        <w:tc>
          <w:tcPr>
            <w:tcW w:w="2531" w:type="dxa"/>
          </w:tcPr>
          <w:p w14:paraId="3753097D" w14:textId="77777777" w:rsidR="005B2B33" w:rsidRDefault="00F04DA5">
            <w:pPr>
              <w:pStyle w:val="TableParagraph"/>
              <w:spacing w:line="266" w:lineRule="exact"/>
              <w:ind w:left="110"/>
              <w:jc w:val="left"/>
            </w:pPr>
            <w:r>
              <w:t>EIA*</w:t>
            </w:r>
          </w:p>
        </w:tc>
        <w:tc>
          <w:tcPr>
            <w:tcW w:w="1792" w:type="dxa"/>
          </w:tcPr>
          <w:p w14:paraId="3753097E" w14:textId="77777777" w:rsidR="005B2B33" w:rsidRDefault="00F04DA5">
            <w:pPr>
              <w:pStyle w:val="TableParagraph"/>
              <w:spacing w:line="266" w:lineRule="exact"/>
              <w:ind w:right="95"/>
            </w:pPr>
            <w:r>
              <w:t>10</w:t>
            </w:r>
          </w:p>
        </w:tc>
        <w:tc>
          <w:tcPr>
            <w:tcW w:w="2805" w:type="dxa"/>
          </w:tcPr>
          <w:p w14:paraId="3753097F" w14:textId="77777777" w:rsidR="005B2B33" w:rsidRDefault="00F04DA5">
            <w:pPr>
              <w:pStyle w:val="TableParagraph"/>
              <w:spacing w:line="266" w:lineRule="exact"/>
              <w:ind w:right="94"/>
            </w:pPr>
            <w:r>
              <w:t>9</w:t>
            </w:r>
          </w:p>
        </w:tc>
        <w:tc>
          <w:tcPr>
            <w:tcW w:w="1446" w:type="dxa"/>
          </w:tcPr>
          <w:p w14:paraId="37530980" w14:textId="77777777" w:rsidR="005B2B33" w:rsidRDefault="00F04DA5">
            <w:pPr>
              <w:pStyle w:val="TableParagraph"/>
              <w:spacing w:line="266" w:lineRule="exact"/>
              <w:ind w:right="97"/>
            </w:pPr>
            <w:r>
              <w:t>90.0%</w:t>
            </w:r>
          </w:p>
        </w:tc>
      </w:tr>
      <w:tr w:rsidR="005B2B33" w14:paraId="37530986" w14:textId="77777777" w:rsidTr="00F04DA5">
        <w:trPr>
          <w:trHeight w:val="292"/>
        </w:trPr>
        <w:tc>
          <w:tcPr>
            <w:tcW w:w="2531" w:type="dxa"/>
          </w:tcPr>
          <w:p w14:paraId="37530982" w14:textId="77777777" w:rsidR="005B2B33" w:rsidRDefault="00F04DA5">
            <w:pPr>
              <w:pStyle w:val="TableParagraph"/>
              <w:ind w:left="110"/>
              <w:jc w:val="left"/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(Full)</w:t>
            </w:r>
          </w:p>
        </w:tc>
        <w:tc>
          <w:tcPr>
            <w:tcW w:w="1792" w:type="dxa"/>
          </w:tcPr>
          <w:p w14:paraId="37530983" w14:textId="77777777" w:rsidR="005B2B33" w:rsidRDefault="00F04DA5">
            <w:pPr>
              <w:pStyle w:val="TableParagraph"/>
              <w:ind w:right="95"/>
            </w:pPr>
            <w:r>
              <w:t>28</w:t>
            </w:r>
          </w:p>
        </w:tc>
        <w:tc>
          <w:tcPr>
            <w:tcW w:w="2805" w:type="dxa"/>
          </w:tcPr>
          <w:p w14:paraId="37530984" w14:textId="77777777" w:rsidR="005B2B33" w:rsidRDefault="00F04DA5">
            <w:pPr>
              <w:pStyle w:val="TableParagraph"/>
              <w:ind w:right="95"/>
            </w:pPr>
            <w:r>
              <w:t>20</w:t>
            </w:r>
          </w:p>
        </w:tc>
        <w:tc>
          <w:tcPr>
            <w:tcW w:w="1446" w:type="dxa"/>
          </w:tcPr>
          <w:p w14:paraId="37530985" w14:textId="77777777" w:rsidR="005B2B33" w:rsidRDefault="00F04DA5">
            <w:pPr>
              <w:pStyle w:val="TableParagraph"/>
              <w:ind w:right="97"/>
            </w:pPr>
            <w:r>
              <w:t>71.4%</w:t>
            </w:r>
          </w:p>
        </w:tc>
      </w:tr>
      <w:tr w:rsidR="005B2B33" w14:paraId="3753098B" w14:textId="77777777" w:rsidTr="00F04DA5">
        <w:trPr>
          <w:trHeight w:val="287"/>
        </w:trPr>
        <w:tc>
          <w:tcPr>
            <w:tcW w:w="2531" w:type="dxa"/>
          </w:tcPr>
          <w:p w14:paraId="37530987" w14:textId="77777777" w:rsidR="005B2B33" w:rsidRDefault="00F04DA5">
            <w:pPr>
              <w:pStyle w:val="TableParagraph"/>
              <w:spacing w:line="266" w:lineRule="exact"/>
              <w:ind w:left="110"/>
              <w:jc w:val="left"/>
            </w:pPr>
            <w:r>
              <w:t>Minor</w:t>
            </w:r>
          </w:p>
        </w:tc>
        <w:tc>
          <w:tcPr>
            <w:tcW w:w="1792" w:type="dxa"/>
          </w:tcPr>
          <w:p w14:paraId="37530988" w14:textId="77777777" w:rsidR="005B2B33" w:rsidRDefault="00F04DA5">
            <w:pPr>
              <w:pStyle w:val="TableParagraph"/>
              <w:spacing w:line="266" w:lineRule="exact"/>
              <w:ind w:right="95"/>
            </w:pPr>
            <w:r>
              <w:t>18</w:t>
            </w:r>
          </w:p>
        </w:tc>
        <w:tc>
          <w:tcPr>
            <w:tcW w:w="2805" w:type="dxa"/>
          </w:tcPr>
          <w:p w14:paraId="37530989" w14:textId="77777777" w:rsidR="005B2B33" w:rsidRDefault="00F04DA5">
            <w:pPr>
              <w:pStyle w:val="TableParagraph"/>
              <w:spacing w:line="266" w:lineRule="exact"/>
              <w:ind w:right="95"/>
            </w:pPr>
            <w:r>
              <w:t>12</w:t>
            </w:r>
          </w:p>
        </w:tc>
        <w:tc>
          <w:tcPr>
            <w:tcW w:w="1446" w:type="dxa"/>
          </w:tcPr>
          <w:p w14:paraId="3753098A" w14:textId="77777777" w:rsidR="005B2B33" w:rsidRDefault="00F04DA5">
            <w:pPr>
              <w:pStyle w:val="TableParagraph"/>
              <w:spacing w:line="266" w:lineRule="exact"/>
              <w:ind w:right="97"/>
            </w:pPr>
            <w:r>
              <w:t>66.7%</w:t>
            </w:r>
          </w:p>
        </w:tc>
      </w:tr>
      <w:tr w:rsidR="005B2B33" w14:paraId="37530990" w14:textId="77777777" w:rsidTr="00F04DA5">
        <w:trPr>
          <w:trHeight w:val="292"/>
        </w:trPr>
        <w:tc>
          <w:tcPr>
            <w:tcW w:w="2531" w:type="dxa"/>
          </w:tcPr>
          <w:p w14:paraId="3753098C" w14:textId="77777777" w:rsidR="005B2B33" w:rsidRDefault="00F04DA5">
            <w:pPr>
              <w:pStyle w:val="TableParagraph"/>
              <w:ind w:left="110"/>
              <w:jc w:val="left"/>
            </w:pPr>
            <w:r>
              <w:t>Reserved</w:t>
            </w:r>
            <w:r>
              <w:rPr>
                <w:spacing w:val="-4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(Major)</w:t>
            </w:r>
          </w:p>
        </w:tc>
        <w:tc>
          <w:tcPr>
            <w:tcW w:w="1792" w:type="dxa"/>
          </w:tcPr>
          <w:p w14:paraId="3753098D" w14:textId="77777777" w:rsidR="005B2B33" w:rsidRDefault="00F04DA5">
            <w:pPr>
              <w:pStyle w:val="TableParagraph"/>
              <w:ind w:right="93"/>
            </w:pPr>
            <w:r>
              <w:t>2</w:t>
            </w:r>
          </w:p>
        </w:tc>
        <w:tc>
          <w:tcPr>
            <w:tcW w:w="2805" w:type="dxa"/>
          </w:tcPr>
          <w:p w14:paraId="3753098E" w14:textId="77777777" w:rsidR="005B2B33" w:rsidRDefault="00F04DA5">
            <w:pPr>
              <w:pStyle w:val="TableParagraph"/>
              <w:ind w:right="94"/>
            </w:pPr>
            <w:r>
              <w:t>2</w:t>
            </w:r>
          </w:p>
        </w:tc>
        <w:tc>
          <w:tcPr>
            <w:tcW w:w="1446" w:type="dxa"/>
          </w:tcPr>
          <w:p w14:paraId="3753098F" w14:textId="77777777" w:rsidR="005B2B33" w:rsidRDefault="00F04DA5">
            <w:pPr>
              <w:pStyle w:val="TableParagraph"/>
              <w:ind w:right="97"/>
            </w:pPr>
            <w:r>
              <w:t>100.0%</w:t>
            </w:r>
          </w:p>
        </w:tc>
      </w:tr>
      <w:tr w:rsidR="005B2B33" w14:paraId="3753099A" w14:textId="77777777" w:rsidTr="00F04DA5">
        <w:trPr>
          <w:trHeight w:val="292"/>
        </w:trPr>
        <w:tc>
          <w:tcPr>
            <w:tcW w:w="2531" w:type="dxa"/>
          </w:tcPr>
          <w:p w14:paraId="37530996" w14:textId="77777777" w:rsidR="005B2B33" w:rsidRDefault="00F04DA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2" w:type="dxa"/>
          </w:tcPr>
          <w:p w14:paraId="37530997" w14:textId="77777777" w:rsidR="005B2B33" w:rsidRDefault="00F04DA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05" w:type="dxa"/>
          </w:tcPr>
          <w:p w14:paraId="37530998" w14:textId="77777777" w:rsidR="005B2B33" w:rsidRDefault="00F04DA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46" w:type="dxa"/>
          </w:tcPr>
          <w:p w14:paraId="37530999" w14:textId="77777777" w:rsidR="005B2B33" w:rsidRDefault="00F04DA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81.2%</w:t>
            </w:r>
          </w:p>
        </w:tc>
      </w:tr>
    </w:tbl>
    <w:p w14:paraId="3753099B" w14:textId="77777777" w:rsidR="005B2B33" w:rsidRDefault="005B2B33">
      <w:pPr>
        <w:pStyle w:val="BodyText"/>
        <w:rPr>
          <w:b/>
        </w:rPr>
      </w:pPr>
    </w:p>
    <w:p w14:paraId="3753099C" w14:textId="77777777" w:rsidR="005B2B33" w:rsidRDefault="005B2B33">
      <w:pPr>
        <w:pStyle w:val="BodyText"/>
        <w:spacing w:before="6"/>
        <w:rPr>
          <w:b/>
          <w:sz w:val="20"/>
        </w:rPr>
      </w:pPr>
    </w:p>
    <w:p w14:paraId="3753099D" w14:textId="77777777" w:rsidR="005B2B33" w:rsidRDefault="00F04DA5">
      <w:pPr>
        <w:ind w:left="100"/>
        <w:rPr>
          <w:i/>
          <w:sz w:val="18"/>
        </w:rPr>
      </w:pPr>
      <w:r>
        <w:rPr>
          <w:i/>
          <w:sz w:val="18"/>
        </w:rPr>
        <w:t>*EIA: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Environmental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Impact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Assessment</w:t>
      </w:r>
    </w:p>
    <w:p w14:paraId="3753099E" w14:textId="77777777" w:rsidR="005B2B33" w:rsidRDefault="005B2B33">
      <w:pPr>
        <w:pStyle w:val="BodyText"/>
        <w:rPr>
          <w:i/>
          <w:sz w:val="19"/>
        </w:rPr>
      </w:pPr>
    </w:p>
    <w:p w14:paraId="3753099F" w14:textId="77777777" w:rsidR="005B2B33" w:rsidRDefault="00F04DA5">
      <w:pPr>
        <w:ind w:left="100"/>
        <w:rPr>
          <w:i/>
          <w:sz w:val="24"/>
        </w:rPr>
      </w:pPr>
      <w:r>
        <w:rPr>
          <w:i/>
          <w:sz w:val="24"/>
        </w:rPr>
        <w:t>Consultations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overview</w:t>
      </w:r>
    </w:p>
    <w:p w14:paraId="375309A0" w14:textId="77777777" w:rsidR="005B2B33" w:rsidRDefault="005B2B33">
      <w:pPr>
        <w:pStyle w:val="BodyText"/>
        <w:spacing w:before="1"/>
        <w:rPr>
          <w:i/>
          <w:sz w:val="20"/>
        </w:rPr>
      </w:pPr>
    </w:p>
    <w:p w14:paraId="375309A1" w14:textId="77777777" w:rsidR="005B2B33" w:rsidRDefault="00F04DA5">
      <w:pPr>
        <w:pStyle w:val="BodyText"/>
        <w:spacing w:line="276" w:lineRule="auto"/>
        <w:ind w:left="100"/>
      </w:pPr>
      <w:r>
        <w:t>We have an internal objective to achieve a minimum of 80% compliance for statutory</w:t>
      </w:r>
      <w:r>
        <w:rPr>
          <w:spacing w:val="1"/>
        </w:rPr>
        <w:t xml:space="preserve"> </w:t>
      </w:r>
      <w:r>
        <w:t>consultations applications (including Condition Discharge, Major and Reserved Matters</w:t>
      </w:r>
      <w:r>
        <w:rPr>
          <w:spacing w:val="1"/>
        </w:rPr>
        <w:t xml:space="preserve"> </w:t>
      </w:r>
      <w:r>
        <w:t>applications).</w:t>
      </w:r>
      <w:r>
        <w:rPr>
          <w:spacing w:val="1"/>
        </w:rPr>
        <w:t xml:space="preserve"> </w:t>
      </w:r>
      <w:r>
        <w:t>This was not achieved for Condition Discharge, or Major applications due to</w:t>
      </w:r>
      <w:r>
        <w:rPr>
          <w:spacing w:val="-52"/>
        </w:rPr>
        <w:t xml:space="preserve"> </w:t>
      </w:r>
      <w:r>
        <w:t>resourcing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primarily.</w:t>
      </w:r>
    </w:p>
    <w:p w14:paraId="375309A2" w14:textId="77777777" w:rsidR="005B2B33" w:rsidRDefault="005B2B33">
      <w:pPr>
        <w:spacing w:line="276" w:lineRule="auto"/>
        <w:sectPr w:rsidR="005B2B33">
          <w:pgSz w:w="11910" w:h="16840"/>
          <w:pgMar w:top="1400" w:right="1340" w:bottom="1180" w:left="1340" w:header="0" w:footer="998" w:gutter="0"/>
          <w:cols w:space="720"/>
        </w:sectPr>
      </w:pPr>
    </w:p>
    <w:p w14:paraId="375309A3" w14:textId="77777777" w:rsidR="005B2B33" w:rsidRDefault="00F04DA5">
      <w:pPr>
        <w:spacing w:before="24"/>
        <w:ind w:left="100"/>
        <w:rPr>
          <w:i/>
          <w:sz w:val="24"/>
        </w:rPr>
      </w:pPr>
      <w:r>
        <w:rPr>
          <w:i/>
          <w:sz w:val="24"/>
        </w:rPr>
        <w:lastRenderedPageBreak/>
        <w:t>Consultations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remit:</w:t>
      </w:r>
    </w:p>
    <w:p w14:paraId="375309A4" w14:textId="77777777" w:rsidR="005B2B33" w:rsidRDefault="005B2B33">
      <w:pPr>
        <w:pStyle w:val="BodyText"/>
        <w:rPr>
          <w:i/>
          <w:sz w:val="20"/>
        </w:rPr>
      </w:pPr>
    </w:p>
    <w:p w14:paraId="375309A5" w14:textId="77777777" w:rsidR="005B2B33" w:rsidRDefault="00F04DA5">
      <w:pPr>
        <w:pStyle w:val="BodyText"/>
        <w:spacing w:line="276" w:lineRule="auto"/>
        <w:ind w:left="100" w:right="111"/>
      </w:pPr>
      <w:r>
        <w:t>Al</w:t>
      </w:r>
      <w:r>
        <w:t>though we are only a statutory consultee for major applications, we have responded to</w:t>
      </w:r>
      <w:r>
        <w:rPr>
          <w:spacing w:val="1"/>
        </w:rPr>
        <w:t xml:space="preserve"> </w:t>
      </w:r>
      <w:r>
        <w:t>consultations for minor applications where there may be concerns relating to potential</w:t>
      </w:r>
      <w:r>
        <w:rPr>
          <w:spacing w:val="1"/>
        </w:rPr>
        <w:t xml:space="preserve"> </w:t>
      </w:r>
      <w:r>
        <w:t>drainage issues which could result in a significant impact on localised drainage an</w:t>
      </w:r>
      <w:r>
        <w:t>d flooding</w:t>
      </w:r>
      <w:r>
        <w:rPr>
          <w:spacing w:val="1"/>
        </w:rPr>
        <w:t xml:space="preserve"> </w:t>
      </w:r>
      <w:r>
        <w:t>problems. These do not account for a high number of applications, but the Local Planning</w:t>
      </w:r>
      <w:r>
        <w:rPr>
          <w:spacing w:val="1"/>
        </w:rPr>
        <w:t xml:space="preserve"> </w:t>
      </w:r>
      <w:r>
        <w:t>Authority is requesting more informal advice on minor applications in recognition of the fact</w:t>
      </w:r>
      <w:r>
        <w:rPr>
          <w:spacing w:val="-52"/>
        </w:rPr>
        <w:t xml:space="preserve"> </w:t>
      </w:r>
      <w:r>
        <w:t>that even minor development can have a significant impact on l</w:t>
      </w:r>
      <w:r>
        <w:t>ocalised drainage and</w:t>
      </w:r>
      <w:r>
        <w:rPr>
          <w:spacing w:val="1"/>
        </w:rPr>
        <w:t xml:space="preserve"> </w:t>
      </w:r>
      <w:r>
        <w:t>flooding problems.</w:t>
      </w:r>
      <w:r>
        <w:rPr>
          <w:spacing w:val="54"/>
        </w:rPr>
        <w:t xml:space="preserve"> </w:t>
      </w:r>
      <w:r>
        <w:t>This is also supported by evidence of flood incidents relating to new</w:t>
      </w:r>
      <w:r>
        <w:rPr>
          <w:spacing w:val="1"/>
        </w:rPr>
        <w:t xml:space="preserve"> </w:t>
      </w:r>
      <w:r>
        <w:t>build minor developments which received permission prior to the LLFA statutory consultee</w:t>
      </w:r>
      <w:r>
        <w:rPr>
          <w:spacing w:val="1"/>
        </w:rPr>
        <w:t xml:space="preserve"> </w:t>
      </w:r>
      <w:r>
        <w:t>role.</w:t>
      </w:r>
    </w:p>
    <w:p w14:paraId="375309A6" w14:textId="77777777" w:rsidR="005B2B33" w:rsidRDefault="00F04DA5">
      <w:pPr>
        <w:pStyle w:val="BodyText"/>
        <w:spacing w:before="199" w:line="276" w:lineRule="auto"/>
        <w:ind w:left="100"/>
      </w:pPr>
      <w:r>
        <w:t xml:space="preserve">We have considered developing standing advice and </w:t>
      </w:r>
      <w:r>
        <w:t>guidance which could address some of</w:t>
      </w:r>
      <w:r>
        <w:rPr>
          <w:spacing w:val="1"/>
        </w:rPr>
        <w:t xml:space="preserve"> </w:t>
      </w:r>
      <w:r>
        <w:t>the potential issues applicable to minor applications, however often, problems are very site</w:t>
      </w:r>
      <w:r>
        <w:rPr>
          <w:spacing w:val="1"/>
        </w:rPr>
        <w:t xml:space="preserve"> </w:t>
      </w:r>
      <w:r>
        <w:t>specific which require review at a more detailed level to ensure that there will be no</w:t>
      </w:r>
      <w:r>
        <w:rPr>
          <w:spacing w:val="1"/>
        </w:rPr>
        <w:t xml:space="preserve"> </w:t>
      </w:r>
      <w:r>
        <w:t>detriment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flood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 problems</w:t>
      </w:r>
      <w:r>
        <w:rPr>
          <w:spacing w:val="1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evidence.</w:t>
      </w:r>
    </w:p>
    <w:p w14:paraId="375309A7" w14:textId="77777777" w:rsidR="005B2B33" w:rsidRDefault="005B2B33">
      <w:pPr>
        <w:pStyle w:val="BodyText"/>
      </w:pPr>
    </w:p>
    <w:p w14:paraId="375309A8" w14:textId="77777777" w:rsidR="005B2B33" w:rsidRDefault="005B2B33">
      <w:pPr>
        <w:pStyle w:val="BodyText"/>
        <w:spacing w:before="3"/>
        <w:rPr>
          <w:sz w:val="34"/>
        </w:rPr>
      </w:pPr>
    </w:p>
    <w:p w14:paraId="375309A9" w14:textId="77777777" w:rsidR="005B2B33" w:rsidRDefault="00F04DA5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Summary</w:t>
      </w:r>
    </w:p>
    <w:p w14:paraId="375309AA" w14:textId="77777777" w:rsidR="005B2B33" w:rsidRDefault="005B2B33">
      <w:pPr>
        <w:pStyle w:val="BodyText"/>
        <w:spacing w:before="1"/>
        <w:rPr>
          <w:b/>
          <w:sz w:val="20"/>
        </w:rPr>
      </w:pPr>
    </w:p>
    <w:p w14:paraId="375309AB" w14:textId="77777777" w:rsidR="005B2B33" w:rsidRDefault="00F04DA5">
      <w:pPr>
        <w:pStyle w:val="BodyText"/>
        <w:spacing w:line="276" w:lineRule="auto"/>
        <w:ind w:left="100" w:right="105"/>
      </w:pPr>
      <w:r>
        <w:t>Medway Council has not achieved overall internal compliance to respond to statutory</w:t>
      </w:r>
      <w:r>
        <w:rPr>
          <w:spacing w:val="1"/>
        </w:rPr>
        <w:t xml:space="preserve"> </w:t>
      </w:r>
      <w:r>
        <w:t>consultations due to resourcing issu</w:t>
      </w:r>
      <w:r>
        <w:t>es. Staffing and resource are being looked at with a view</w:t>
      </w:r>
      <w:r>
        <w:rPr>
          <w:spacing w:val="-52"/>
        </w:rPr>
        <w:t xml:space="preserve"> </w:t>
      </w:r>
      <w:r>
        <w:t>to take on another officer to assist with the planning elements of the role. Any consultations</w:t>
      </w:r>
      <w:r>
        <w:rPr>
          <w:spacing w:val="-52"/>
        </w:rPr>
        <w:t xml:space="preserve"> </w:t>
      </w:r>
      <w:r>
        <w:t>received that were not responded to within the 21-day deadline, were responded to at a</w:t>
      </w:r>
      <w:r>
        <w:rPr>
          <w:spacing w:val="1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</w:t>
      </w:r>
      <w:r>
        <w:t>reement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Planning</w:t>
      </w:r>
      <w:r>
        <w:rPr>
          <w:spacing w:val="-1"/>
        </w:rPr>
        <w:t xml:space="preserve"> </w:t>
      </w:r>
      <w:r>
        <w:t>Authority in</w:t>
      </w:r>
      <w:r>
        <w:rPr>
          <w:spacing w:val="-3"/>
        </w:rPr>
        <w:t xml:space="preserve"> </w:t>
      </w:r>
      <w:r>
        <w:t>all instances.</w:t>
      </w:r>
    </w:p>
    <w:sectPr w:rsidR="005B2B33">
      <w:pgSz w:w="11910" w:h="16840"/>
      <w:pgMar w:top="1400" w:right="134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09B1" w14:textId="77777777" w:rsidR="00000000" w:rsidRDefault="00F04DA5">
      <w:r>
        <w:separator/>
      </w:r>
    </w:p>
  </w:endnote>
  <w:endnote w:type="continuationSeparator" w:id="0">
    <w:p w14:paraId="375309B3" w14:textId="77777777" w:rsidR="00000000" w:rsidRDefault="00F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09AC" w14:textId="77777777" w:rsidR="005B2B33" w:rsidRDefault="00F04DA5">
    <w:pPr>
      <w:pStyle w:val="BodyText"/>
      <w:spacing w:line="14" w:lineRule="auto"/>
      <w:rPr>
        <w:sz w:val="20"/>
      </w:rPr>
    </w:pPr>
    <w:r>
      <w:pict w14:anchorId="375309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5pt;margin-top:781pt;width:12.6pt;height:13.05pt;z-index:-251658752;mso-position-horizontal-relative:page;mso-position-vertical-relative:page" filled="f" stroked="f">
          <v:textbox inset="0,0,0,0">
            <w:txbxContent>
              <w:p w14:paraId="375309AE" w14:textId="77777777" w:rsidR="005B2B33" w:rsidRDefault="00F04DA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09AD" w14:textId="77777777" w:rsidR="00000000" w:rsidRDefault="00F04DA5">
      <w:r>
        <w:separator/>
      </w:r>
    </w:p>
  </w:footnote>
  <w:footnote w:type="continuationSeparator" w:id="0">
    <w:p w14:paraId="375309AF" w14:textId="77777777" w:rsidR="00000000" w:rsidRDefault="00F0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494"/>
    <w:multiLevelType w:val="hybridMultilevel"/>
    <w:tmpl w:val="378C6F02"/>
    <w:lvl w:ilvl="0" w:tplc="23F6031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83873F0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2" w:tplc="51580C26">
      <w:numFmt w:val="bullet"/>
      <w:lvlText w:val="•"/>
      <w:lvlJc w:val="left"/>
      <w:pPr>
        <w:ind w:left="2500" w:hanging="361"/>
      </w:pPr>
      <w:rPr>
        <w:rFonts w:hint="default"/>
        <w:lang w:val="en-GB" w:eastAsia="en-US" w:bidi="ar-SA"/>
      </w:rPr>
    </w:lvl>
    <w:lvl w:ilvl="3" w:tplc="7D56AE62">
      <w:numFmt w:val="bullet"/>
      <w:lvlText w:val="•"/>
      <w:lvlJc w:val="left"/>
      <w:pPr>
        <w:ind w:left="3341" w:hanging="361"/>
      </w:pPr>
      <w:rPr>
        <w:rFonts w:hint="default"/>
        <w:lang w:val="en-GB" w:eastAsia="en-US" w:bidi="ar-SA"/>
      </w:rPr>
    </w:lvl>
    <w:lvl w:ilvl="4" w:tplc="81C60C36">
      <w:numFmt w:val="bullet"/>
      <w:lvlText w:val="•"/>
      <w:lvlJc w:val="left"/>
      <w:pPr>
        <w:ind w:left="4181" w:hanging="361"/>
      </w:pPr>
      <w:rPr>
        <w:rFonts w:hint="default"/>
        <w:lang w:val="en-GB" w:eastAsia="en-US" w:bidi="ar-SA"/>
      </w:rPr>
    </w:lvl>
    <w:lvl w:ilvl="5" w:tplc="F642F74A">
      <w:numFmt w:val="bullet"/>
      <w:lvlText w:val="•"/>
      <w:lvlJc w:val="left"/>
      <w:pPr>
        <w:ind w:left="5022" w:hanging="361"/>
      </w:pPr>
      <w:rPr>
        <w:rFonts w:hint="default"/>
        <w:lang w:val="en-GB" w:eastAsia="en-US" w:bidi="ar-SA"/>
      </w:rPr>
    </w:lvl>
    <w:lvl w:ilvl="6" w:tplc="6220DB50">
      <w:numFmt w:val="bullet"/>
      <w:lvlText w:val="•"/>
      <w:lvlJc w:val="left"/>
      <w:pPr>
        <w:ind w:left="5862" w:hanging="361"/>
      </w:pPr>
      <w:rPr>
        <w:rFonts w:hint="default"/>
        <w:lang w:val="en-GB" w:eastAsia="en-US" w:bidi="ar-SA"/>
      </w:rPr>
    </w:lvl>
    <w:lvl w:ilvl="7" w:tplc="1A4AF8DC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8" w:tplc="C92638D6">
      <w:numFmt w:val="bullet"/>
      <w:lvlText w:val="•"/>
      <w:lvlJc w:val="left"/>
      <w:pPr>
        <w:ind w:left="7543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73665414"/>
    <w:multiLevelType w:val="hybridMultilevel"/>
    <w:tmpl w:val="820EC95C"/>
    <w:lvl w:ilvl="0" w:tplc="627CB596">
      <w:start w:val="1"/>
      <w:numFmt w:val="decimal"/>
      <w:lvlText w:val="%1"/>
      <w:lvlJc w:val="left"/>
      <w:pPr>
        <w:ind w:left="821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D2129036">
      <w:start w:val="1"/>
      <w:numFmt w:val="lowerLetter"/>
      <w:lvlText w:val="(%2)"/>
      <w:lvlJc w:val="left"/>
      <w:pPr>
        <w:ind w:left="118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E5F69A24">
      <w:numFmt w:val="bullet"/>
      <w:lvlText w:val="•"/>
      <w:lvlJc w:val="left"/>
      <w:pPr>
        <w:ind w:left="2073" w:hanging="721"/>
      </w:pPr>
      <w:rPr>
        <w:rFonts w:hint="default"/>
        <w:lang w:val="en-GB" w:eastAsia="en-US" w:bidi="ar-SA"/>
      </w:rPr>
    </w:lvl>
    <w:lvl w:ilvl="3" w:tplc="D2C08B90">
      <w:numFmt w:val="bullet"/>
      <w:lvlText w:val="•"/>
      <w:lvlJc w:val="left"/>
      <w:pPr>
        <w:ind w:left="2967" w:hanging="721"/>
      </w:pPr>
      <w:rPr>
        <w:rFonts w:hint="default"/>
        <w:lang w:val="en-GB" w:eastAsia="en-US" w:bidi="ar-SA"/>
      </w:rPr>
    </w:lvl>
    <w:lvl w:ilvl="4" w:tplc="9A72A5C0">
      <w:numFmt w:val="bullet"/>
      <w:lvlText w:val="•"/>
      <w:lvlJc w:val="left"/>
      <w:pPr>
        <w:ind w:left="3861" w:hanging="721"/>
      </w:pPr>
      <w:rPr>
        <w:rFonts w:hint="default"/>
        <w:lang w:val="en-GB" w:eastAsia="en-US" w:bidi="ar-SA"/>
      </w:rPr>
    </w:lvl>
    <w:lvl w:ilvl="5" w:tplc="3926ECD6">
      <w:numFmt w:val="bullet"/>
      <w:lvlText w:val="•"/>
      <w:lvlJc w:val="left"/>
      <w:pPr>
        <w:ind w:left="4755" w:hanging="721"/>
      </w:pPr>
      <w:rPr>
        <w:rFonts w:hint="default"/>
        <w:lang w:val="en-GB" w:eastAsia="en-US" w:bidi="ar-SA"/>
      </w:rPr>
    </w:lvl>
    <w:lvl w:ilvl="6" w:tplc="635071AC">
      <w:numFmt w:val="bullet"/>
      <w:lvlText w:val="•"/>
      <w:lvlJc w:val="left"/>
      <w:pPr>
        <w:ind w:left="5648" w:hanging="721"/>
      </w:pPr>
      <w:rPr>
        <w:rFonts w:hint="default"/>
        <w:lang w:val="en-GB" w:eastAsia="en-US" w:bidi="ar-SA"/>
      </w:rPr>
    </w:lvl>
    <w:lvl w:ilvl="7" w:tplc="36FCAF28">
      <w:numFmt w:val="bullet"/>
      <w:lvlText w:val="•"/>
      <w:lvlJc w:val="left"/>
      <w:pPr>
        <w:ind w:left="6542" w:hanging="721"/>
      </w:pPr>
      <w:rPr>
        <w:rFonts w:hint="default"/>
        <w:lang w:val="en-GB" w:eastAsia="en-US" w:bidi="ar-SA"/>
      </w:rPr>
    </w:lvl>
    <w:lvl w:ilvl="8" w:tplc="FD58B94A">
      <w:numFmt w:val="bullet"/>
      <w:lvlText w:val="•"/>
      <w:lvlJc w:val="left"/>
      <w:pPr>
        <w:ind w:left="7436" w:hanging="72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B33"/>
    <w:rsid w:val="005B2B33"/>
    <w:rsid w:val="00F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0950"/>
  <w15:docId w15:val="{618A5513-A116-4E3F-9B2F-2E7E87B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table" w:styleId="TableGrid">
    <w:name w:val="Table Grid"/>
    <w:basedOn w:val="TableNormal"/>
    <w:uiPriority w:val="39"/>
    <w:rsid w:val="00F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LLFA statutory consultee performance report 1 april 2016 to 31 march 2017</dc:title>
  <dc:creator>haselhurst, priscilla</dc:creator>
  <cp:lastModifiedBy>cadwallader, amie</cp:lastModifiedBy>
  <cp:revision>2</cp:revision>
  <dcterms:created xsi:type="dcterms:W3CDTF">2022-03-18T10:33:00Z</dcterms:created>
  <dcterms:modified xsi:type="dcterms:W3CDTF">2022-03-18T10:33:00Z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2022-03-18T00:00:00Z</vt:filetime>
  </property>
</Properties>
</file>