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2403" w14:textId="77777777" w:rsidR="00A821D5" w:rsidRDefault="002E7C04">
      <w:pPr>
        <w:spacing w:before="24"/>
        <w:ind w:left="220"/>
        <w:rPr>
          <w:b/>
          <w:sz w:val="24"/>
        </w:rPr>
      </w:pPr>
      <w:r>
        <w:rPr>
          <w:b/>
          <w:sz w:val="24"/>
        </w:rPr>
        <w:t>Medway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LLFA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Statutory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Consultee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Performance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15 April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2015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2016</w:t>
      </w:r>
    </w:p>
    <w:p w14:paraId="67B12404" w14:textId="77777777" w:rsidR="00A821D5" w:rsidRDefault="00A821D5">
      <w:pPr>
        <w:pStyle w:val="BodyText"/>
        <w:rPr>
          <w:b/>
          <w:sz w:val="20"/>
        </w:rPr>
      </w:pPr>
    </w:p>
    <w:p w14:paraId="67B12405" w14:textId="77777777" w:rsidR="00A821D5" w:rsidRDefault="002E7C04">
      <w:pPr>
        <w:ind w:left="220"/>
        <w:rPr>
          <w:b/>
          <w:sz w:val="24"/>
        </w:rPr>
      </w:pPr>
      <w:r>
        <w:rPr>
          <w:b/>
          <w:sz w:val="24"/>
        </w:rPr>
        <w:t>August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2016</w:t>
      </w:r>
    </w:p>
    <w:p w14:paraId="67B12406" w14:textId="77777777" w:rsidR="00A821D5" w:rsidRDefault="00A821D5">
      <w:pPr>
        <w:pStyle w:val="BodyText"/>
        <w:rPr>
          <w:b/>
        </w:rPr>
      </w:pPr>
    </w:p>
    <w:p w14:paraId="67B12407" w14:textId="77777777" w:rsidR="00A821D5" w:rsidRDefault="00A821D5">
      <w:pPr>
        <w:pStyle w:val="BodyText"/>
        <w:rPr>
          <w:b/>
        </w:rPr>
      </w:pPr>
    </w:p>
    <w:p w14:paraId="67B12408" w14:textId="77777777" w:rsidR="00A821D5" w:rsidRDefault="002E7C04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97"/>
        <w:rPr>
          <w:b/>
          <w:sz w:val="24"/>
        </w:rPr>
      </w:pPr>
      <w:r>
        <w:rPr>
          <w:b/>
          <w:sz w:val="24"/>
        </w:rPr>
        <w:t>Introduction</w:t>
      </w:r>
    </w:p>
    <w:p w14:paraId="67B12409" w14:textId="77777777" w:rsidR="00A821D5" w:rsidRDefault="00A821D5">
      <w:pPr>
        <w:pStyle w:val="BodyText"/>
        <w:spacing w:before="8"/>
        <w:rPr>
          <w:b/>
          <w:sz w:val="19"/>
        </w:rPr>
      </w:pPr>
    </w:p>
    <w:p w14:paraId="67B1240A" w14:textId="77777777" w:rsidR="00A821D5" w:rsidRDefault="002E7C04">
      <w:pPr>
        <w:pStyle w:val="BodyText"/>
        <w:spacing w:line="276" w:lineRule="auto"/>
        <w:ind w:left="220" w:right="388"/>
      </w:pPr>
      <w:r>
        <w:t>Medway Council in its remit as Lead Local Flood Authority was made statutory consultee in</w:t>
      </w:r>
      <w:r>
        <w:rPr>
          <w:spacing w:val="-52"/>
        </w:rPr>
        <w:t xml:space="preserve"> </w:t>
      </w:r>
      <w:r>
        <w:t>respect of surface water for major development on April 15</w:t>
      </w:r>
      <w:proofErr w:type="gramStart"/>
      <w:r>
        <w:t xml:space="preserve"> 2015</w:t>
      </w:r>
      <w:proofErr w:type="gramEnd"/>
      <w:r>
        <w:t>. The role of statutory</w:t>
      </w:r>
      <w:r>
        <w:rPr>
          <w:spacing w:val="1"/>
        </w:rPr>
        <w:t xml:space="preserve"> </w:t>
      </w:r>
      <w:r>
        <w:t>consultee is defined through the Town and Country Planning Act 1990; Town and C</w:t>
      </w:r>
      <w:r>
        <w:t>ountry</w:t>
      </w:r>
      <w:r>
        <w:rPr>
          <w:spacing w:val="1"/>
        </w:rPr>
        <w:t xml:space="preserve"> </w:t>
      </w:r>
      <w:r>
        <w:t xml:space="preserve">Planning (Development Management Procedure) (England) Order 2015; </w:t>
      </w:r>
      <w:proofErr w:type="gramStart"/>
      <w:r>
        <w:t>and,</w:t>
      </w:r>
      <w:proofErr w:type="gramEnd"/>
      <w:r>
        <w:t xml:space="preserve"> Planning and</w:t>
      </w:r>
      <w:r>
        <w:rPr>
          <w:spacing w:val="1"/>
        </w:rPr>
        <w:t xml:space="preserve"> </w:t>
      </w:r>
      <w:r>
        <w:t>Compulsory</w:t>
      </w:r>
      <w:r>
        <w:rPr>
          <w:spacing w:val="-1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2004.</w:t>
      </w:r>
    </w:p>
    <w:p w14:paraId="67B1240B" w14:textId="77777777" w:rsidR="00A821D5" w:rsidRDefault="002E7C04">
      <w:pPr>
        <w:pStyle w:val="BodyText"/>
        <w:spacing w:before="202" w:line="276" w:lineRule="auto"/>
        <w:ind w:left="220" w:right="270"/>
      </w:pPr>
      <w:r>
        <w:t>Statutory consultees have a duty to respond to statutory consultations within 21 days in</w:t>
      </w:r>
      <w:r>
        <w:rPr>
          <w:spacing w:val="1"/>
        </w:rPr>
        <w:t xml:space="preserve"> </w:t>
      </w:r>
      <w:r>
        <w:t xml:space="preserve">accordance with Article 22 of the Development </w:t>
      </w:r>
      <w:r>
        <w:t xml:space="preserve">Management Order. The </w:t>
      </w:r>
      <w:proofErr w:type="gramStart"/>
      <w:r>
        <w:t>21 day</w:t>
      </w:r>
      <w:proofErr w:type="gramEnd"/>
      <w:r>
        <w:t xml:space="preserve"> period does</w:t>
      </w:r>
      <w:r>
        <w:rPr>
          <w:spacing w:val="-52"/>
        </w:rPr>
        <w:t xml:space="preserve"> </w:t>
      </w:r>
      <w:r>
        <w:t>not begin until the statutory consultee in question has such information to enable a</w:t>
      </w:r>
      <w:r>
        <w:rPr>
          <w:spacing w:val="1"/>
        </w:rPr>
        <w:t xml:space="preserve"> </w:t>
      </w:r>
      <w:r>
        <w:t>substantive</w:t>
      </w:r>
      <w:r>
        <w:rPr>
          <w:spacing w:val="-2"/>
        </w:rPr>
        <w:t xml:space="preserve"> </w:t>
      </w:r>
      <w:r>
        <w:t>response.</w:t>
      </w:r>
    </w:p>
    <w:p w14:paraId="67B1240C" w14:textId="77777777" w:rsidR="00A821D5" w:rsidRDefault="002E7C04">
      <w:pPr>
        <w:pStyle w:val="BodyText"/>
        <w:spacing w:before="199"/>
        <w:ind w:left="220"/>
      </w:pPr>
      <w:r>
        <w:t>Subsection</w:t>
      </w:r>
      <w:r>
        <w:rPr>
          <w:spacing w:val="-5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substantive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which:</w:t>
      </w:r>
    </w:p>
    <w:p w14:paraId="67B1240D" w14:textId="77777777" w:rsidR="00A821D5" w:rsidRDefault="00A821D5">
      <w:pPr>
        <w:pStyle w:val="BodyText"/>
        <w:rPr>
          <w:sz w:val="20"/>
        </w:rPr>
      </w:pPr>
    </w:p>
    <w:p w14:paraId="67B1240E" w14:textId="77777777" w:rsidR="00A821D5" w:rsidRDefault="002E7C04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rPr>
          <w:sz w:val="24"/>
        </w:rPr>
      </w:pPr>
      <w:r>
        <w:rPr>
          <w:sz w:val="24"/>
        </w:rPr>
        <w:t>states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consultee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comment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make;</w:t>
      </w:r>
      <w:proofErr w:type="gramEnd"/>
    </w:p>
    <w:p w14:paraId="67B1240F" w14:textId="77777777" w:rsidR="00A821D5" w:rsidRDefault="002E7C04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48" w:line="276" w:lineRule="auto"/>
        <w:ind w:right="637"/>
        <w:rPr>
          <w:sz w:val="24"/>
        </w:rPr>
      </w:pPr>
      <w:r>
        <w:rPr>
          <w:sz w:val="24"/>
        </w:rPr>
        <w:t>states</w:t>
      </w:r>
      <w:r>
        <w:rPr>
          <w:spacing w:val="-2"/>
          <w:sz w:val="24"/>
        </w:rPr>
        <w:t xml:space="preserve"> </w:t>
      </w:r>
      <w:r>
        <w:rPr>
          <w:sz w:val="24"/>
        </w:rPr>
        <w:t>that,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available,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consultee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  <w:r>
        <w:rPr>
          <w:spacing w:val="-5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 development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proposed;</w:t>
      </w:r>
      <w:proofErr w:type="gramEnd"/>
    </w:p>
    <w:p w14:paraId="67B12410" w14:textId="77777777" w:rsidR="00A821D5" w:rsidRDefault="002E7C04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line="276" w:lineRule="auto"/>
        <w:ind w:right="284"/>
        <w:rPr>
          <w:sz w:val="24"/>
        </w:rPr>
      </w:pPr>
      <w:r>
        <w:rPr>
          <w:sz w:val="24"/>
        </w:rPr>
        <w:t>refers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consultor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standing</w:t>
      </w:r>
      <w:r>
        <w:rPr>
          <w:spacing w:val="-2"/>
          <w:sz w:val="24"/>
        </w:rPr>
        <w:t xml:space="preserve"> </w:t>
      </w:r>
      <w:r>
        <w:rPr>
          <w:sz w:val="24"/>
        </w:rPr>
        <w:t>advice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consultee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consultation;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</w:p>
    <w:p w14:paraId="67B12411" w14:textId="77777777" w:rsidR="00A821D5" w:rsidRDefault="002E7C04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line="291" w:lineRule="exact"/>
        <w:rPr>
          <w:sz w:val="24"/>
        </w:rPr>
      </w:pP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advice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consultor.</w:t>
      </w:r>
    </w:p>
    <w:p w14:paraId="67B12412" w14:textId="77777777" w:rsidR="00A821D5" w:rsidRDefault="00A821D5">
      <w:pPr>
        <w:pStyle w:val="BodyText"/>
      </w:pPr>
    </w:p>
    <w:p w14:paraId="67B12413" w14:textId="77777777" w:rsidR="00A821D5" w:rsidRDefault="00A821D5">
      <w:pPr>
        <w:pStyle w:val="BodyText"/>
        <w:spacing w:before="6"/>
        <w:rPr>
          <w:sz w:val="23"/>
        </w:rPr>
      </w:pPr>
    </w:p>
    <w:p w14:paraId="67B12414" w14:textId="77777777" w:rsidR="00A821D5" w:rsidRDefault="002E7C04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rPr>
          <w:b/>
          <w:sz w:val="24"/>
        </w:rPr>
      </w:pPr>
      <w:r>
        <w:rPr>
          <w:b/>
          <w:sz w:val="24"/>
        </w:rPr>
        <w:t>Performance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reporting</w:t>
      </w:r>
    </w:p>
    <w:p w14:paraId="67B12415" w14:textId="77777777" w:rsidR="00A821D5" w:rsidRDefault="00A821D5">
      <w:pPr>
        <w:pStyle w:val="BodyText"/>
        <w:rPr>
          <w:b/>
          <w:sz w:val="20"/>
        </w:rPr>
      </w:pPr>
    </w:p>
    <w:p w14:paraId="67B12416" w14:textId="77777777" w:rsidR="00A821D5" w:rsidRDefault="002E7C04">
      <w:pPr>
        <w:pStyle w:val="BodyText"/>
        <w:spacing w:line="276" w:lineRule="auto"/>
        <w:ind w:left="220" w:right="510"/>
      </w:pPr>
      <w:r>
        <w:t>In accordance with Article 23 of the Development Control Management Order, statutory</w:t>
      </w:r>
      <w:r>
        <w:rPr>
          <w:spacing w:val="1"/>
        </w:rPr>
        <w:t xml:space="preserve"> </w:t>
      </w:r>
      <w:r>
        <w:t>consultees are required to provide reports on their performance for the period of 12</w:t>
      </w:r>
      <w:r>
        <w:rPr>
          <w:spacing w:val="1"/>
        </w:rPr>
        <w:t xml:space="preserve"> </w:t>
      </w:r>
      <w:r>
        <w:t>months commencing 1 April in the preceding year (on this occasion 15 April). The reports</w:t>
      </w:r>
      <w:r>
        <w:rPr>
          <w:spacing w:val="1"/>
        </w:rPr>
        <w:t xml:space="preserve"> </w:t>
      </w:r>
      <w:r>
        <w:t xml:space="preserve">should be sent to the Department for Communities and Local Government each </w:t>
      </w:r>
      <w:proofErr w:type="gramStart"/>
      <w:r>
        <w:t>year, a</w:t>
      </w:r>
      <w:r>
        <w:t>nd</w:t>
      </w:r>
      <w:proofErr w:type="gramEnd"/>
      <w:r>
        <w:rPr>
          <w:spacing w:val="-52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statutory consultees</w:t>
      </w:r>
      <w:r>
        <w:rPr>
          <w:spacing w:val="-1"/>
        </w:rPr>
        <w:t xml:space="preserve"> </w:t>
      </w:r>
      <w:r>
        <w:t>website.</w:t>
      </w:r>
    </w:p>
    <w:p w14:paraId="67B12417" w14:textId="77777777" w:rsidR="00A821D5" w:rsidRDefault="00A821D5">
      <w:pPr>
        <w:spacing w:line="276" w:lineRule="auto"/>
        <w:sectPr w:rsidR="00A821D5">
          <w:footerReference w:type="default" r:id="rId7"/>
          <w:type w:val="continuous"/>
          <w:pgSz w:w="11910" w:h="16840"/>
          <w:pgMar w:top="1400" w:right="1200" w:bottom="1180" w:left="1220" w:header="0" w:footer="998" w:gutter="0"/>
          <w:pgNumType w:start="1"/>
          <w:cols w:space="720"/>
        </w:sectPr>
      </w:pPr>
    </w:p>
    <w:p w14:paraId="67B12418" w14:textId="77777777" w:rsidR="00A821D5" w:rsidRDefault="00A821D5">
      <w:pPr>
        <w:pStyle w:val="BodyText"/>
        <w:rPr>
          <w:sz w:val="27"/>
        </w:rPr>
      </w:pPr>
    </w:p>
    <w:p w14:paraId="67B12419" w14:textId="77777777" w:rsidR="00A821D5" w:rsidRDefault="002E7C04">
      <w:pPr>
        <w:pStyle w:val="BodyText"/>
        <w:spacing w:before="52"/>
        <w:ind w:left="220"/>
      </w:pP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contain:</w:t>
      </w:r>
    </w:p>
    <w:p w14:paraId="67B1241A" w14:textId="77777777" w:rsidR="00A821D5" w:rsidRDefault="00A821D5">
      <w:pPr>
        <w:pStyle w:val="BodyText"/>
        <w:spacing w:before="10"/>
        <w:rPr>
          <w:sz w:val="19"/>
        </w:rPr>
      </w:pPr>
    </w:p>
    <w:p w14:paraId="67B1241B" w14:textId="77777777" w:rsidR="00A821D5" w:rsidRDefault="002E7C0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31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occasions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consultee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consulted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1"/>
          <w:sz w:val="24"/>
        </w:rPr>
        <w:t xml:space="preserve"> </w:t>
      </w:r>
      <w:r>
        <w:rPr>
          <w:sz w:val="24"/>
        </w:rPr>
        <w:t>a person other than a local planning authority and the number responded to 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reporting period</w:t>
      </w:r>
      <w:r>
        <w:rPr>
          <w:spacing w:val="-3"/>
          <w:sz w:val="24"/>
        </w:rPr>
        <w:t xml:space="preserve"> </w:t>
      </w:r>
      <w:r>
        <w:rPr>
          <w:sz w:val="24"/>
        </w:rPr>
        <w:t>(for</w:t>
      </w:r>
      <w:r>
        <w:rPr>
          <w:spacing w:val="-5"/>
          <w:sz w:val="24"/>
        </w:rPr>
        <w:t xml:space="preserve"> </w:t>
      </w:r>
      <w:r>
        <w:rPr>
          <w:sz w:val="24"/>
        </w:rPr>
        <w:t>example</w:t>
      </w:r>
      <w:r>
        <w:rPr>
          <w:spacing w:val="-1"/>
          <w:sz w:val="24"/>
        </w:rPr>
        <w:t xml:space="preserve"> </w:t>
      </w:r>
      <w:r>
        <w:rPr>
          <w:sz w:val="24"/>
        </w:rPr>
        <w:t>pre-application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stage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consultations).</w:t>
      </w:r>
    </w:p>
    <w:p w14:paraId="67B1241C" w14:textId="77777777" w:rsidR="00A821D5" w:rsidRDefault="00A821D5">
      <w:pPr>
        <w:pStyle w:val="BodyText"/>
      </w:pPr>
    </w:p>
    <w:p w14:paraId="67B1241D" w14:textId="77777777" w:rsidR="00A821D5" w:rsidRDefault="002E7C0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right="303"/>
        <w:rPr>
          <w:sz w:val="24"/>
        </w:rPr>
      </w:pPr>
      <w:r>
        <w:rPr>
          <w:sz w:val="24"/>
        </w:rPr>
        <w:t>A statement as to the number of occasions on which the consultee was consulted by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responses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reporting</w:t>
      </w:r>
      <w:r>
        <w:rPr>
          <w:spacing w:val="-3"/>
          <w:sz w:val="24"/>
        </w:rPr>
        <w:t xml:space="preserve"> </w:t>
      </w:r>
      <w:r>
        <w:rPr>
          <w:sz w:val="24"/>
        </w:rPr>
        <w:t>period.</w:t>
      </w:r>
    </w:p>
    <w:p w14:paraId="67B1241E" w14:textId="77777777" w:rsidR="00A821D5" w:rsidRDefault="00A821D5">
      <w:pPr>
        <w:pStyle w:val="BodyText"/>
        <w:spacing w:before="1"/>
      </w:pPr>
    </w:p>
    <w:p w14:paraId="67B1241F" w14:textId="77777777" w:rsidR="00A821D5" w:rsidRDefault="002E7C0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265"/>
        <w:rPr>
          <w:sz w:val="24"/>
        </w:rPr>
      </w:pPr>
      <w:r>
        <w:rPr>
          <w:sz w:val="24"/>
        </w:rPr>
        <w:t>In relation to occasions on which the consultee has given a substantive response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5"/>
          <w:sz w:val="24"/>
        </w:rPr>
        <w:t xml:space="preserve"> </w:t>
      </w:r>
      <w:r>
        <w:rPr>
          <w:sz w:val="24"/>
        </w:rPr>
        <w:t>referred to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54(4)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2004</w:t>
      </w:r>
      <w:r>
        <w:rPr>
          <w:spacing w:val="-6"/>
          <w:sz w:val="24"/>
        </w:rPr>
        <w:t xml:space="preserve"> </w:t>
      </w:r>
      <w:r>
        <w:rPr>
          <w:sz w:val="24"/>
        </w:rPr>
        <w:t>Act,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1"/>
          <w:sz w:val="24"/>
        </w:rPr>
        <w:t xml:space="preserve"> </w:t>
      </w:r>
      <w:r>
        <w:rPr>
          <w:sz w:val="24"/>
        </w:rPr>
        <w:t>sent to the Department for Communities and Local Government each year, and</w:t>
      </w:r>
      <w:r>
        <w:rPr>
          <w:spacing w:val="1"/>
          <w:sz w:val="24"/>
        </w:rPr>
        <w:t xml:space="preserve"> </w:t>
      </w:r>
      <w:r>
        <w:rPr>
          <w:sz w:val="24"/>
        </w:rPr>
        <w:t>published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statutory consultee’s</w:t>
      </w:r>
      <w:r>
        <w:rPr>
          <w:spacing w:val="-1"/>
          <w:sz w:val="24"/>
        </w:rPr>
        <w:t xml:space="preserve"> </w:t>
      </w:r>
      <w:r>
        <w:rPr>
          <w:sz w:val="24"/>
        </w:rPr>
        <w:t>website.</w:t>
      </w:r>
    </w:p>
    <w:p w14:paraId="67B12420" w14:textId="77777777" w:rsidR="00A821D5" w:rsidRDefault="00A821D5">
      <w:pPr>
        <w:pStyle w:val="BodyText"/>
        <w:spacing w:before="1"/>
      </w:pPr>
    </w:p>
    <w:p w14:paraId="67B12421" w14:textId="77777777" w:rsidR="00A821D5" w:rsidRDefault="002E7C0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right="524"/>
        <w:rPr>
          <w:sz w:val="24"/>
        </w:rPr>
      </w:pPr>
      <w:r>
        <w:rPr>
          <w:sz w:val="24"/>
        </w:rPr>
        <w:t xml:space="preserve">The number of incidences where negotiated extensions to the </w:t>
      </w:r>
      <w:proofErr w:type="gramStart"/>
      <w:r>
        <w:rPr>
          <w:sz w:val="24"/>
        </w:rPr>
        <w:t>21 day</w:t>
      </w:r>
      <w:proofErr w:type="gramEnd"/>
      <w:r>
        <w:rPr>
          <w:sz w:val="24"/>
        </w:rPr>
        <w:t xml:space="preserve"> deadline are</w:t>
      </w:r>
      <w:r>
        <w:rPr>
          <w:spacing w:val="-53"/>
          <w:sz w:val="24"/>
        </w:rPr>
        <w:t xml:space="preserve"> </w:t>
      </w:r>
      <w:r>
        <w:rPr>
          <w:sz w:val="24"/>
        </w:rPr>
        <w:t>agreed with the Local Planning Authority a summary of the reasons why the</w:t>
      </w:r>
      <w:r>
        <w:rPr>
          <w:spacing w:val="1"/>
          <w:sz w:val="24"/>
        </w:rPr>
        <w:t xml:space="preserve"> </w:t>
      </w:r>
      <w:r>
        <w:rPr>
          <w:sz w:val="24"/>
        </w:rPr>
        <w:t>consultee</w:t>
      </w:r>
      <w:r>
        <w:rPr>
          <w:spacing w:val="-2"/>
          <w:sz w:val="24"/>
        </w:rPr>
        <w:t xml:space="preserve"> </w:t>
      </w:r>
      <w:r>
        <w:rPr>
          <w:sz w:val="24"/>
        </w:rPr>
        <w:t>failed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comply 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respond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period.</w:t>
      </w:r>
    </w:p>
    <w:p w14:paraId="67B12422" w14:textId="77777777" w:rsidR="00A821D5" w:rsidRDefault="00A821D5">
      <w:pPr>
        <w:pStyle w:val="BodyText"/>
      </w:pPr>
    </w:p>
    <w:p w14:paraId="67B12423" w14:textId="77777777" w:rsidR="00A821D5" w:rsidRDefault="00A821D5">
      <w:pPr>
        <w:pStyle w:val="BodyText"/>
        <w:spacing w:before="12"/>
        <w:rPr>
          <w:sz w:val="19"/>
        </w:rPr>
      </w:pPr>
    </w:p>
    <w:p w14:paraId="67B12424" w14:textId="77777777" w:rsidR="00A821D5" w:rsidRDefault="002E7C04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rPr>
          <w:b/>
          <w:sz w:val="24"/>
        </w:rPr>
      </w:pPr>
      <w:r>
        <w:rPr>
          <w:b/>
          <w:sz w:val="24"/>
        </w:rPr>
        <w:t>Overview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compliance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consultation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type</w:t>
      </w:r>
    </w:p>
    <w:p w14:paraId="67B12425" w14:textId="77777777" w:rsidR="00A821D5" w:rsidRDefault="00A821D5">
      <w:pPr>
        <w:pStyle w:val="BodyText"/>
        <w:rPr>
          <w:b/>
          <w:sz w:val="20"/>
        </w:rPr>
      </w:pPr>
    </w:p>
    <w:p w14:paraId="67B12426" w14:textId="77777777" w:rsidR="00A821D5" w:rsidRDefault="002E7C04">
      <w:pPr>
        <w:pStyle w:val="BodyText"/>
        <w:spacing w:before="1" w:line="276" w:lineRule="auto"/>
        <w:ind w:left="220"/>
      </w:pPr>
      <w:r>
        <w:t>Table 1 below provides an overview of compliance for every consultation type received</w:t>
      </w:r>
      <w:r>
        <w:rPr>
          <w:spacing w:val="1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 different</w:t>
      </w:r>
      <w:r>
        <w:rPr>
          <w:spacing w:val="-2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types.</w:t>
      </w:r>
    </w:p>
    <w:p w14:paraId="67B12427" w14:textId="77777777" w:rsidR="00A821D5" w:rsidRDefault="002E7C04">
      <w:pPr>
        <w:spacing w:before="199"/>
        <w:ind w:left="220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Statutory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Consultee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compliance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results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April 2015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March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2016</w:t>
      </w:r>
    </w:p>
    <w:p w14:paraId="67B12428" w14:textId="77777777" w:rsidR="00A821D5" w:rsidRDefault="00A821D5">
      <w:pPr>
        <w:pStyle w:val="BodyText"/>
        <w:spacing w:before="11"/>
        <w:rPr>
          <w:b/>
          <w:sz w:val="1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99"/>
        <w:gridCol w:w="2349"/>
        <w:gridCol w:w="2387"/>
        <w:gridCol w:w="2415"/>
      </w:tblGrid>
      <w:tr w:rsidR="00A821D5" w14:paraId="67B1242E" w14:textId="77777777" w:rsidTr="002E7C04">
        <w:trPr>
          <w:trHeight w:val="878"/>
        </w:trPr>
        <w:tc>
          <w:tcPr>
            <w:tcW w:w="2099" w:type="dxa"/>
          </w:tcPr>
          <w:p w14:paraId="67B12429" w14:textId="77777777" w:rsidR="00A821D5" w:rsidRDefault="002E7C04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Consultation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2349" w:type="dxa"/>
          </w:tcPr>
          <w:p w14:paraId="67B1242A" w14:textId="77777777" w:rsidR="00A821D5" w:rsidRDefault="002E7C0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67B1242B" w14:textId="77777777" w:rsidR="00A821D5" w:rsidRDefault="002E7C04">
            <w:pPr>
              <w:pStyle w:val="TableParagraph"/>
              <w:spacing w:before="0" w:line="290" w:lineRule="atLeast"/>
              <w:ind w:right="8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consultations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received</w:t>
            </w:r>
          </w:p>
        </w:tc>
        <w:tc>
          <w:tcPr>
            <w:tcW w:w="2387" w:type="dxa"/>
          </w:tcPr>
          <w:p w14:paraId="67B1242C" w14:textId="77777777" w:rsidR="00A821D5" w:rsidRDefault="002E7C04">
            <w:pPr>
              <w:pStyle w:val="TableParagraph"/>
              <w:spacing w:line="240" w:lineRule="auto"/>
              <w:ind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Number responded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21 days</w:t>
            </w:r>
          </w:p>
        </w:tc>
        <w:tc>
          <w:tcPr>
            <w:tcW w:w="2415" w:type="dxa"/>
          </w:tcPr>
          <w:p w14:paraId="67B1242D" w14:textId="77777777" w:rsidR="00A821D5" w:rsidRDefault="002E7C04">
            <w:pPr>
              <w:pStyle w:val="TableParagraph"/>
              <w:spacing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compliance</w:t>
            </w:r>
            <w:proofErr w:type="gramEnd"/>
          </w:p>
        </w:tc>
      </w:tr>
      <w:tr w:rsidR="00A821D5" w14:paraId="67B12433" w14:textId="77777777" w:rsidTr="002E7C04">
        <w:trPr>
          <w:trHeight w:val="290"/>
        </w:trPr>
        <w:tc>
          <w:tcPr>
            <w:tcW w:w="2099" w:type="dxa"/>
          </w:tcPr>
          <w:p w14:paraId="67B1242F" w14:textId="77777777" w:rsidR="00A821D5" w:rsidRDefault="002E7C04"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Major</w:t>
            </w:r>
          </w:p>
        </w:tc>
        <w:tc>
          <w:tcPr>
            <w:tcW w:w="2349" w:type="dxa"/>
          </w:tcPr>
          <w:p w14:paraId="67B12430" w14:textId="77777777" w:rsidR="00A821D5" w:rsidRDefault="002E7C0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87" w:type="dxa"/>
          </w:tcPr>
          <w:p w14:paraId="67B12431" w14:textId="77777777" w:rsidR="00A821D5" w:rsidRDefault="002E7C0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5" w:type="dxa"/>
          </w:tcPr>
          <w:p w14:paraId="67B12432" w14:textId="77777777" w:rsidR="00A821D5" w:rsidRDefault="002E7C04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821D5" w14:paraId="67B12438" w14:textId="77777777" w:rsidTr="002E7C04">
        <w:trPr>
          <w:trHeight w:val="292"/>
        </w:trPr>
        <w:tc>
          <w:tcPr>
            <w:tcW w:w="2099" w:type="dxa"/>
          </w:tcPr>
          <w:p w14:paraId="67B12434" w14:textId="77777777" w:rsidR="00A821D5" w:rsidRDefault="002E7C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Minor</w:t>
            </w:r>
          </w:p>
        </w:tc>
        <w:tc>
          <w:tcPr>
            <w:tcW w:w="2349" w:type="dxa"/>
          </w:tcPr>
          <w:p w14:paraId="67B12435" w14:textId="77777777" w:rsidR="00A821D5" w:rsidRDefault="002E7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7" w:type="dxa"/>
          </w:tcPr>
          <w:p w14:paraId="67B12436" w14:textId="77777777" w:rsidR="00A821D5" w:rsidRDefault="002E7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</w:tcPr>
          <w:p w14:paraId="67B12437" w14:textId="77777777" w:rsidR="00A821D5" w:rsidRDefault="002E7C0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821D5" w14:paraId="67B1243D" w14:textId="77777777" w:rsidTr="002E7C04">
        <w:trPr>
          <w:trHeight w:val="292"/>
        </w:trPr>
        <w:tc>
          <w:tcPr>
            <w:tcW w:w="2099" w:type="dxa"/>
          </w:tcPr>
          <w:p w14:paraId="67B12439" w14:textId="77777777" w:rsidR="00A821D5" w:rsidRDefault="002E7C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Other*</w:t>
            </w:r>
          </w:p>
        </w:tc>
        <w:tc>
          <w:tcPr>
            <w:tcW w:w="2349" w:type="dxa"/>
          </w:tcPr>
          <w:p w14:paraId="67B1243A" w14:textId="77777777" w:rsidR="00A821D5" w:rsidRDefault="002E7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87" w:type="dxa"/>
          </w:tcPr>
          <w:p w14:paraId="67B1243B" w14:textId="77777777" w:rsidR="00A821D5" w:rsidRDefault="002E7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5" w:type="dxa"/>
          </w:tcPr>
          <w:p w14:paraId="67B1243C" w14:textId="77777777" w:rsidR="00A821D5" w:rsidRDefault="002E7C0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A821D5" w14:paraId="67B12442" w14:textId="77777777" w:rsidTr="002E7C04">
        <w:trPr>
          <w:trHeight w:val="292"/>
        </w:trPr>
        <w:tc>
          <w:tcPr>
            <w:tcW w:w="2099" w:type="dxa"/>
          </w:tcPr>
          <w:p w14:paraId="67B1243E" w14:textId="77777777" w:rsidR="00A821D5" w:rsidRDefault="002E7C0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349" w:type="dxa"/>
          </w:tcPr>
          <w:p w14:paraId="67B1243F" w14:textId="77777777" w:rsidR="00A821D5" w:rsidRDefault="002E7C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2387" w:type="dxa"/>
          </w:tcPr>
          <w:p w14:paraId="67B12440" w14:textId="77777777" w:rsidR="00A821D5" w:rsidRDefault="002E7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415" w:type="dxa"/>
          </w:tcPr>
          <w:p w14:paraId="67B12441" w14:textId="77777777" w:rsidR="00A821D5" w:rsidRDefault="002E7C0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14:paraId="67B12443" w14:textId="77777777" w:rsidR="00A821D5" w:rsidRDefault="00A821D5">
      <w:pPr>
        <w:pStyle w:val="BodyText"/>
        <w:rPr>
          <w:b/>
        </w:rPr>
      </w:pPr>
    </w:p>
    <w:p w14:paraId="67B12444" w14:textId="77777777" w:rsidR="00A821D5" w:rsidRDefault="00A821D5">
      <w:pPr>
        <w:pStyle w:val="BodyText"/>
        <w:spacing w:before="4"/>
        <w:rPr>
          <w:b/>
          <w:sz w:val="20"/>
        </w:rPr>
      </w:pPr>
    </w:p>
    <w:p w14:paraId="67B12445" w14:textId="77777777" w:rsidR="00A821D5" w:rsidRDefault="002E7C04">
      <w:pPr>
        <w:spacing w:line="276" w:lineRule="auto"/>
        <w:ind w:left="220" w:right="424"/>
      </w:pPr>
      <w:r>
        <w:t>*Other refers to applications related to Change of Use, Householder, Advertisement and Condition</w:t>
      </w:r>
      <w:r>
        <w:rPr>
          <w:spacing w:val="-47"/>
        </w:rPr>
        <w:t xml:space="preserve"> </w:t>
      </w:r>
      <w:r>
        <w:t>discharge.</w:t>
      </w:r>
      <w:r>
        <w:rPr>
          <w:spacing w:val="1"/>
        </w:rPr>
        <w:t xml:space="preserve"> </w:t>
      </w:r>
      <w:r>
        <w:t>All ‘other’ consultations within this reporting period were Condition discharge</w:t>
      </w:r>
      <w:r>
        <w:rPr>
          <w:spacing w:val="1"/>
        </w:rPr>
        <w:t xml:space="preserve"> </w:t>
      </w:r>
      <w:r>
        <w:t>applications.</w:t>
      </w:r>
    </w:p>
    <w:p w14:paraId="67B12446" w14:textId="77777777" w:rsidR="00A821D5" w:rsidRDefault="00A821D5">
      <w:pPr>
        <w:spacing w:line="276" w:lineRule="auto"/>
        <w:sectPr w:rsidR="00A821D5">
          <w:pgSz w:w="11910" w:h="16840"/>
          <w:pgMar w:top="1580" w:right="1200" w:bottom="1180" w:left="1220" w:header="0" w:footer="998" w:gutter="0"/>
          <w:cols w:space="720"/>
        </w:sectPr>
      </w:pPr>
    </w:p>
    <w:p w14:paraId="67B12447" w14:textId="77777777" w:rsidR="00A821D5" w:rsidRDefault="002E7C04">
      <w:pPr>
        <w:spacing w:before="24"/>
        <w:ind w:left="220"/>
        <w:rPr>
          <w:i/>
          <w:sz w:val="24"/>
        </w:rPr>
      </w:pPr>
      <w:proofErr w:type="gramStart"/>
      <w:r>
        <w:rPr>
          <w:i/>
          <w:sz w:val="24"/>
        </w:rPr>
        <w:lastRenderedPageBreak/>
        <w:t>Consultations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overview</w:t>
      </w:r>
    </w:p>
    <w:p w14:paraId="67B12448" w14:textId="77777777" w:rsidR="00A821D5" w:rsidRDefault="00A821D5">
      <w:pPr>
        <w:pStyle w:val="BodyText"/>
        <w:rPr>
          <w:i/>
          <w:sz w:val="20"/>
        </w:rPr>
      </w:pPr>
    </w:p>
    <w:p w14:paraId="67B12449" w14:textId="77777777" w:rsidR="00A821D5" w:rsidRDefault="002E7C04">
      <w:pPr>
        <w:pStyle w:val="BodyText"/>
        <w:spacing w:line="276" w:lineRule="auto"/>
        <w:ind w:left="220" w:right="280"/>
      </w:pPr>
      <w:r>
        <w:t>Processes we</w:t>
      </w:r>
      <w:r>
        <w:t>re put in place prior to the commencement of the statutory consultee role to</w:t>
      </w:r>
      <w:r>
        <w:rPr>
          <w:spacing w:val="1"/>
        </w:rPr>
        <w:t xml:space="preserve"> </w:t>
      </w:r>
      <w:r>
        <w:t xml:space="preserve">ensure that the LLFA were consulted upon receipt of an application. </w:t>
      </w:r>
      <w:proofErr w:type="gramStart"/>
      <w:r>
        <w:t>However</w:t>
      </w:r>
      <w:proofErr w:type="gramEnd"/>
      <w:r>
        <w:t xml:space="preserve"> there were</w:t>
      </w:r>
      <w:r>
        <w:rPr>
          <w:spacing w:val="1"/>
        </w:rPr>
        <w:t xml:space="preserve"> </w:t>
      </w:r>
      <w:r>
        <w:t>some instances whereby some consultations were not passed to the LLFA, and there was no</w:t>
      </w:r>
      <w:r>
        <w:rPr>
          <w:spacing w:val="-52"/>
        </w:rPr>
        <w:t xml:space="preserve"> </w:t>
      </w:r>
      <w:r>
        <w:t>obvious reason for this. This resulted in some delay, specifically to responding to three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consultations which</w:t>
      </w:r>
      <w:r>
        <w:rPr>
          <w:spacing w:val="-4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responded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timescales.</w:t>
      </w:r>
    </w:p>
    <w:p w14:paraId="67B1244A" w14:textId="77777777" w:rsidR="00A821D5" w:rsidRDefault="002E7C04">
      <w:pPr>
        <w:pStyle w:val="BodyText"/>
        <w:spacing w:before="198" w:line="276" w:lineRule="auto"/>
        <w:ind w:left="220" w:right="246"/>
      </w:pPr>
      <w:r>
        <w:t>Although there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total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54 consultations</w:t>
      </w:r>
      <w:r>
        <w:rPr>
          <w:spacing w:val="4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LPA,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actual</w:t>
      </w:r>
      <w:r>
        <w:rPr>
          <w:spacing w:val="4"/>
        </w:rPr>
        <w:t xml:space="preserve"> </w:t>
      </w:r>
      <w:r>
        <w:t xml:space="preserve">number </w:t>
      </w:r>
      <w:r>
        <w:t>is</w:t>
      </w:r>
      <w:r>
        <w:rPr>
          <w:spacing w:val="4"/>
        </w:rPr>
        <w:t xml:space="preserve"> </w:t>
      </w:r>
      <w:r>
        <w:t>higher.</w:t>
      </w:r>
      <w:r>
        <w:rPr>
          <w:spacing w:val="1"/>
        </w:rPr>
        <w:t xml:space="preserve"> </w:t>
      </w:r>
      <w:r>
        <w:t>The figures represented are based on a single consultation relating to an application;</w:t>
      </w:r>
      <w:r>
        <w:rPr>
          <w:spacing w:val="1"/>
        </w:rPr>
        <w:t xml:space="preserve"> </w:t>
      </w:r>
      <w:proofErr w:type="gramStart"/>
      <w:r>
        <w:t>however</w:t>
      </w:r>
      <w:proofErr w:type="gramEnd"/>
      <w:r>
        <w:t xml:space="preserve"> we are often </w:t>
      </w:r>
      <w:r>
        <w:rPr>
          <w:i/>
        </w:rPr>
        <w:t xml:space="preserve">re-consulted </w:t>
      </w:r>
      <w:r>
        <w:t>as a result of further information being submitted</w:t>
      </w:r>
      <w:r>
        <w:rPr>
          <w:spacing w:val="1"/>
        </w:rPr>
        <w:t xml:space="preserve"> </w:t>
      </w:r>
      <w:r>
        <w:t>following initial comments or variations. The current system in place onl</w:t>
      </w:r>
      <w:r>
        <w:t xml:space="preserve">y </w:t>
      </w:r>
      <w:proofErr w:type="gramStart"/>
      <w:r>
        <w:t>takes into account</w:t>
      </w:r>
      <w:proofErr w:type="gramEnd"/>
      <w:r>
        <w:rPr>
          <w:spacing w:val="-52"/>
        </w:rPr>
        <w:t xml:space="preserve"> </w:t>
      </w:r>
      <w:r>
        <w:t>the original consultation as opposed to a re-consultation so there is some uncertainty</w:t>
      </w:r>
      <w:r>
        <w:rPr>
          <w:spacing w:val="1"/>
        </w:rPr>
        <w:t xml:space="preserve"> </w:t>
      </w:r>
      <w:r>
        <w:t>regarding the true number of consultations. This issue has been rectified via use of a</w:t>
      </w:r>
      <w:r>
        <w:rPr>
          <w:spacing w:val="1"/>
        </w:rPr>
        <w:t xml:space="preserve"> </w:t>
      </w:r>
      <w:r>
        <w:t>spreadsheet to record actual number of consultations, type, a</w:t>
      </w:r>
      <w:r>
        <w:t>nd the time resource allocated</w:t>
      </w:r>
      <w:r>
        <w:rPr>
          <w:spacing w:val="-5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consultation.</w:t>
      </w:r>
    </w:p>
    <w:p w14:paraId="67B1244B" w14:textId="77777777" w:rsidR="00A821D5" w:rsidRDefault="00A821D5">
      <w:pPr>
        <w:pStyle w:val="BodyText"/>
      </w:pPr>
    </w:p>
    <w:p w14:paraId="67B1244C" w14:textId="77777777" w:rsidR="00A821D5" w:rsidRDefault="00A821D5">
      <w:pPr>
        <w:pStyle w:val="BodyText"/>
      </w:pPr>
    </w:p>
    <w:p w14:paraId="67B1244D" w14:textId="77777777" w:rsidR="00A821D5" w:rsidRDefault="002E7C04">
      <w:pPr>
        <w:spacing w:before="156"/>
        <w:ind w:left="220"/>
        <w:rPr>
          <w:i/>
          <w:sz w:val="24"/>
        </w:rPr>
      </w:pPr>
      <w:r>
        <w:rPr>
          <w:i/>
          <w:sz w:val="24"/>
        </w:rPr>
        <w:t>Pre-applications:</w:t>
      </w:r>
    </w:p>
    <w:p w14:paraId="67B1244E" w14:textId="77777777" w:rsidR="00A821D5" w:rsidRDefault="00A821D5">
      <w:pPr>
        <w:pStyle w:val="BodyText"/>
        <w:spacing w:before="8"/>
        <w:rPr>
          <w:i/>
          <w:sz w:val="19"/>
        </w:rPr>
      </w:pPr>
    </w:p>
    <w:p w14:paraId="67B1244F" w14:textId="77777777" w:rsidR="00A821D5" w:rsidRDefault="002E7C04">
      <w:pPr>
        <w:pStyle w:val="BodyText"/>
        <w:spacing w:before="1" w:line="276" w:lineRule="auto"/>
        <w:ind w:left="220" w:right="339"/>
      </w:pPr>
      <w:r>
        <w:t>Whilst processes were put in place to enable consultation relating to major applications, no</w:t>
      </w:r>
      <w:r>
        <w:rPr>
          <w:spacing w:val="-53"/>
        </w:rPr>
        <w:t xml:space="preserve"> </w:t>
      </w:r>
      <w:r>
        <w:t>formal process was in place to receive pre application consultations.</w:t>
      </w:r>
      <w:r>
        <w:rPr>
          <w:spacing w:val="1"/>
        </w:rPr>
        <w:t xml:space="preserve"> </w:t>
      </w:r>
      <w:r>
        <w:t>Therefore, some pre</w:t>
      </w:r>
      <w:r>
        <w:rPr>
          <w:spacing w:val="1"/>
        </w:rPr>
        <w:t xml:space="preserve"> </w:t>
      </w:r>
      <w:r>
        <w:t>app advice given for major applications was not recorded. Our processes have been</w:t>
      </w:r>
      <w:r>
        <w:rPr>
          <w:spacing w:val="1"/>
        </w:rPr>
        <w:t xml:space="preserve"> </w:t>
      </w:r>
      <w:r>
        <w:t>changed for the reporting period 1 April 16 – 31 Mar 17 to capture this information and</w:t>
      </w:r>
      <w:r>
        <w:rPr>
          <w:spacing w:val="1"/>
        </w:rPr>
        <w:t xml:space="preserve"> </w:t>
      </w:r>
      <w:r>
        <w:t>ensure LLFA involvement. This is essential at pre app stage to maximise the opportunity to</w:t>
      </w:r>
      <w:r>
        <w:rPr>
          <w:spacing w:val="1"/>
        </w:rPr>
        <w:t xml:space="preserve"> </w:t>
      </w:r>
      <w:r>
        <w:t>deliver sustainable drainage schemes in accordance with national planning pol</w:t>
      </w:r>
      <w:r>
        <w:t>icy and</w:t>
      </w:r>
      <w:r>
        <w:rPr>
          <w:spacing w:val="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thus to</w:t>
      </w:r>
      <w:r>
        <w:rPr>
          <w:spacing w:val="1"/>
        </w:rPr>
        <w:t xml:space="preserve"> </w:t>
      </w:r>
      <w:r>
        <w:t>deliver</w:t>
      </w:r>
      <w:r>
        <w:rPr>
          <w:spacing w:val="-4"/>
        </w:rPr>
        <w:t xml:space="preserve"> </w:t>
      </w:r>
      <w:r>
        <w:t>wider</w:t>
      </w:r>
      <w:r>
        <w:rPr>
          <w:spacing w:val="-5"/>
        </w:rPr>
        <w:t xml:space="preserve"> </w:t>
      </w:r>
      <w:r>
        <w:t>planning objectives.</w:t>
      </w:r>
    </w:p>
    <w:p w14:paraId="67B12450" w14:textId="77777777" w:rsidR="00A821D5" w:rsidRDefault="00A821D5">
      <w:pPr>
        <w:pStyle w:val="BodyText"/>
      </w:pPr>
    </w:p>
    <w:p w14:paraId="67B12451" w14:textId="77777777" w:rsidR="00A821D5" w:rsidRDefault="00A821D5">
      <w:pPr>
        <w:pStyle w:val="BodyText"/>
      </w:pPr>
    </w:p>
    <w:p w14:paraId="67B12452" w14:textId="77777777" w:rsidR="00A821D5" w:rsidRDefault="002E7C04">
      <w:pPr>
        <w:spacing w:before="152"/>
        <w:ind w:left="220"/>
        <w:rPr>
          <w:i/>
          <w:sz w:val="24"/>
        </w:rPr>
      </w:pPr>
      <w:r>
        <w:rPr>
          <w:i/>
          <w:sz w:val="24"/>
        </w:rPr>
        <w:t>Consultations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outside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remit:</w:t>
      </w:r>
    </w:p>
    <w:p w14:paraId="67B12453" w14:textId="77777777" w:rsidR="00A821D5" w:rsidRDefault="00A821D5">
      <w:pPr>
        <w:pStyle w:val="BodyText"/>
        <w:spacing w:before="1"/>
        <w:rPr>
          <w:i/>
          <w:sz w:val="20"/>
        </w:rPr>
      </w:pPr>
    </w:p>
    <w:p w14:paraId="67B12454" w14:textId="77777777" w:rsidR="00A821D5" w:rsidRDefault="002E7C04">
      <w:pPr>
        <w:pStyle w:val="BodyText"/>
        <w:spacing w:line="276" w:lineRule="auto"/>
        <w:ind w:left="220" w:right="270"/>
      </w:pPr>
      <w:r>
        <w:t>Although we are only a statutory consultee for major applications, we have responded to</w:t>
      </w:r>
      <w:r>
        <w:rPr>
          <w:spacing w:val="1"/>
        </w:rPr>
        <w:t xml:space="preserve"> </w:t>
      </w:r>
      <w:r>
        <w:t>consultations for minor applications where there may be concerns relatin</w:t>
      </w:r>
      <w:r>
        <w:t>g to potential</w:t>
      </w:r>
      <w:r>
        <w:rPr>
          <w:spacing w:val="1"/>
        </w:rPr>
        <w:t xml:space="preserve"> </w:t>
      </w:r>
      <w:r>
        <w:t>drainage issues which could result in a significant impact on localised drainage and flooding</w:t>
      </w:r>
      <w:r>
        <w:rPr>
          <w:spacing w:val="1"/>
        </w:rPr>
        <w:t xml:space="preserve"> </w:t>
      </w:r>
      <w:r>
        <w:t xml:space="preserve">problems. These do not account for a high number of </w:t>
      </w:r>
      <w:proofErr w:type="gramStart"/>
      <w:r>
        <w:t>applications</w:t>
      </w:r>
      <w:proofErr w:type="gramEnd"/>
      <w:r>
        <w:t xml:space="preserve"> but the Local Planning</w:t>
      </w:r>
      <w:r>
        <w:rPr>
          <w:spacing w:val="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requesting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informal</w:t>
      </w:r>
      <w:r>
        <w:rPr>
          <w:spacing w:val="-1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minor</w:t>
      </w:r>
      <w:r>
        <w:rPr>
          <w:spacing w:val="-7"/>
        </w:rPr>
        <w:t xml:space="preserve"> </w:t>
      </w:r>
      <w:r>
        <w:t>appli</w:t>
      </w:r>
      <w:r>
        <w:t>cations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recognition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fact</w:t>
      </w:r>
      <w:r>
        <w:rPr>
          <w:spacing w:val="-51"/>
        </w:rPr>
        <w:t xml:space="preserve"> </w:t>
      </w:r>
      <w:r>
        <w:t>that even minor development can have a significant impact on localised drainage and</w:t>
      </w:r>
      <w:r>
        <w:rPr>
          <w:spacing w:val="1"/>
        </w:rPr>
        <w:t xml:space="preserve"> </w:t>
      </w:r>
      <w:r>
        <w:t>flooding problems.</w:t>
      </w:r>
      <w:r>
        <w:rPr>
          <w:spacing w:val="54"/>
        </w:rPr>
        <w:t xml:space="preserve"> </w:t>
      </w:r>
      <w:r>
        <w:t>This is also supported by evidence of flood incidents relating to new</w:t>
      </w:r>
      <w:r>
        <w:rPr>
          <w:spacing w:val="1"/>
        </w:rPr>
        <w:t xml:space="preserve"> </w:t>
      </w:r>
      <w:r>
        <w:t>build minor developments which received permissi</w:t>
      </w:r>
      <w:r>
        <w:t>on prior to the LLFA statutory consultee</w:t>
      </w:r>
      <w:r>
        <w:rPr>
          <w:spacing w:val="1"/>
        </w:rPr>
        <w:t xml:space="preserve"> </w:t>
      </w:r>
      <w:r>
        <w:t>role.</w:t>
      </w:r>
    </w:p>
    <w:p w14:paraId="67B12455" w14:textId="77777777" w:rsidR="00A821D5" w:rsidRDefault="00A821D5">
      <w:pPr>
        <w:spacing w:line="276" w:lineRule="auto"/>
        <w:sectPr w:rsidR="00A821D5">
          <w:pgSz w:w="11910" w:h="16840"/>
          <w:pgMar w:top="1400" w:right="1200" w:bottom="1180" w:left="1220" w:header="0" w:footer="998" w:gutter="0"/>
          <w:cols w:space="720"/>
        </w:sectPr>
      </w:pPr>
    </w:p>
    <w:p w14:paraId="67B12456" w14:textId="77777777" w:rsidR="00A821D5" w:rsidRDefault="002E7C04">
      <w:pPr>
        <w:pStyle w:val="BodyText"/>
        <w:spacing w:before="24" w:line="276" w:lineRule="auto"/>
        <w:ind w:left="220" w:right="252"/>
      </w:pPr>
      <w:r>
        <w:lastRenderedPageBreak/>
        <w:t>We are developing standing advice and guidance which could address some of the potential</w:t>
      </w:r>
      <w:r>
        <w:rPr>
          <w:spacing w:val="1"/>
        </w:rPr>
        <w:t xml:space="preserve"> </w:t>
      </w:r>
      <w:r>
        <w:t>issues applicable to minor applications, however often, problems are very site specific which</w:t>
      </w:r>
      <w:r>
        <w:rPr>
          <w:spacing w:val="-52"/>
        </w:rPr>
        <w:t xml:space="preserve"> </w:t>
      </w:r>
      <w:r>
        <w:t>require review</w:t>
      </w:r>
      <w:r>
        <w:rPr>
          <w:spacing w:val="2"/>
        </w:rPr>
        <w:t xml:space="preserve"> </w:t>
      </w:r>
      <w:r>
        <w:t>at a more</w:t>
      </w:r>
      <w:r>
        <w:rPr>
          <w:spacing w:val="4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level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there will</w:t>
      </w:r>
      <w:r>
        <w:rPr>
          <w:spacing w:val="2"/>
        </w:rPr>
        <w:t xml:space="preserve"> </w:t>
      </w:r>
      <w:r>
        <w:t>be no</w:t>
      </w:r>
      <w:r>
        <w:rPr>
          <w:spacing w:val="-2"/>
        </w:rPr>
        <w:t xml:space="preserve"> </w:t>
      </w:r>
      <w:r>
        <w:t>detriment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flood</w:t>
      </w:r>
      <w:r>
        <w:rPr>
          <w:spacing w:val="1"/>
        </w:rPr>
        <w:t xml:space="preserve"> </w:t>
      </w:r>
      <w:r>
        <w:t>risk and therefore our involvement is limited to those applications where there are known</w:t>
      </w:r>
      <w:r>
        <w:rPr>
          <w:spacing w:val="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by appropriate</w:t>
      </w:r>
      <w:r>
        <w:rPr>
          <w:spacing w:val="-1"/>
        </w:rPr>
        <w:t xml:space="preserve"> </w:t>
      </w:r>
      <w:r>
        <w:t>evidence.</w:t>
      </w:r>
    </w:p>
    <w:p w14:paraId="67B12457" w14:textId="77777777" w:rsidR="00A821D5" w:rsidRDefault="00A821D5">
      <w:pPr>
        <w:pStyle w:val="BodyText"/>
      </w:pPr>
    </w:p>
    <w:p w14:paraId="67B12458" w14:textId="77777777" w:rsidR="00A821D5" w:rsidRDefault="00A821D5">
      <w:pPr>
        <w:pStyle w:val="BodyText"/>
      </w:pPr>
    </w:p>
    <w:p w14:paraId="67B12459" w14:textId="77777777" w:rsidR="00A821D5" w:rsidRDefault="002E7C04">
      <w:pPr>
        <w:spacing w:before="149"/>
        <w:ind w:left="220"/>
        <w:rPr>
          <w:i/>
          <w:sz w:val="24"/>
        </w:rPr>
      </w:pPr>
      <w:r>
        <w:rPr>
          <w:i/>
          <w:sz w:val="24"/>
        </w:rPr>
        <w:t>Other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consultations:</w:t>
      </w:r>
    </w:p>
    <w:p w14:paraId="67B1245A" w14:textId="77777777" w:rsidR="00A821D5" w:rsidRDefault="00A821D5">
      <w:pPr>
        <w:pStyle w:val="BodyText"/>
        <w:spacing w:before="1"/>
        <w:rPr>
          <w:i/>
          <w:sz w:val="20"/>
        </w:rPr>
      </w:pPr>
    </w:p>
    <w:p w14:paraId="67B1245B" w14:textId="77777777" w:rsidR="00A821D5" w:rsidRDefault="002E7C04">
      <w:pPr>
        <w:pStyle w:val="BodyText"/>
        <w:spacing w:line="276" w:lineRule="auto"/>
        <w:ind w:left="220" w:right="424"/>
      </w:pPr>
      <w:proofErr w:type="gramStart"/>
      <w:r>
        <w:t>All of</w:t>
      </w:r>
      <w:proofErr w:type="gramEnd"/>
      <w:r>
        <w:t xml:space="preserve"> the consultations recorded as ‘other’ related to the discharge of a surface water</w:t>
      </w:r>
      <w:r>
        <w:rPr>
          <w:spacing w:val="1"/>
        </w:rPr>
        <w:t xml:space="preserve"> </w:t>
      </w:r>
      <w:r>
        <w:t xml:space="preserve">drainage </w:t>
      </w:r>
      <w:r>
        <w:t xml:space="preserve">condition. There were comparatively </w:t>
      </w:r>
      <w:proofErr w:type="gramStart"/>
      <w:r>
        <w:t>a large number of</w:t>
      </w:r>
      <w:proofErr w:type="gramEnd"/>
      <w:r>
        <w:t xml:space="preserve"> consultations for the</w:t>
      </w:r>
      <w:r>
        <w:rPr>
          <w:spacing w:val="1"/>
        </w:rPr>
        <w:t xml:space="preserve"> </w:t>
      </w:r>
      <w:r>
        <w:t>discharge of drainage and flood risk related conditions. Many of these conditions were</w:t>
      </w:r>
      <w:r>
        <w:rPr>
          <w:spacing w:val="1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recommended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Environment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LLFA</w:t>
      </w:r>
      <w:r>
        <w:rPr>
          <w:spacing w:val="-4"/>
        </w:rPr>
        <w:t xml:space="preserve"> </w:t>
      </w:r>
      <w:r>
        <w:t>statutory</w:t>
      </w:r>
      <w:r>
        <w:rPr>
          <w:spacing w:val="-52"/>
        </w:rPr>
        <w:t xml:space="preserve"> </w:t>
      </w:r>
      <w:r>
        <w:t>consult</w:t>
      </w:r>
      <w:r>
        <w:t>ee role. This resulted in a resource pressure but provides a good indication of the</w:t>
      </w:r>
      <w:r>
        <w:rPr>
          <w:spacing w:val="1"/>
        </w:rPr>
        <w:t xml:space="preserve"> </w:t>
      </w:r>
      <w:r>
        <w:t xml:space="preserve">numbers of condition discharge applications expected </w:t>
      </w:r>
      <w:proofErr w:type="gramStart"/>
      <w:r>
        <w:t>in a given</w:t>
      </w:r>
      <w:proofErr w:type="gramEnd"/>
      <w:r>
        <w:t xml:space="preserve"> reporting period to assist</w:t>
      </w:r>
      <w:r>
        <w:rPr>
          <w:spacing w:val="1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planning.</w:t>
      </w:r>
    </w:p>
    <w:p w14:paraId="67B1245C" w14:textId="77777777" w:rsidR="00A821D5" w:rsidRDefault="002E7C04">
      <w:pPr>
        <w:pStyle w:val="BodyText"/>
        <w:spacing w:before="200" w:line="278" w:lineRule="auto"/>
        <w:ind w:left="220" w:right="510"/>
      </w:pPr>
      <w:r>
        <w:t>Table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indicates 85%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21</w:t>
      </w:r>
      <w:r>
        <w:rPr>
          <w:spacing w:val="-5"/>
        </w:rPr>
        <w:t xml:space="preserve"> </w:t>
      </w:r>
      <w:r>
        <w:t>day</w:t>
      </w:r>
      <w:proofErr w:type="gramEnd"/>
      <w:r>
        <w:rPr>
          <w:spacing w:val="3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of 4</w:t>
      </w:r>
      <w:r>
        <w:rPr>
          <w:spacing w:val="-5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responded</w:t>
      </w:r>
      <w:r>
        <w:rPr>
          <w:spacing w:val="-3"/>
        </w:rPr>
        <w:t xml:space="preserve"> </w:t>
      </w:r>
      <w:r>
        <w:t>to outside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statutory</w:t>
      </w:r>
      <w:r>
        <w:rPr>
          <w:spacing w:val="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period.</w:t>
      </w:r>
    </w:p>
    <w:p w14:paraId="67B1245D" w14:textId="77777777" w:rsidR="00A821D5" w:rsidRDefault="002E7C04">
      <w:pPr>
        <w:pStyle w:val="BodyText"/>
        <w:spacing w:before="195" w:line="276" w:lineRule="auto"/>
        <w:ind w:left="220" w:right="426"/>
      </w:pPr>
      <w:r>
        <w:t>Of those 4 consultations, one was rejected by the LLFA outside of the statutory consultee</w:t>
      </w:r>
      <w:r>
        <w:rPr>
          <w:spacing w:val="1"/>
        </w:rPr>
        <w:t xml:space="preserve"> </w:t>
      </w:r>
      <w:r>
        <w:t xml:space="preserve">timescale due to it being related to a minor application where there </w:t>
      </w:r>
      <w:proofErr w:type="gramStart"/>
      <w:r>
        <w:t>was</w:t>
      </w:r>
      <w:proofErr w:type="gramEnd"/>
      <w:r>
        <w:t xml:space="preserve"> </w:t>
      </w:r>
      <w:r>
        <w:t>no local flood risk</w:t>
      </w:r>
      <w:r>
        <w:rPr>
          <w:spacing w:val="-52"/>
        </w:rPr>
        <w:t xml:space="preserve"> </w:t>
      </w:r>
      <w:r>
        <w:t>issues to consider and three were responded to late due to there being no initial</w:t>
      </w:r>
      <w:r>
        <w:rPr>
          <w:spacing w:val="1"/>
        </w:rPr>
        <w:t xml:space="preserve"> </w:t>
      </w:r>
      <w:r>
        <w:t>consultation but timescales recorded on the ACOLAID assumed the 21 day statutory</w:t>
      </w:r>
      <w:r>
        <w:rPr>
          <w:spacing w:val="1"/>
        </w:rPr>
        <w:t xml:space="preserve"> </w:t>
      </w:r>
      <w:r>
        <w:t>consultee</w:t>
      </w:r>
      <w:r>
        <w:rPr>
          <w:spacing w:val="-2"/>
        </w:rPr>
        <w:t xml:space="preserve"> </w:t>
      </w:r>
      <w:r>
        <w:t>timescale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validation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application.</w:t>
      </w:r>
    </w:p>
    <w:p w14:paraId="67B1245E" w14:textId="77777777" w:rsidR="00A821D5" w:rsidRDefault="00A821D5">
      <w:pPr>
        <w:pStyle w:val="BodyText"/>
      </w:pPr>
    </w:p>
    <w:p w14:paraId="67B1245F" w14:textId="77777777" w:rsidR="00A821D5" w:rsidRDefault="00A821D5">
      <w:pPr>
        <w:pStyle w:val="BodyText"/>
      </w:pPr>
    </w:p>
    <w:p w14:paraId="67B12460" w14:textId="77777777" w:rsidR="00A821D5" w:rsidRDefault="002E7C04">
      <w:pPr>
        <w:spacing w:before="154"/>
        <w:ind w:left="220"/>
        <w:rPr>
          <w:i/>
          <w:sz w:val="24"/>
        </w:rPr>
      </w:pPr>
      <w:r>
        <w:rPr>
          <w:i/>
          <w:sz w:val="24"/>
        </w:rPr>
        <w:t>Obj</w:t>
      </w:r>
      <w:r>
        <w:rPr>
          <w:i/>
          <w:sz w:val="24"/>
        </w:rPr>
        <w:t>ections:</w:t>
      </w:r>
    </w:p>
    <w:p w14:paraId="67B12461" w14:textId="77777777" w:rsidR="00A821D5" w:rsidRDefault="00A821D5">
      <w:pPr>
        <w:pStyle w:val="BodyText"/>
        <w:rPr>
          <w:i/>
          <w:sz w:val="20"/>
        </w:rPr>
      </w:pPr>
    </w:p>
    <w:p w14:paraId="67B12462" w14:textId="77777777" w:rsidR="00A821D5" w:rsidRDefault="002E7C04">
      <w:pPr>
        <w:pStyle w:val="BodyText"/>
        <w:spacing w:line="276" w:lineRule="auto"/>
        <w:ind w:left="220" w:right="339"/>
      </w:pPr>
      <w:r>
        <w:t>The LLFA have not formally objected to any consultation received during the reporting</w:t>
      </w:r>
      <w:r>
        <w:rPr>
          <w:spacing w:val="1"/>
        </w:rPr>
        <w:t xml:space="preserve"> </w:t>
      </w:r>
      <w:r>
        <w:t>period although there have been incidences whereby an initial objection has been</w:t>
      </w:r>
      <w:r>
        <w:rPr>
          <w:spacing w:val="1"/>
        </w:rPr>
        <w:t xml:space="preserve"> </w:t>
      </w:r>
      <w:r>
        <w:t>informally</w:t>
      </w:r>
      <w:r>
        <w:rPr>
          <w:spacing w:val="-2"/>
        </w:rPr>
        <w:t xml:space="preserve"> </w:t>
      </w:r>
      <w:r>
        <w:t>lodged</w:t>
      </w:r>
      <w:r>
        <w:rPr>
          <w:spacing w:val="-5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lack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required</w:t>
      </w:r>
      <w:r>
        <w:rPr>
          <w:spacing w:val="-51"/>
        </w:rPr>
        <w:t xml:space="preserve"> </w:t>
      </w:r>
      <w:r>
        <w:t>in order to provide evidence towards the acceptability of a drainage scheme (</w:t>
      </w:r>
      <w:proofErr w:type="gramStart"/>
      <w:r>
        <w:t>i.e.</w:t>
      </w:r>
      <w:proofErr w:type="gramEnd"/>
      <w:r>
        <w:t xml:space="preserve"> Site</w:t>
      </w:r>
      <w:r>
        <w:rPr>
          <w:spacing w:val="1"/>
        </w:rPr>
        <w:t xml:space="preserve"> </w:t>
      </w:r>
      <w:r>
        <w:t>Investigation</w:t>
      </w:r>
      <w:r>
        <w:rPr>
          <w:spacing w:val="-4"/>
        </w:rPr>
        <w:t xml:space="preserve"> </w:t>
      </w:r>
      <w:r>
        <w:t>results).</w:t>
      </w:r>
    </w:p>
    <w:p w14:paraId="67B12463" w14:textId="77777777" w:rsidR="00A821D5" w:rsidRDefault="00A821D5">
      <w:pPr>
        <w:spacing w:line="276" w:lineRule="auto"/>
        <w:sectPr w:rsidR="00A821D5">
          <w:pgSz w:w="11910" w:h="16840"/>
          <w:pgMar w:top="1400" w:right="1200" w:bottom="1180" w:left="1220" w:header="0" w:footer="998" w:gutter="0"/>
          <w:cols w:space="720"/>
        </w:sectPr>
      </w:pPr>
    </w:p>
    <w:p w14:paraId="67B12464" w14:textId="77777777" w:rsidR="00A821D5" w:rsidRDefault="002E7C04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24"/>
        <w:rPr>
          <w:b/>
          <w:sz w:val="24"/>
        </w:rPr>
      </w:pPr>
      <w:r>
        <w:rPr>
          <w:b/>
          <w:sz w:val="24"/>
        </w:rPr>
        <w:lastRenderedPageBreak/>
        <w:t>Summary</w:t>
      </w:r>
    </w:p>
    <w:p w14:paraId="67B12465" w14:textId="77777777" w:rsidR="00A821D5" w:rsidRDefault="00A821D5">
      <w:pPr>
        <w:pStyle w:val="BodyText"/>
        <w:rPr>
          <w:b/>
          <w:sz w:val="20"/>
        </w:rPr>
      </w:pPr>
    </w:p>
    <w:p w14:paraId="67B12466" w14:textId="77777777" w:rsidR="00A821D5" w:rsidRDefault="002E7C04">
      <w:pPr>
        <w:pStyle w:val="BodyText"/>
        <w:spacing w:line="276" w:lineRule="auto"/>
        <w:ind w:left="220"/>
      </w:pPr>
      <w:r>
        <w:t>Medway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demonstrated</w:t>
      </w:r>
      <w:r>
        <w:rPr>
          <w:spacing w:val="-6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statutory</w:t>
      </w:r>
      <w:r>
        <w:rPr>
          <w:spacing w:val="-52"/>
        </w:rPr>
        <w:t xml:space="preserve"> </w:t>
      </w:r>
      <w:r>
        <w:t>consultee</w:t>
      </w:r>
      <w:r>
        <w:rPr>
          <w:spacing w:val="-2"/>
        </w:rPr>
        <w:t xml:space="preserve"> </w:t>
      </w:r>
      <w:r>
        <w:t>role.</w:t>
      </w:r>
    </w:p>
    <w:p w14:paraId="67B12467" w14:textId="77777777" w:rsidR="00A821D5" w:rsidRDefault="002E7C04">
      <w:pPr>
        <w:pStyle w:val="BodyText"/>
        <w:spacing w:before="200" w:line="276" w:lineRule="auto"/>
        <w:ind w:left="220" w:right="270"/>
      </w:pPr>
      <w:r>
        <w:t>Review of the processes that support the statutory consultee role has indicated areas of</w:t>
      </w:r>
      <w:r>
        <w:rPr>
          <w:spacing w:val="1"/>
        </w:rPr>
        <w:t xml:space="preserve"> </w:t>
      </w:r>
      <w:r>
        <w:t>improvement which has led to the creation of a more robust tracker system to record and</w:t>
      </w:r>
      <w:r>
        <w:rPr>
          <w:spacing w:val="1"/>
        </w:rPr>
        <w:t xml:space="preserve"> </w:t>
      </w:r>
      <w:r>
        <w:t>collate consultations.</w:t>
      </w:r>
      <w:r>
        <w:rPr>
          <w:spacing w:val="1"/>
        </w:rPr>
        <w:t xml:space="preserve"> </w:t>
      </w:r>
      <w:r>
        <w:t>This will ensure that the LLFA is involv</w:t>
      </w:r>
      <w:r>
        <w:t>ed during pre-application stage</w:t>
      </w:r>
      <w:r>
        <w:rPr>
          <w:spacing w:val="-52"/>
        </w:rPr>
        <w:t xml:space="preserve"> </w:t>
      </w:r>
      <w:r>
        <w:t xml:space="preserve">which is imperative to the design of an appropriate drainage </w:t>
      </w:r>
      <w:proofErr w:type="gramStart"/>
      <w:r>
        <w:t>system, and</w:t>
      </w:r>
      <w:proofErr w:type="gramEnd"/>
      <w:r>
        <w:t xml:space="preserve"> will also enable</w:t>
      </w:r>
      <w:r>
        <w:rPr>
          <w:spacing w:val="1"/>
        </w:rPr>
        <w:t xml:space="preserve"> </w:t>
      </w:r>
      <w:r>
        <w:t>more detailed reporting and tracking of different types of consultations to assist resource</w:t>
      </w:r>
      <w:r>
        <w:rPr>
          <w:spacing w:val="1"/>
        </w:rPr>
        <w:t xml:space="preserve"> </w:t>
      </w:r>
      <w:r>
        <w:t>planning.</w:t>
      </w:r>
    </w:p>
    <w:p w14:paraId="67B12468" w14:textId="77777777" w:rsidR="00A821D5" w:rsidRDefault="002E7C04">
      <w:pPr>
        <w:pStyle w:val="BodyText"/>
        <w:spacing w:before="202" w:line="276" w:lineRule="auto"/>
        <w:ind w:left="220" w:right="433"/>
      </w:pPr>
      <w:r>
        <w:t>We are also considering the use of standing advice for minor applications, recognising that</w:t>
      </w:r>
      <w:r>
        <w:rPr>
          <w:spacing w:val="-52"/>
        </w:rPr>
        <w:t xml:space="preserve"> </w:t>
      </w:r>
      <w:r>
        <w:t>standing advice may offer a way of safeguarding those developments against local flood</w:t>
      </w:r>
      <w:r>
        <w:rPr>
          <w:spacing w:val="1"/>
        </w:rPr>
        <w:t xml:space="preserve"> </w:t>
      </w:r>
      <w:r>
        <w:t>risks.</w:t>
      </w:r>
    </w:p>
    <w:sectPr w:rsidR="00A821D5">
      <w:pgSz w:w="11910" w:h="16840"/>
      <w:pgMar w:top="1400" w:right="1200" w:bottom="1180" w:left="12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246E" w14:textId="77777777" w:rsidR="00000000" w:rsidRDefault="002E7C04">
      <w:r>
        <w:separator/>
      </w:r>
    </w:p>
  </w:endnote>
  <w:endnote w:type="continuationSeparator" w:id="0">
    <w:p w14:paraId="67B12470" w14:textId="77777777" w:rsidR="00000000" w:rsidRDefault="002E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2469" w14:textId="77777777" w:rsidR="00A821D5" w:rsidRDefault="002E7C04">
    <w:pPr>
      <w:pStyle w:val="BodyText"/>
      <w:spacing w:line="14" w:lineRule="auto"/>
      <w:rPr>
        <w:sz w:val="20"/>
      </w:rPr>
    </w:pPr>
    <w:r>
      <w:pict w14:anchorId="67B1246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4.85pt;margin-top:781pt;width:12.6pt;height:13.05pt;z-index:-251658752;mso-position-horizontal-relative:page;mso-position-vertical-relative:page" filled="f" stroked="f">
          <v:textbox inset="0,0,0,0">
            <w:txbxContent>
              <w:p w14:paraId="67B1246B" w14:textId="77777777" w:rsidR="00A821D5" w:rsidRDefault="002E7C04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246A" w14:textId="77777777" w:rsidR="00000000" w:rsidRDefault="002E7C04">
      <w:r>
        <w:separator/>
      </w:r>
    </w:p>
  </w:footnote>
  <w:footnote w:type="continuationSeparator" w:id="0">
    <w:p w14:paraId="67B1246C" w14:textId="77777777" w:rsidR="00000000" w:rsidRDefault="002E7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723"/>
    <w:multiLevelType w:val="hybridMultilevel"/>
    <w:tmpl w:val="84343234"/>
    <w:lvl w:ilvl="0" w:tplc="749E69F2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80A9276">
      <w:numFmt w:val="bullet"/>
      <w:lvlText w:val="•"/>
      <w:lvlJc w:val="left"/>
      <w:pPr>
        <w:ind w:left="1794" w:hanging="361"/>
      </w:pPr>
      <w:rPr>
        <w:rFonts w:hint="default"/>
        <w:lang w:val="en-GB" w:eastAsia="en-US" w:bidi="ar-SA"/>
      </w:rPr>
    </w:lvl>
    <w:lvl w:ilvl="2" w:tplc="49A80056">
      <w:numFmt w:val="bullet"/>
      <w:lvlText w:val="•"/>
      <w:lvlJc w:val="left"/>
      <w:pPr>
        <w:ind w:left="2648" w:hanging="361"/>
      </w:pPr>
      <w:rPr>
        <w:rFonts w:hint="default"/>
        <w:lang w:val="en-GB" w:eastAsia="en-US" w:bidi="ar-SA"/>
      </w:rPr>
    </w:lvl>
    <w:lvl w:ilvl="3" w:tplc="29D2A550">
      <w:numFmt w:val="bullet"/>
      <w:lvlText w:val="•"/>
      <w:lvlJc w:val="left"/>
      <w:pPr>
        <w:ind w:left="3503" w:hanging="361"/>
      </w:pPr>
      <w:rPr>
        <w:rFonts w:hint="default"/>
        <w:lang w:val="en-GB" w:eastAsia="en-US" w:bidi="ar-SA"/>
      </w:rPr>
    </w:lvl>
    <w:lvl w:ilvl="4" w:tplc="8A9E4354">
      <w:numFmt w:val="bullet"/>
      <w:lvlText w:val="•"/>
      <w:lvlJc w:val="left"/>
      <w:pPr>
        <w:ind w:left="4357" w:hanging="361"/>
      </w:pPr>
      <w:rPr>
        <w:rFonts w:hint="default"/>
        <w:lang w:val="en-GB" w:eastAsia="en-US" w:bidi="ar-SA"/>
      </w:rPr>
    </w:lvl>
    <w:lvl w:ilvl="5" w:tplc="610A4F1C">
      <w:numFmt w:val="bullet"/>
      <w:lvlText w:val="•"/>
      <w:lvlJc w:val="left"/>
      <w:pPr>
        <w:ind w:left="5212" w:hanging="361"/>
      </w:pPr>
      <w:rPr>
        <w:rFonts w:hint="default"/>
        <w:lang w:val="en-GB" w:eastAsia="en-US" w:bidi="ar-SA"/>
      </w:rPr>
    </w:lvl>
    <w:lvl w:ilvl="6" w:tplc="5F222B08">
      <w:numFmt w:val="bullet"/>
      <w:lvlText w:val="•"/>
      <w:lvlJc w:val="left"/>
      <w:pPr>
        <w:ind w:left="6066" w:hanging="361"/>
      </w:pPr>
      <w:rPr>
        <w:rFonts w:hint="default"/>
        <w:lang w:val="en-GB" w:eastAsia="en-US" w:bidi="ar-SA"/>
      </w:rPr>
    </w:lvl>
    <w:lvl w:ilvl="7" w:tplc="2CA2A15A">
      <w:numFmt w:val="bullet"/>
      <w:lvlText w:val="•"/>
      <w:lvlJc w:val="left"/>
      <w:pPr>
        <w:ind w:left="6920" w:hanging="361"/>
      </w:pPr>
      <w:rPr>
        <w:rFonts w:hint="default"/>
        <w:lang w:val="en-GB" w:eastAsia="en-US" w:bidi="ar-SA"/>
      </w:rPr>
    </w:lvl>
    <w:lvl w:ilvl="8" w:tplc="7200D9C4">
      <w:numFmt w:val="bullet"/>
      <w:lvlText w:val="•"/>
      <w:lvlJc w:val="left"/>
      <w:pPr>
        <w:ind w:left="7775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72C301C4"/>
    <w:multiLevelType w:val="hybridMultilevel"/>
    <w:tmpl w:val="C47C5D0E"/>
    <w:lvl w:ilvl="0" w:tplc="53AEBEFE">
      <w:start w:val="1"/>
      <w:numFmt w:val="decimal"/>
      <w:lvlText w:val="%1"/>
      <w:lvlJc w:val="left"/>
      <w:pPr>
        <w:ind w:left="941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AD4E070E">
      <w:start w:val="1"/>
      <w:numFmt w:val="lowerLetter"/>
      <w:lvlText w:val="(%2)"/>
      <w:lvlJc w:val="left"/>
      <w:pPr>
        <w:ind w:left="1301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2" w:tplc="E9BEDF44">
      <w:numFmt w:val="bullet"/>
      <w:lvlText w:val="•"/>
      <w:lvlJc w:val="left"/>
      <w:pPr>
        <w:ind w:left="2209" w:hanging="721"/>
      </w:pPr>
      <w:rPr>
        <w:rFonts w:hint="default"/>
        <w:lang w:val="en-GB" w:eastAsia="en-US" w:bidi="ar-SA"/>
      </w:rPr>
    </w:lvl>
    <w:lvl w:ilvl="3" w:tplc="D548E51C">
      <w:numFmt w:val="bullet"/>
      <w:lvlText w:val="•"/>
      <w:lvlJc w:val="left"/>
      <w:pPr>
        <w:ind w:left="3118" w:hanging="721"/>
      </w:pPr>
      <w:rPr>
        <w:rFonts w:hint="default"/>
        <w:lang w:val="en-GB" w:eastAsia="en-US" w:bidi="ar-SA"/>
      </w:rPr>
    </w:lvl>
    <w:lvl w:ilvl="4" w:tplc="EFEA9050">
      <w:numFmt w:val="bullet"/>
      <w:lvlText w:val="•"/>
      <w:lvlJc w:val="left"/>
      <w:pPr>
        <w:ind w:left="4028" w:hanging="721"/>
      </w:pPr>
      <w:rPr>
        <w:rFonts w:hint="default"/>
        <w:lang w:val="en-GB" w:eastAsia="en-US" w:bidi="ar-SA"/>
      </w:rPr>
    </w:lvl>
    <w:lvl w:ilvl="5" w:tplc="BFDE25BE">
      <w:numFmt w:val="bullet"/>
      <w:lvlText w:val="•"/>
      <w:lvlJc w:val="left"/>
      <w:pPr>
        <w:ind w:left="4937" w:hanging="721"/>
      </w:pPr>
      <w:rPr>
        <w:rFonts w:hint="default"/>
        <w:lang w:val="en-GB" w:eastAsia="en-US" w:bidi="ar-SA"/>
      </w:rPr>
    </w:lvl>
    <w:lvl w:ilvl="6" w:tplc="473AF068">
      <w:numFmt w:val="bullet"/>
      <w:lvlText w:val="•"/>
      <w:lvlJc w:val="left"/>
      <w:pPr>
        <w:ind w:left="5846" w:hanging="721"/>
      </w:pPr>
      <w:rPr>
        <w:rFonts w:hint="default"/>
        <w:lang w:val="en-GB" w:eastAsia="en-US" w:bidi="ar-SA"/>
      </w:rPr>
    </w:lvl>
    <w:lvl w:ilvl="7" w:tplc="8A486F6A">
      <w:numFmt w:val="bullet"/>
      <w:lvlText w:val="•"/>
      <w:lvlJc w:val="left"/>
      <w:pPr>
        <w:ind w:left="6756" w:hanging="721"/>
      </w:pPr>
      <w:rPr>
        <w:rFonts w:hint="default"/>
        <w:lang w:val="en-GB" w:eastAsia="en-US" w:bidi="ar-SA"/>
      </w:rPr>
    </w:lvl>
    <w:lvl w:ilvl="8" w:tplc="C4A8F1A4">
      <w:numFmt w:val="bullet"/>
      <w:lvlText w:val="•"/>
      <w:lvlJc w:val="left"/>
      <w:pPr>
        <w:ind w:left="7665" w:hanging="721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21D5"/>
    <w:rsid w:val="002E7C04"/>
    <w:rsid w:val="00A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12403"/>
  <w15:docId w15:val="{8ACC3EC1-E22D-4C1C-BE57-3618B2A1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1" w:hanging="721"/>
    </w:pPr>
  </w:style>
  <w:style w:type="paragraph" w:customStyle="1" w:styleId="TableParagraph">
    <w:name w:val="Table Paragraph"/>
    <w:basedOn w:val="Normal"/>
    <w:uiPriority w:val="1"/>
    <w:qFormat/>
    <w:pPr>
      <w:spacing w:before="1" w:line="271" w:lineRule="exact"/>
      <w:ind w:left="104"/>
    </w:pPr>
  </w:style>
  <w:style w:type="table" w:styleId="TableGrid">
    <w:name w:val="Table Grid"/>
    <w:basedOn w:val="TableNormal"/>
    <w:uiPriority w:val="39"/>
    <w:rsid w:val="002E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Medway LLFA statutory consultee performance report 1 april 2015 to 31 march 2016</dc:title>
  <dc:creator>Temp</dc:creator>
  <cp:lastModifiedBy>cadwallader, amie</cp:lastModifiedBy>
  <cp:revision>2</cp:revision>
  <dcterms:created xsi:type="dcterms:W3CDTF">2022-03-18T10:32:00Z</dcterms:created>
  <dcterms:modified xsi:type="dcterms:W3CDTF">2022-03-18T10:32:00Z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2022-03-18T00:00:00Z</vt:filetime>
  </property>
</Properties>
</file>